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28"/>
      </w:tblGrid>
      <w:tr w:rsidR="0009257D" w14:paraId="05EA3F24" w14:textId="77777777" w:rsidTr="009D5CB2"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9DB400" w14:textId="77777777" w:rsidR="0009257D" w:rsidRDefault="0009257D" w:rsidP="009D5C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E0F2423" w14:textId="4A6ED782" w:rsidR="0009257D" w:rsidRDefault="0009257D" w:rsidP="009D5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3DA8F3CC" wp14:editId="52135348">
                  <wp:extent cx="603250" cy="67310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7D" w:rsidRPr="00F7284E" w14:paraId="41007424" w14:textId="77777777" w:rsidTr="009D5CB2"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84F530" w14:textId="77777777" w:rsidR="0009257D" w:rsidRPr="00F7284E" w:rsidRDefault="0009257D" w:rsidP="009D5CB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F728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REPÚBLICA DE CUBA</w:t>
            </w:r>
          </w:p>
          <w:p w14:paraId="35BEF340" w14:textId="77777777" w:rsidR="0009257D" w:rsidRPr="00F7284E" w:rsidRDefault="0009257D" w:rsidP="009D5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F728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Misión Permanente de Cuba ante la Oficina de las Naciones Unidas en Ginebra y otros Organismos Internacionales en Suiza</w:t>
            </w:r>
          </w:p>
          <w:p w14:paraId="7986BCA8" w14:textId="77777777" w:rsidR="0009257D" w:rsidRPr="00F7284E" w:rsidRDefault="0009257D" w:rsidP="009D5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D0045F" w14:textId="1AEF9FBE" w:rsidR="00187A85" w:rsidRDefault="009540B1" w:rsidP="0009257D">
      <w:pPr>
        <w:spacing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</w:rPr>
        <w:t>Nota No. 203</w:t>
      </w:r>
      <w:r w:rsidR="0009257D" w:rsidRPr="007E4053">
        <w:rPr>
          <w:rFonts w:ascii="Arial" w:hAnsi="Arial" w:cs="Arial"/>
          <w:b/>
          <w:bCs/>
        </w:rPr>
        <w:t>/202</w:t>
      </w:r>
      <w:r w:rsidR="0009257D">
        <w:rPr>
          <w:rFonts w:ascii="Arial" w:hAnsi="Arial" w:cs="Arial"/>
          <w:b/>
          <w:bCs/>
        </w:rPr>
        <w:t>2</w:t>
      </w:r>
    </w:p>
    <w:p w14:paraId="0A94CED9" w14:textId="0B19CA05" w:rsidR="00B715D4" w:rsidRPr="00BB7043" w:rsidRDefault="00187A85" w:rsidP="00187A85">
      <w:pPr>
        <w:spacing w:before="240" w:after="240" w:line="360" w:lineRule="auto"/>
        <w:ind w:firstLine="850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187A85">
        <w:rPr>
          <w:rFonts w:ascii="Arial" w:eastAsia="Times New Roman" w:hAnsi="Arial" w:cs="Arial"/>
          <w:sz w:val="24"/>
          <w:szCs w:val="24"/>
          <w:lang w:val="es-ES_tradnl"/>
        </w:rPr>
        <w:t>La Misión Permanente de Cuba ante la Oficina de las Naciones Unidas</w:t>
      </w:r>
      <w:r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r w:rsidRPr="00187A85">
        <w:rPr>
          <w:rFonts w:ascii="Arial" w:eastAsia="Times New Roman" w:hAnsi="Arial" w:cs="Arial"/>
          <w:sz w:val="24"/>
          <w:szCs w:val="24"/>
          <w:lang w:val="es-ES_tradnl"/>
        </w:rPr>
        <w:t>en Ginebra y los Organismos Internacionales en Suiza, saluda atentamente a la</w:t>
      </w:r>
      <w:r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r w:rsidRPr="00187A85">
        <w:rPr>
          <w:rFonts w:ascii="Arial" w:eastAsia="Times New Roman" w:hAnsi="Arial" w:cs="Arial"/>
          <w:sz w:val="24"/>
          <w:szCs w:val="24"/>
          <w:lang w:val="es-ES_tradnl"/>
        </w:rPr>
        <w:t>Oficina de la Alta Comisionada de las Naciones Unidas para los Derechos</w:t>
      </w:r>
      <w:r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r w:rsidRPr="00187A85">
        <w:rPr>
          <w:rFonts w:ascii="Arial" w:eastAsia="Times New Roman" w:hAnsi="Arial" w:cs="Arial"/>
          <w:sz w:val="24"/>
          <w:szCs w:val="24"/>
          <w:lang w:val="es-ES_tradnl"/>
        </w:rPr>
        <w:t>Humanos</w:t>
      </w:r>
      <w:r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r w:rsidR="00BB7043" w:rsidRPr="00BB7043">
        <w:rPr>
          <w:rFonts w:ascii="Arial" w:eastAsia="Times New Roman" w:hAnsi="Arial" w:cs="Arial"/>
          <w:sz w:val="24"/>
          <w:szCs w:val="24"/>
          <w:lang w:val="es-ES_tradnl"/>
        </w:rPr>
        <w:t>y tiene el honor de referirse a su solicitud de información del 23 de febrero de 2022, en la que se invita a los Estados a remitir información para la elaboración del informe de la Alta Comisionada so</w:t>
      </w:r>
      <w:r w:rsidR="00BB7043">
        <w:rPr>
          <w:rFonts w:ascii="Arial" w:eastAsia="Times New Roman" w:hAnsi="Arial" w:cs="Arial"/>
          <w:sz w:val="24"/>
          <w:szCs w:val="24"/>
          <w:lang w:val="es-ES_tradnl"/>
        </w:rPr>
        <w:t>bre el papel de la administració</w:t>
      </w:r>
      <w:r w:rsidR="00BB7043" w:rsidRPr="00BB7043">
        <w:rPr>
          <w:rFonts w:ascii="Arial" w:eastAsia="Times New Roman" w:hAnsi="Arial" w:cs="Arial"/>
          <w:sz w:val="24"/>
          <w:szCs w:val="24"/>
          <w:lang w:val="es-ES_tradnl"/>
        </w:rPr>
        <w:t xml:space="preserve">n local y las dificultades </w:t>
      </w:r>
      <w:r w:rsidR="00BB7043">
        <w:rPr>
          <w:rFonts w:ascii="Arial" w:eastAsia="Times New Roman" w:hAnsi="Arial" w:cs="Arial"/>
          <w:sz w:val="24"/>
          <w:szCs w:val="24"/>
          <w:lang w:val="es-ES_tradnl"/>
        </w:rPr>
        <w:t>a que se enfrenta en la promoció</w:t>
      </w:r>
      <w:r w:rsidR="00BB7043" w:rsidRPr="00BB7043">
        <w:rPr>
          <w:rFonts w:ascii="Arial" w:eastAsia="Times New Roman" w:hAnsi="Arial" w:cs="Arial"/>
          <w:sz w:val="24"/>
          <w:szCs w:val="24"/>
          <w:lang w:val="es-ES_tradnl"/>
        </w:rPr>
        <w:t>n y protección de los derechos humanos, en particular en lo tocante al derecho a la igualdad y la no discriminación y la protección de las personas en situaciones de vulnerabilidad y marginación, en virtud de la resolución 45/7 adoptada por el Consejo de Derechos Humanos</w:t>
      </w:r>
      <w:r w:rsidR="005D445A" w:rsidRPr="00BB7043">
        <w:rPr>
          <w:rFonts w:ascii="Arial" w:eastAsia="Times New Roman" w:hAnsi="Arial" w:cs="Arial"/>
          <w:sz w:val="24"/>
          <w:szCs w:val="24"/>
          <w:lang w:val="es-ES_tradnl"/>
        </w:rPr>
        <w:t xml:space="preserve">. </w:t>
      </w:r>
    </w:p>
    <w:p w14:paraId="109FD27C" w14:textId="539F00E4" w:rsidR="00E26AFB" w:rsidRDefault="00E26AFB" w:rsidP="00E26AFB">
      <w:pPr>
        <w:spacing w:before="240" w:after="240" w:line="360" w:lineRule="auto"/>
        <w:ind w:firstLine="850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EE4493">
        <w:rPr>
          <w:rFonts w:ascii="Arial" w:eastAsia="Times New Roman" w:hAnsi="Arial" w:cs="Arial"/>
          <w:sz w:val="24"/>
          <w:szCs w:val="24"/>
          <w:lang w:val="es-ES_tradnl"/>
        </w:rPr>
        <w:t xml:space="preserve">En tal sentido, la Misión Permanente de Cuba tiene a bien </w:t>
      </w:r>
      <w:r>
        <w:rPr>
          <w:rFonts w:ascii="Arial" w:eastAsia="Times New Roman" w:hAnsi="Arial" w:cs="Arial"/>
          <w:sz w:val="24"/>
          <w:szCs w:val="24"/>
          <w:lang w:val="es-ES_tradnl"/>
        </w:rPr>
        <w:t>adjuntar los comentarios sobre la informaci</w:t>
      </w:r>
      <w:r w:rsidR="00BB7043">
        <w:rPr>
          <w:rFonts w:ascii="Arial" w:eastAsia="Times New Roman" w:hAnsi="Arial" w:cs="Arial"/>
          <w:sz w:val="24"/>
          <w:szCs w:val="24"/>
          <w:lang w:val="es-ES_tradnl"/>
        </w:rPr>
        <w:t>ón solicitada</w:t>
      </w:r>
      <w:r>
        <w:rPr>
          <w:rFonts w:ascii="Arial" w:eastAsia="Times New Roman" w:hAnsi="Arial" w:cs="Arial"/>
          <w:sz w:val="24"/>
          <w:szCs w:val="24"/>
          <w:lang w:val="es-ES_tradnl"/>
        </w:rPr>
        <w:t xml:space="preserve">. </w:t>
      </w:r>
    </w:p>
    <w:p w14:paraId="5E5A9598" w14:textId="38CC401B" w:rsidR="00E26AFB" w:rsidRDefault="00187A85" w:rsidP="00E26AFB">
      <w:pPr>
        <w:spacing w:before="240" w:after="240" w:line="360" w:lineRule="auto"/>
        <w:ind w:firstLine="850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187A85">
        <w:rPr>
          <w:rFonts w:ascii="Arial" w:eastAsia="Times New Roman" w:hAnsi="Arial" w:cs="Arial"/>
          <w:sz w:val="24"/>
          <w:szCs w:val="24"/>
          <w:lang w:val="es-ES_tradnl"/>
        </w:rPr>
        <w:t>La Misión Permanente de Cuba ante la Oficina de las Naciones Unidas</w:t>
      </w:r>
      <w:r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r w:rsidRPr="00187A85">
        <w:rPr>
          <w:rFonts w:ascii="Arial" w:eastAsia="Times New Roman" w:hAnsi="Arial" w:cs="Arial"/>
          <w:sz w:val="24"/>
          <w:szCs w:val="24"/>
          <w:lang w:val="es-ES_tradnl"/>
        </w:rPr>
        <w:t>en Ginebra y los Organismos Internacionales en Suiza</w:t>
      </w:r>
      <w:r w:rsidR="00E26AFB">
        <w:rPr>
          <w:rFonts w:ascii="Arial" w:eastAsia="Times New Roman" w:hAnsi="Arial" w:cs="Arial"/>
          <w:sz w:val="24"/>
          <w:szCs w:val="24"/>
          <w:lang w:val="es-ES_tradnl"/>
        </w:rPr>
        <w:t xml:space="preserve"> aprovecha la ocasión para reiterar a la </w:t>
      </w:r>
      <w:r w:rsidR="0009257D" w:rsidRPr="00187A85">
        <w:rPr>
          <w:rFonts w:ascii="Arial" w:eastAsia="Times New Roman" w:hAnsi="Arial" w:cs="Arial"/>
          <w:sz w:val="24"/>
          <w:szCs w:val="24"/>
          <w:lang w:val="es-ES_tradnl"/>
        </w:rPr>
        <w:t>Oficina de la Alta Comisionada de las Naciones Unidas para los Derechos</w:t>
      </w:r>
      <w:r w:rsidR="0009257D"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r w:rsidR="0009257D" w:rsidRPr="00187A85">
        <w:rPr>
          <w:rFonts w:ascii="Arial" w:eastAsia="Times New Roman" w:hAnsi="Arial" w:cs="Arial"/>
          <w:sz w:val="24"/>
          <w:szCs w:val="24"/>
          <w:lang w:val="es-ES_tradnl"/>
        </w:rPr>
        <w:t>Humanos</w:t>
      </w:r>
      <w:r w:rsidR="00E26AFB">
        <w:rPr>
          <w:rFonts w:ascii="Arial" w:eastAsia="Times New Roman" w:hAnsi="Arial" w:cs="Arial"/>
          <w:sz w:val="24"/>
          <w:szCs w:val="24"/>
          <w:lang w:val="es-ES_tradnl"/>
        </w:rPr>
        <w:t xml:space="preserve">, el testimonio de su </w:t>
      </w:r>
      <w:r>
        <w:rPr>
          <w:rFonts w:ascii="Arial" w:eastAsia="Times New Roman" w:hAnsi="Arial" w:cs="Arial"/>
          <w:sz w:val="24"/>
          <w:szCs w:val="24"/>
          <w:lang w:val="es-ES_tradnl"/>
        </w:rPr>
        <w:t xml:space="preserve">alta </w:t>
      </w:r>
      <w:r w:rsidR="00E26AFB">
        <w:rPr>
          <w:rFonts w:ascii="Arial" w:eastAsia="Times New Roman" w:hAnsi="Arial" w:cs="Arial"/>
          <w:sz w:val="24"/>
          <w:szCs w:val="24"/>
          <w:lang w:val="es-ES_tradnl"/>
        </w:rPr>
        <w:t>consideración.</w:t>
      </w:r>
    </w:p>
    <w:p w14:paraId="1F75B4D5" w14:textId="77777777" w:rsidR="0009257D" w:rsidRDefault="0009257D" w:rsidP="00E26AFB">
      <w:pPr>
        <w:jc w:val="right"/>
        <w:rPr>
          <w:rFonts w:ascii="Arial" w:hAnsi="Arial" w:cs="Arial"/>
          <w:sz w:val="24"/>
          <w:szCs w:val="24"/>
        </w:rPr>
      </w:pPr>
    </w:p>
    <w:p w14:paraId="44B3B837" w14:textId="77777777" w:rsidR="009540B1" w:rsidRDefault="009540B1" w:rsidP="00E26AFB">
      <w:pPr>
        <w:jc w:val="right"/>
        <w:rPr>
          <w:rFonts w:ascii="Arial" w:hAnsi="Arial" w:cs="Arial"/>
          <w:sz w:val="24"/>
          <w:szCs w:val="24"/>
        </w:rPr>
      </w:pPr>
    </w:p>
    <w:p w14:paraId="5429CB0C" w14:textId="75CFEC93" w:rsidR="00BB7043" w:rsidRDefault="00187A85" w:rsidP="00E26AF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Ginebra</w:t>
      </w:r>
      <w:r w:rsidR="00E26AFB" w:rsidRPr="00EE44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30</w:t>
      </w:r>
      <w:r w:rsidR="00E26AFB" w:rsidRPr="00EE4493">
        <w:rPr>
          <w:rFonts w:ascii="Arial" w:hAnsi="Arial" w:cs="Arial"/>
          <w:sz w:val="24"/>
          <w:szCs w:val="24"/>
        </w:rPr>
        <w:t xml:space="preserve"> de </w:t>
      </w:r>
      <w:r w:rsidR="00E26AFB">
        <w:rPr>
          <w:rFonts w:ascii="Arial" w:hAnsi="Arial" w:cs="Arial"/>
          <w:sz w:val="24"/>
          <w:szCs w:val="24"/>
        </w:rPr>
        <w:t>abril</w:t>
      </w:r>
      <w:r w:rsidR="00E26AFB" w:rsidRPr="00EE4493">
        <w:rPr>
          <w:rFonts w:ascii="Arial" w:hAnsi="Arial" w:cs="Arial"/>
          <w:sz w:val="24"/>
          <w:szCs w:val="24"/>
        </w:rPr>
        <w:t xml:space="preserve"> de 202</w:t>
      </w:r>
      <w:r w:rsidR="00E26AFB">
        <w:rPr>
          <w:rFonts w:ascii="Arial" w:hAnsi="Arial" w:cs="Arial"/>
          <w:sz w:val="24"/>
          <w:szCs w:val="24"/>
        </w:rPr>
        <w:t>2</w:t>
      </w:r>
    </w:p>
    <w:p w14:paraId="5BE57E92" w14:textId="77777777" w:rsidR="00187A85" w:rsidRDefault="00187A8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FA43A63" w14:textId="77777777" w:rsidR="00187A85" w:rsidRPr="0009257D" w:rsidRDefault="00187A85" w:rsidP="00187A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09257D">
        <w:rPr>
          <w:rFonts w:ascii="Arial" w:eastAsia="Times New Roman" w:hAnsi="Arial" w:cs="Arial"/>
          <w:b/>
          <w:sz w:val="24"/>
          <w:szCs w:val="24"/>
          <w:lang w:val="es-ES_tradnl"/>
        </w:rPr>
        <w:t>Oficina de la Alta Comisionada</w:t>
      </w:r>
    </w:p>
    <w:p w14:paraId="5886A612" w14:textId="409DD881" w:rsidR="0009257D" w:rsidRPr="0009257D" w:rsidRDefault="00187A85" w:rsidP="00187A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09257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de las Naciones Unidas </w:t>
      </w:r>
    </w:p>
    <w:p w14:paraId="0287B026" w14:textId="77777777" w:rsidR="0009257D" w:rsidRDefault="00187A85" w:rsidP="00187A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57D">
        <w:rPr>
          <w:rFonts w:ascii="Arial" w:eastAsia="Times New Roman" w:hAnsi="Arial" w:cs="Arial"/>
          <w:b/>
          <w:sz w:val="24"/>
          <w:szCs w:val="24"/>
          <w:lang w:val="es-ES_tradnl"/>
        </w:rPr>
        <w:t>para los Derechos Humanos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3150F2" w14:textId="235D726E" w:rsidR="00BB7043" w:rsidRPr="0009257D" w:rsidRDefault="0009257D" w:rsidP="00187A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57D">
        <w:rPr>
          <w:rFonts w:ascii="Arial" w:hAnsi="Arial" w:cs="Arial"/>
          <w:b/>
          <w:sz w:val="24"/>
          <w:szCs w:val="24"/>
        </w:rPr>
        <w:t>Ginebra</w:t>
      </w:r>
      <w:r w:rsidR="00BB7043" w:rsidRPr="0009257D">
        <w:rPr>
          <w:rFonts w:ascii="Arial" w:hAnsi="Arial" w:cs="Arial"/>
          <w:b/>
          <w:sz w:val="24"/>
          <w:szCs w:val="24"/>
        </w:rPr>
        <w:br w:type="page"/>
      </w:r>
    </w:p>
    <w:p w14:paraId="52FBADAB" w14:textId="36C35189" w:rsidR="0009257D" w:rsidRPr="0009257D" w:rsidRDefault="0009257D" w:rsidP="00092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9257D">
        <w:rPr>
          <w:rFonts w:ascii="Arial" w:hAnsi="Arial" w:cs="Arial"/>
          <w:b/>
          <w:sz w:val="24"/>
          <w:szCs w:val="24"/>
        </w:rPr>
        <w:lastRenderedPageBreak/>
        <w:t>Respuesta de Cuba sobre Administración Local y Derechos Humanos</w:t>
      </w:r>
    </w:p>
    <w:p w14:paraId="5A1EAB1B" w14:textId="6EDF8CAB" w:rsidR="00D5347F" w:rsidRDefault="005D6286" w:rsidP="005D6286">
      <w:pPr>
        <w:jc w:val="both"/>
        <w:rPr>
          <w:rFonts w:ascii="Arial" w:hAnsi="Arial" w:cs="Arial"/>
          <w:sz w:val="24"/>
          <w:szCs w:val="24"/>
        </w:rPr>
      </w:pPr>
      <w:r w:rsidRPr="005D6286">
        <w:rPr>
          <w:rFonts w:ascii="Arial" w:hAnsi="Arial" w:cs="Arial"/>
          <w:sz w:val="24"/>
          <w:szCs w:val="24"/>
        </w:rPr>
        <w:t>Cuba es un Estado socialista</w:t>
      </w:r>
      <w:r>
        <w:rPr>
          <w:rFonts w:ascii="Arial" w:hAnsi="Arial" w:cs="Arial"/>
          <w:sz w:val="24"/>
          <w:szCs w:val="24"/>
        </w:rPr>
        <w:t xml:space="preserve"> </w:t>
      </w:r>
      <w:r w:rsidRPr="005D6286">
        <w:rPr>
          <w:rFonts w:ascii="Arial" w:hAnsi="Arial" w:cs="Arial"/>
          <w:sz w:val="24"/>
          <w:szCs w:val="24"/>
        </w:rPr>
        <w:t>de derecho y justicia social, democrático, independiente y soberano, organizado con todos y</w:t>
      </w:r>
      <w:r>
        <w:rPr>
          <w:rFonts w:ascii="Arial" w:hAnsi="Arial" w:cs="Arial"/>
          <w:sz w:val="24"/>
          <w:szCs w:val="24"/>
        </w:rPr>
        <w:t xml:space="preserve"> </w:t>
      </w:r>
      <w:r w:rsidRPr="005D6286">
        <w:rPr>
          <w:rFonts w:ascii="Arial" w:hAnsi="Arial" w:cs="Arial"/>
          <w:sz w:val="24"/>
          <w:szCs w:val="24"/>
        </w:rPr>
        <w:t>para el bien de todos como república unitaria</w:t>
      </w:r>
      <w:r>
        <w:rPr>
          <w:rFonts w:ascii="Arial" w:hAnsi="Arial" w:cs="Arial"/>
          <w:sz w:val="24"/>
          <w:szCs w:val="24"/>
        </w:rPr>
        <w:t xml:space="preserve"> </w:t>
      </w:r>
      <w:r w:rsidRPr="005D6286">
        <w:rPr>
          <w:rFonts w:ascii="Arial" w:hAnsi="Arial" w:cs="Arial"/>
          <w:sz w:val="24"/>
          <w:szCs w:val="24"/>
        </w:rPr>
        <w:t>e indivisible, fundada en el trabajo, la dignidad, el humanismo y la ética de sus ciudadanos para el disfrute de la libertad, la equidad,</w:t>
      </w:r>
      <w:r>
        <w:rPr>
          <w:rFonts w:ascii="Arial" w:hAnsi="Arial" w:cs="Arial"/>
          <w:sz w:val="24"/>
          <w:szCs w:val="24"/>
        </w:rPr>
        <w:t xml:space="preserve"> </w:t>
      </w:r>
      <w:r w:rsidRPr="005D6286">
        <w:rPr>
          <w:rFonts w:ascii="Arial" w:hAnsi="Arial" w:cs="Arial"/>
          <w:sz w:val="24"/>
          <w:szCs w:val="24"/>
        </w:rPr>
        <w:t>la igualdad, la solidaridad, el bienestar y la</w:t>
      </w:r>
      <w:r>
        <w:rPr>
          <w:rFonts w:ascii="Arial" w:hAnsi="Arial" w:cs="Arial"/>
          <w:sz w:val="24"/>
          <w:szCs w:val="24"/>
        </w:rPr>
        <w:t xml:space="preserve"> </w:t>
      </w:r>
      <w:r w:rsidRPr="005D6286">
        <w:rPr>
          <w:rFonts w:ascii="Arial" w:hAnsi="Arial" w:cs="Arial"/>
          <w:sz w:val="24"/>
          <w:szCs w:val="24"/>
        </w:rPr>
        <w:t xml:space="preserve">prosperidad individual y colectiva. </w:t>
      </w:r>
    </w:p>
    <w:p w14:paraId="112470DD" w14:textId="6161916C" w:rsidR="002C5E60" w:rsidRDefault="002C5E60" w:rsidP="005D6286">
      <w:pPr>
        <w:jc w:val="both"/>
        <w:rPr>
          <w:rFonts w:ascii="Arial" w:hAnsi="Arial" w:cs="Arial"/>
          <w:sz w:val="24"/>
          <w:szCs w:val="24"/>
        </w:rPr>
      </w:pPr>
      <w:r w:rsidRPr="002C5E60">
        <w:rPr>
          <w:rFonts w:ascii="Arial" w:hAnsi="Arial" w:cs="Arial"/>
          <w:sz w:val="24"/>
          <w:szCs w:val="24"/>
        </w:rPr>
        <w:t>El Estado cubano reconoce y garantiza a cada persona el goce y el ejercicio irrenunciable, imprescriptible, indivisible, universal e interdependiente de los derechos humanos, en correspondencia con los principios de progresividad, igualdad y no discriminación.</w:t>
      </w:r>
    </w:p>
    <w:p w14:paraId="58D7C752" w14:textId="3530B286" w:rsidR="00092CA5" w:rsidRDefault="007B6BC5" w:rsidP="005D62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estructura del sistema de Ó</w:t>
      </w:r>
      <w:r w:rsidR="00327D6F">
        <w:rPr>
          <w:rFonts w:ascii="Arial" w:hAnsi="Arial" w:cs="Arial"/>
          <w:sz w:val="24"/>
          <w:szCs w:val="24"/>
        </w:rPr>
        <w:t xml:space="preserve">rganos del </w:t>
      </w:r>
      <w:r>
        <w:rPr>
          <w:rFonts w:ascii="Arial" w:hAnsi="Arial" w:cs="Arial"/>
          <w:sz w:val="24"/>
          <w:szCs w:val="24"/>
        </w:rPr>
        <w:t>Poder Popular existente en el país desde 1976 ha</w:t>
      </w:r>
      <w:r w:rsidR="00327D6F">
        <w:rPr>
          <w:rFonts w:ascii="Arial" w:hAnsi="Arial" w:cs="Arial"/>
          <w:sz w:val="24"/>
          <w:szCs w:val="24"/>
        </w:rPr>
        <w:t xml:space="preserve"> sido la base de </w:t>
      </w:r>
      <w:r w:rsidR="00E9036E">
        <w:rPr>
          <w:rFonts w:ascii="Arial" w:hAnsi="Arial" w:cs="Arial"/>
          <w:sz w:val="24"/>
          <w:szCs w:val="24"/>
        </w:rPr>
        <w:t xml:space="preserve">la participación del pueblo y </w:t>
      </w:r>
      <w:r w:rsidR="00327D6F">
        <w:rPr>
          <w:rFonts w:ascii="Arial" w:hAnsi="Arial" w:cs="Arial"/>
          <w:sz w:val="24"/>
          <w:szCs w:val="24"/>
        </w:rPr>
        <w:t>la democracia socialista</w:t>
      </w:r>
      <w:r w:rsidR="0007187D">
        <w:rPr>
          <w:rFonts w:ascii="Arial" w:hAnsi="Arial" w:cs="Arial"/>
          <w:sz w:val="24"/>
          <w:szCs w:val="24"/>
        </w:rPr>
        <w:t xml:space="preserve">. Este sistema </w:t>
      </w:r>
      <w:r w:rsidR="0007187D" w:rsidRPr="0007187D">
        <w:rPr>
          <w:rFonts w:ascii="Arial" w:hAnsi="Arial" w:cs="Arial"/>
          <w:sz w:val="24"/>
          <w:szCs w:val="24"/>
        </w:rPr>
        <w:t>está estructurado desde la base hasta la instancia nacional</w:t>
      </w:r>
      <w:r w:rsidR="008B5EA8">
        <w:rPr>
          <w:rFonts w:ascii="Arial" w:hAnsi="Arial" w:cs="Arial"/>
          <w:sz w:val="24"/>
          <w:szCs w:val="24"/>
        </w:rPr>
        <w:t>. L</w:t>
      </w:r>
      <w:r w:rsidR="0007187D" w:rsidRPr="0007187D">
        <w:rPr>
          <w:rFonts w:ascii="Arial" w:hAnsi="Arial" w:cs="Arial"/>
          <w:sz w:val="24"/>
          <w:szCs w:val="24"/>
        </w:rPr>
        <w:t xml:space="preserve">a </w:t>
      </w:r>
      <w:r w:rsidR="0007187D">
        <w:rPr>
          <w:rFonts w:ascii="Arial" w:hAnsi="Arial" w:cs="Arial"/>
          <w:sz w:val="24"/>
          <w:szCs w:val="24"/>
        </w:rPr>
        <w:t>c</w:t>
      </w:r>
      <w:r w:rsidR="0007187D" w:rsidRPr="0007187D">
        <w:rPr>
          <w:rFonts w:ascii="Arial" w:hAnsi="Arial" w:cs="Arial"/>
          <w:sz w:val="24"/>
          <w:szCs w:val="24"/>
        </w:rPr>
        <w:t>ircunscripción es la célula básica de toda la estructura del Poder Popular, cuya concepción y funcionamiento convergen esencialmente en la figura del Delegado, postulado y elegido para integrar la Asamblea Municipal, en la que representa a los electores de la circunscripción</w:t>
      </w:r>
      <w:r w:rsidR="0007187D">
        <w:rPr>
          <w:rFonts w:ascii="Arial" w:hAnsi="Arial" w:cs="Arial"/>
          <w:sz w:val="24"/>
          <w:szCs w:val="24"/>
        </w:rPr>
        <w:t xml:space="preserve">. </w:t>
      </w:r>
    </w:p>
    <w:p w14:paraId="759CC665" w14:textId="2041CC0E" w:rsidR="0007187D" w:rsidRDefault="0007187D" w:rsidP="005D62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7187D">
        <w:rPr>
          <w:rFonts w:ascii="Arial" w:hAnsi="Arial" w:cs="Arial"/>
          <w:sz w:val="24"/>
          <w:szCs w:val="24"/>
        </w:rPr>
        <w:t>odos los órganos representativos de poder del Estado son electivos y renovables</w:t>
      </w:r>
      <w:r>
        <w:rPr>
          <w:rFonts w:ascii="Arial" w:hAnsi="Arial" w:cs="Arial"/>
          <w:sz w:val="24"/>
          <w:szCs w:val="24"/>
        </w:rPr>
        <w:t xml:space="preserve"> y </w:t>
      </w:r>
      <w:r w:rsidRPr="0007187D">
        <w:rPr>
          <w:rFonts w:ascii="Arial" w:hAnsi="Arial" w:cs="Arial"/>
          <w:sz w:val="24"/>
          <w:szCs w:val="24"/>
        </w:rPr>
        <w:t>las masas populares controlan la actividad de los órganos estatales, de los Diputados, de los Delegados y de los funcionarios</w:t>
      </w:r>
      <w:r>
        <w:rPr>
          <w:rFonts w:ascii="Arial" w:hAnsi="Arial" w:cs="Arial"/>
          <w:sz w:val="24"/>
          <w:szCs w:val="24"/>
        </w:rPr>
        <w:t>. Además, l</w:t>
      </w:r>
      <w:r w:rsidRPr="0007187D">
        <w:rPr>
          <w:rFonts w:ascii="Arial" w:hAnsi="Arial" w:cs="Arial"/>
          <w:sz w:val="24"/>
          <w:szCs w:val="24"/>
        </w:rPr>
        <w:t>os elegidos tienen el deber de rendir cuenta de su actuación y pueden ser revocados de sus cargos en cualquier momento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15F59F0" w14:textId="3E8FF4C4" w:rsidR="00E26AFB" w:rsidRDefault="00BB7043" w:rsidP="005D62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garantías </w:t>
      </w:r>
      <w:r w:rsidR="00327D6F">
        <w:rPr>
          <w:rFonts w:ascii="Arial" w:hAnsi="Arial" w:cs="Arial"/>
          <w:sz w:val="24"/>
          <w:szCs w:val="24"/>
        </w:rPr>
        <w:t xml:space="preserve">contenidas en </w:t>
      </w:r>
      <w:r w:rsidR="0007187D">
        <w:rPr>
          <w:rFonts w:ascii="Arial" w:hAnsi="Arial" w:cs="Arial"/>
          <w:sz w:val="24"/>
          <w:szCs w:val="24"/>
        </w:rPr>
        <w:t>el</w:t>
      </w:r>
      <w:r w:rsidR="00327D6F">
        <w:rPr>
          <w:rFonts w:ascii="Arial" w:hAnsi="Arial" w:cs="Arial"/>
          <w:sz w:val="24"/>
          <w:szCs w:val="24"/>
        </w:rPr>
        <w:t xml:space="preserve"> </w:t>
      </w:r>
      <w:r w:rsidR="0007187D">
        <w:rPr>
          <w:rFonts w:ascii="Arial" w:hAnsi="Arial" w:cs="Arial"/>
          <w:sz w:val="24"/>
          <w:szCs w:val="24"/>
        </w:rPr>
        <w:t xml:space="preserve">sistema de Órganos del Poder Popular </w:t>
      </w:r>
      <w:r>
        <w:rPr>
          <w:rFonts w:ascii="Arial" w:hAnsi="Arial" w:cs="Arial"/>
          <w:sz w:val="24"/>
          <w:szCs w:val="24"/>
        </w:rPr>
        <w:t xml:space="preserve">para el ejercicio de la administración local han sido fortalecidas en el proceso de actualización del ordenamiento jurídico que tiene lugar en el país. </w:t>
      </w:r>
    </w:p>
    <w:p w14:paraId="1BAC6647" w14:textId="68379ACA" w:rsidR="00BB7043" w:rsidRDefault="00BB7043" w:rsidP="00BB70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Constitución de la República, aprobada en 2019, establece en su artículo 168 que el municipio constituye la unidad política-administrativa primaria y fundamental de la organización nacional, y que este goza de autonomía y personalidad jurídica propias a todos los efectos legales. </w:t>
      </w:r>
    </w:p>
    <w:p w14:paraId="6321AC85" w14:textId="6DDE1351" w:rsidR="00BB7043" w:rsidRDefault="00BB7043" w:rsidP="00226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artículo 169 de la Carta Magna, </w:t>
      </w:r>
      <w:r w:rsidR="00226B0E">
        <w:rPr>
          <w:rFonts w:ascii="Arial" w:hAnsi="Arial" w:cs="Arial"/>
          <w:sz w:val="24"/>
          <w:szCs w:val="24"/>
        </w:rPr>
        <w:t>l</w:t>
      </w:r>
      <w:r w:rsidR="00226B0E" w:rsidRPr="00226B0E">
        <w:rPr>
          <w:rFonts w:ascii="Arial" w:hAnsi="Arial" w:cs="Arial"/>
          <w:sz w:val="24"/>
          <w:szCs w:val="24"/>
        </w:rPr>
        <w:t>a autonomía del municipio comprende la elección o designación de</w:t>
      </w:r>
      <w:r w:rsidR="00226B0E">
        <w:rPr>
          <w:rFonts w:ascii="Arial" w:hAnsi="Arial" w:cs="Arial"/>
          <w:sz w:val="24"/>
          <w:szCs w:val="24"/>
        </w:rPr>
        <w:t xml:space="preserve"> </w:t>
      </w:r>
      <w:r w:rsidR="00226B0E" w:rsidRPr="00226B0E">
        <w:rPr>
          <w:rFonts w:ascii="Arial" w:hAnsi="Arial" w:cs="Arial"/>
          <w:sz w:val="24"/>
          <w:szCs w:val="24"/>
        </w:rPr>
        <w:t>sus autoridades, la facultad para decidir sobre la utilización de sus recursos y el ejercicio</w:t>
      </w:r>
      <w:r w:rsidR="00226B0E">
        <w:rPr>
          <w:rFonts w:ascii="Arial" w:hAnsi="Arial" w:cs="Arial"/>
          <w:sz w:val="24"/>
          <w:szCs w:val="24"/>
        </w:rPr>
        <w:t xml:space="preserve"> </w:t>
      </w:r>
      <w:r w:rsidR="00226B0E" w:rsidRPr="00226B0E">
        <w:rPr>
          <w:rFonts w:ascii="Arial" w:hAnsi="Arial" w:cs="Arial"/>
          <w:sz w:val="24"/>
          <w:szCs w:val="24"/>
        </w:rPr>
        <w:t>de las competencias que le corresponden, así</w:t>
      </w:r>
      <w:r w:rsidR="00226B0E">
        <w:rPr>
          <w:rFonts w:ascii="Arial" w:hAnsi="Arial" w:cs="Arial"/>
          <w:sz w:val="24"/>
          <w:szCs w:val="24"/>
        </w:rPr>
        <w:t xml:space="preserve"> </w:t>
      </w:r>
      <w:r w:rsidR="00226B0E" w:rsidRPr="00226B0E">
        <w:rPr>
          <w:rFonts w:ascii="Arial" w:hAnsi="Arial" w:cs="Arial"/>
          <w:sz w:val="24"/>
          <w:szCs w:val="24"/>
        </w:rPr>
        <w:t>como dictar acuerdos y disposiciones normativas necesarias para el ejercicio de sus facultades, según lo dispuesto en la Constitución y</w:t>
      </w:r>
      <w:r w:rsidR="00226B0E">
        <w:rPr>
          <w:rFonts w:ascii="Arial" w:hAnsi="Arial" w:cs="Arial"/>
          <w:sz w:val="24"/>
          <w:szCs w:val="24"/>
        </w:rPr>
        <w:t xml:space="preserve"> </w:t>
      </w:r>
      <w:r w:rsidR="00226B0E" w:rsidRPr="00226B0E">
        <w:rPr>
          <w:rFonts w:ascii="Arial" w:hAnsi="Arial" w:cs="Arial"/>
          <w:sz w:val="24"/>
          <w:szCs w:val="24"/>
        </w:rPr>
        <w:t>las leyes.</w:t>
      </w:r>
    </w:p>
    <w:p w14:paraId="575D2BBC" w14:textId="2B624CD2" w:rsidR="005D6286" w:rsidRDefault="00226B0E" w:rsidP="00226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 vez, en los artículos 198 y 199 se define </w:t>
      </w:r>
      <w:r w:rsidR="005D6286">
        <w:rPr>
          <w:rFonts w:ascii="Arial" w:hAnsi="Arial" w:cs="Arial"/>
          <w:sz w:val="24"/>
          <w:szCs w:val="24"/>
        </w:rPr>
        <w:t xml:space="preserve">al Consejo Popular como un órgano local del Poder Popular que representa a la población de la demarcación donde actúa. Este ejerce </w:t>
      </w:r>
      <w:r w:rsidR="005D6286" w:rsidRPr="005D6286">
        <w:rPr>
          <w:rFonts w:ascii="Arial" w:hAnsi="Arial" w:cs="Arial"/>
          <w:sz w:val="24"/>
          <w:szCs w:val="24"/>
        </w:rPr>
        <w:t>control sobre las entidades de producción y servicios de incidencia</w:t>
      </w:r>
      <w:r w:rsidR="005D6286">
        <w:rPr>
          <w:rFonts w:ascii="Arial" w:hAnsi="Arial" w:cs="Arial"/>
          <w:sz w:val="24"/>
          <w:szCs w:val="24"/>
        </w:rPr>
        <w:t xml:space="preserve"> </w:t>
      </w:r>
      <w:r w:rsidR="005D6286" w:rsidRPr="005D6286">
        <w:rPr>
          <w:rFonts w:ascii="Arial" w:hAnsi="Arial" w:cs="Arial"/>
          <w:sz w:val="24"/>
          <w:szCs w:val="24"/>
        </w:rPr>
        <w:t>local, y trabaja activamente para la satisfacción, entre otras, de las necesidades de la economía, de salud, asistenciales, educacionales,</w:t>
      </w:r>
      <w:r w:rsidR="00C3435D">
        <w:rPr>
          <w:rFonts w:ascii="Arial" w:hAnsi="Arial" w:cs="Arial"/>
          <w:sz w:val="24"/>
          <w:szCs w:val="24"/>
        </w:rPr>
        <w:t xml:space="preserve"> </w:t>
      </w:r>
      <w:r w:rsidR="005D6286" w:rsidRPr="005D6286">
        <w:rPr>
          <w:rFonts w:ascii="Arial" w:hAnsi="Arial" w:cs="Arial"/>
          <w:sz w:val="24"/>
          <w:szCs w:val="24"/>
        </w:rPr>
        <w:t>culturales,</w:t>
      </w:r>
      <w:r w:rsidR="005D6286">
        <w:rPr>
          <w:rFonts w:ascii="Arial" w:hAnsi="Arial" w:cs="Arial"/>
          <w:sz w:val="24"/>
          <w:szCs w:val="24"/>
        </w:rPr>
        <w:t xml:space="preserve"> </w:t>
      </w:r>
      <w:r w:rsidR="005D6286" w:rsidRPr="005D6286">
        <w:rPr>
          <w:rFonts w:ascii="Arial" w:hAnsi="Arial" w:cs="Arial"/>
          <w:sz w:val="24"/>
          <w:szCs w:val="24"/>
        </w:rPr>
        <w:t>deportivas</w:t>
      </w:r>
      <w:r w:rsidR="005D6286">
        <w:rPr>
          <w:rFonts w:ascii="Arial" w:hAnsi="Arial" w:cs="Arial"/>
          <w:sz w:val="24"/>
          <w:szCs w:val="24"/>
        </w:rPr>
        <w:t xml:space="preserve"> </w:t>
      </w:r>
      <w:r w:rsidR="005D6286" w:rsidRPr="005D6286">
        <w:rPr>
          <w:rFonts w:ascii="Arial" w:hAnsi="Arial" w:cs="Arial"/>
          <w:sz w:val="24"/>
          <w:szCs w:val="24"/>
        </w:rPr>
        <w:t>y</w:t>
      </w:r>
      <w:r w:rsidR="005D6286">
        <w:rPr>
          <w:rFonts w:ascii="Arial" w:hAnsi="Arial" w:cs="Arial"/>
          <w:sz w:val="24"/>
          <w:szCs w:val="24"/>
        </w:rPr>
        <w:t xml:space="preserve"> </w:t>
      </w:r>
      <w:r w:rsidR="005D6286" w:rsidRPr="005D6286">
        <w:rPr>
          <w:rFonts w:ascii="Arial" w:hAnsi="Arial" w:cs="Arial"/>
          <w:sz w:val="24"/>
          <w:szCs w:val="24"/>
        </w:rPr>
        <w:t>recreativas,</w:t>
      </w:r>
      <w:r w:rsidR="005D6286">
        <w:rPr>
          <w:rFonts w:ascii="Arial" w:hAnsi="Arial" w:cs="Arial"/>
          <w:sz w:val="24"/>
          <w:szCs w:val="24"/>
        </w:rPr>
        <w:t xml:space="preserve"> </w:t>
      </w:r>
      <w:r w:rsidR="005D6286" w:rsidRPr="005D6286">
        <w:rPr>
          <w:rFonts w:ascii="Arial" w:hAnsi="Arial" w:cs="Arial"/>
          <w:sz w:val="24"/>
          <w:szCs w:val="24"/>
        </w:rPr>
        <w:t>así</w:t>
      </w:r>
      <w:r w:rsidR="005D6286">
        <w:rPr>
          <w:rFonts w:ascii="Arial" w:hAnsi="Arial" w:cs="Arial"/>
          <w:sz w:val="24"/>
          <w:szCs w:val="24"/>
        </w:rPr>
        <w:t xml:space="preserve"> </w:t>
      </w:r>
      <w:r w:rsidR="005D6286" w:rsidRPr="005D6286">
        <w:rPr>
          <w:rFonts w:ascii="Arial" w:hAnsi="Arial" w:cs="Arial"/>
          <w:sz w:val="24"/>
          <w:szCs w:val="24"/>
        </w:rPr>
        <w:t>como</w:t>
      </w:r>
      <w:r w:rsidR="005D6286">
        <w:rPr>
          <w:rFonts w:ascii="Arial" w:hAnsi="Arial" w:cs="Arial"/>
          <w:sz w:val="24"/>
          <w:szCs w:val="24"/>
        </w:rPr>
        <w:t xml:space="preserve"> </w:t>
      </w:r>
      <w:r w:rsidR="005D6286" w:rsidRPr="005D6286">
        <w:rPr>
          <w:rFonts w:ascii="Arial" w:hAnsi="Arial" w:cs="Arial"/>
          <w:sz w:val="24"/>
          <w:szCs w:val="24"/>
        </w:rPr>
        <w:t>en las tareas de prevención y atención</w:t>
      </w:r>
      <w:r w:rsidR="005D6286">
        <w:rPr>
          <w:rFonts w:ascii="Arial" w:hAnsi="Arial" w:cs="Arial"/>
          <w:sz w:val="24"/>
          <w:szCs w:val="24"/>
        </w:rPr>
        <w:t xml:space="preserve"> </w:t>
      </w:r>
      <w:r w:rsidR="005D6286" w:rsidRPr="005D6286">
        <w:rPr>
          <w:rFonts w:ascii="Arial" w:hAnsi="Arial" w:cs="Arial"/>
          <w:sz w:val="24"/>
          <w:szCs w:val="24"/>
        </w:rPr>
        <w:t>social,</w:t>
      </w:r>
      <w:r w:rsidR="005D6286">
        <w:rPr>
          <w:rFonts w:ascii="Arial" w:hAnsi="Arial" w:cs="Arial"/>
          <w:sz w:val="24"/>
          <w:szCs w:val="24"/>
        </w:rPr>
        <w:t xml:space="preserve"> </w:t>
      </w:r>
      <w:r w:rsidR="005D6286" w:rsidRPr="005D6286">
        <w:rPr>
          <w:rFonts w:ascii="Arial" w:hAnsi="Arial" w:cs="Arial"/>
          <w:sz w:val="24"/>
          <w:szCs w:val="24"/>
        </w:rPr>
        <w:lastRenderedPageBreak/>
        <w:t>promoviendo la participación de la población</w:t>
      </w:r>
      <w:r w:rsidR="00C3435D">
        <w:rPr>
          <w:rFonts w:ascii="Arial" w:hAnsi="Arial" w:cs="Arial"/>
          <w:sz w:val="24"/>
          <w:szCs w:val="24"/>
        </w:rPr>
        <w:t xml:space="preserve"> </w:t>
      </w:r>
      <w:r w:rsidR="005D6286" w:rsidRPr="005D6286">
        <w:rPr>
          <w:rFonts w:ascii="Arial" w:hAnsi="Arial" w:cs="Arial"/>
          <w:sz w:val="24"/>
          <w:szCs w:val="24"/>
        </w:rPr>
        <w:t>y las iniciativas locales para su consecución.</w:t>
      </w:r>
      <w:r w:rsidR="005D6286">
        <w:rPr>
          <w:rFonts w:ascii="Arial" w:hAnsi="Arial" w:cs="Arial"/>
          <w:sz w:val="24"/>
          <w:szCs w:val="24"/>
        </w:rPr>
        <w:t xml:space="preserve">  </w:t>
      </w:r>
    </w:p>
    <w:p w14:paraId="5C44FF9A" w14:textId="7529CD28" w:rsidR="00BB7043" w:rsidRDefault="00226B0E" w:rsidP="00BB70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CD5BAC">
        <w:rPr>
          <w:rFonts w:ascii="Arial" w:hAnsi="Arial" w:cs="Arial"/>
          <w:sz w:val="24"/>
          <w:szCs w:val="24"/>
        </w:rPr>
        <w:t>la Constitución se refuerzan las garantías de la participación ciudadana en el ámbito local. En esta</w:t>
      </w:r>
      <w:r w:rsidR="00E25D59">
        <w:rPr>
          <w:rFonts w:ascii="Arial" w:hAnsi="Arial" w:cs="Arial"/>
          <w:sz w:val="24"/>
          <w:szCs w:val="24"/>
        </w:rPr>
        <w:t xml:space="preserve"> se brinda</w:t>
      </w:r>
      <w:r w:rsidR="00CD5BA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nuevas oportunidades para el involucramiento activo de los ciudadanos en la toma de decisiones y en el control sobre la gestión gubernamental. Ello se expresa en las garantías a los derechos de petición y participación popular local, en las que se reflejan: </w:t>
      </w:r>
      <w:r w:rsidR="005D6286">
        <w:rPr>
          <w:rFonts w:ascii="Arial" w:hAnsi="Arial" w:cs="Arial"/>
          <w:sz w:val="24"/>
          <w:szCs w:val="24"/>
        </w:rPr>
        <w:t xml:space="preserve">consultas populares que pueden ser convocadas por la Asamblea Municipal para asuntos de interés local, así como el derecho de la población del municipio a proponer a su Asamblea Municipal el análisis de temas de su competencia y la atención a los planteamientos, quejas y peticiones de la población por las entidades municipales. </w:t>
      </w:r>
    </w:p>
    <w:p w14:paraId="29A1677B" w14:textId="491EF7AE" w:rsidR="00327D6F" w:rsidRDefault="00327D6F" w:rsidP="006578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Posteriormente, e</w:t>
      </w:r>
      <w:r w:rsidR="00D5347F">
        <w:rPr>
          <w:rFonts w:ascii="Arial" w:hAnsi="Arial" w:cs="Arial"/>
          <w:sz w:val="24"/>
          <w:szCs w:val="24"/>
        </w:rPr>
        <w:t xml:space="preserve">n enero de 2020, entró en vigor la Ley 132 </w:t>
      </w:r>
      <w:r w:rsidR="00D5347F" w:rsidRPr="00D5347F">
        <w:rPr>
          <w:rFonts w:ascii="Arial" w:hAnsi="Arial" w:cs="Arial"/>
          <w:sz w:val="24"/>
          <w:szCs w:val="24"/>
        </w:rPr>
        <w:t>de organi</w:t>
      </w:r>
      <w:r w:rsidR="00D5347F">
        <w:rPr>
          <w:rFonts w:ascii="Arial" w:hAnsi="Arial" w:cs="Arial"/>
          <w:sz w:val="24"/>
          <w:szCs w:val="24"/>
        </w:rPr>
        <w:t>zación y funcionamiento de las A</w:t>
      </w:r>
      <w:r w:rsidR="00D5347F" w:rsidRPr="00D5347F">
        <w:rPr>
          <w:rFonts w:ascii="Arial" w:hAnsi="Arial" w:cs="Arial"/>
          <w:sz w:val="24"/>
          <w:szCs w:val="24"/>
        </w:rPr>
        <w:t>sambleas</w:t>
      </w:r>
      <w:r w:rsidR="00D5347F">
        <w:rPr>
          <w:rFonts w:ascii="Arial" w:hAnsi="Arial" w:cs="Arial"/>
          <w:sz w:val="24"/>
          <w:szCs w:val="24"/>
        </w:rPr>
        <w:t xml:space="preserve"> Municipales del Poder Popular y de los Consejos P</w:t>
      </w:r>
      <w:r w:rsidR="00D5347F" w:rsidRPr="00D5347F">
        <w:rPr>
          <w:rFonts w:ascii="Arial" w:hAnsi="Arial" w:cs="Arial"/>
          <w:sz w:val="24"/>
          <w:szCs w:val="24"/>
        </w:rPr>
        <w:t>opulares</w:t>
      </w:r>
      <w:r>
        <w:rPr>
          <w:rFonts w:ascii="Arial" w:hAnsi="Arial" w:cs="Arial"/>
          <w:sz w:val="24"/>
          <w:szCs w:val="24"/>
        </w:rPr>
        <w:t>. En ella se especifican aún más</w:t>
      </w:r>
      <w:r w:rsidR="006578A6">
        <w:rPr>
          <w:rFonts w:ascii="Arial" w:hAnsi="Arial" w:cs="Arial"/>
          <w:sz w:val="24"/>
          <w:szCs w:val="24"/>
        </w:rPr>
        <w:t xml:space="preserve"> las obligaciones de los órganos de gobiernos municipales y sus titulares</w:t>
      </w:r>
      <w:r>
        <w:rPr>
          <w:rFonts w:ascii="Arial" w:hAnsi="Arial" w:cs="Arial"/>
          <w:sz w:val="24"/>
          <w:szCs w:val="24"/>
        </w:rPr>
        <w:t xml:space="preserve"> respecto de su población, entre las que</w:t>
      </w:r>
      <w:r w:rsidR="006578A6">
        <w:rPr>
          <w:rFonts w:ascii="Arial" w:hAnsi="Arial" w:cs="Arial"/>
          <w:sz w:val="24"/>
          <w:szCs w:val="24"/>
        </w:rPr>
        <w:t xml:space="preserve"> se destacan la actuación en</w:t>
      </w:r>
      <w:r w:rsidR="006578A6" w:rsidRPr="006578A6">
        <w:rPr>
          <w:rFonts w:ascii="Arial" w:hAnsi="Arial" w:cs="Arial"/>
          <w:sz w:val="24"/>
          <w:szCs w:val="24"/>
        </w:rPr>
        <w:t xml:space="preserve"> </w:t>
      </w:r>
      <w:r w:rsidR="006578A6">
        <w:rPr>
          <w:rFonts w:ascii="Arial" w:hAnsi="Arial" w:cs="Arial"/>
          <w:sz w:val="24"/>
          <w:szCs w:val="24"/>
        </w:rPr>
        <w:t>base a</w:t>
      </w:r>
      <w:r w:rsidR="006578A6" w:rsidRPr="006578A6">
        <w:rPr>
          <w:rFonts w:ascii="Arial" w:hAnsi="Arial" w:cs="Arial"/>
          <w:sz w:val="24"/>
          <w:szCs w:val="24"/>
        </w:rPr>
        <w:t xml:space="preserve"> los principios de la democracia</w:t>
      </w:r>
      <w:r w:rsidR="006578A6">
        <w:rPr>
          <w:rFonts w:ascii="Arial" w:hAnsi="Arial" w:cs="Arial"/>
          <w:sz w:val="24"/>
          <w:szCs w:val="24"/>
        </w:rPr>
        <w:t xml:space="preserve"> </w:t>
      </w:r>
      <w:r w:rsidR="006578A6" w:rsidRPr="006578A6">
        <w:rPr>
          <w:rFonts w:ascii="Arial" w:hAnsi="Arial" w:cs="Arial"/>
          <w:sz w:val="24"/>
          <w:szCs w:val="24"/>
        </w:rPr>
        <w:t xml:space="preserve">socialista </w:t>
      </w:r>
      <w:r>
        <w:rPr>
          <w:rFonts w:ascii="Arial" w:hAnsi="Arial" w:cs="Arial"/>
          <w:sz w:val="24"/>
          <w:szCs w:val="24"/>
        </w:rPr>
        <w:t>establecidos</w:t>
      </w:r>
      <w:r w:rsidR="006578A6" w:rsidRPr="006578A6">
        <w:rPr>
          <w:rFonts w:ascii="Arial" w:hAnsi="Arial" w:cs="Arial"/>
          <w:sz w:val="24"/>
          <w:szCs w:val="24"/>
        </w:rPr>
        <w:t xml:space="preserve"> </w:t>
      </w:r>
      <w:r w:rsidR="00CD5BAC">
        <w:rPr>
          <w:rFonts w:ascii="Arial" w:hAnsi="Arial" w:cs="Arial"/>
          <w:sz w:val="24"/>
          <w:szCs w:val="24"/>
        </w:rPr>
        <w:t xml:space="preserve">en </w:t>
      </w:r>
      <w:r w:rsidR="006578A6" w:rsidRPr="006578A6">
        <w:rPr>
          <w:rFonts w:ascii="Arial" w:hAnsi="Arial" w:cs="Arial"/>
          <w:sz w:val="24"/>
          <w:szCs w:val="24"/>
        </w:rPr>
        <w:t>el artículo 101 de la Constitución</w:t>
      </w:r>
      <w:r w:rsidR="006578A6">
        <w:rPr>
          <w:rFonts w:ascii="Arial" w:hAnsi="Arial" w:cs="Arial"/>
          <w:sz w:val="24"/>
          <w:szCs w:val="24"/>
        </w:rPr>
        <w:t xml:space="preserve"> de la República; el control periódico</w:t>
      </w:r>
      <w:r w:rsidR="00CD5BAC">
        <w:rPr>
          <w:rFonts w:ascii="Arial" w:hAnsi="Arial" w:cs="Arial"/>
          <w:sz w:val="24"/>
          <w:szCs w:val="24"/>
        </w:rPr>
        <w:t xml:space="preserve"> </w:t>
      </w:r>
      <w:r w:rsidR="006578A6">
        <w:rPr>
          <w:rFonts w:ascii="Arial" w:hAnsi="Arial" w:cs="Arial"/>
          <w:sz w:val="24"/>
          <w:szCs w:val="24"/>
        </w:rPr>
        <w:t>d</w:t>
      </w:r>
      <w:r w:rsidR="006578A6" w:rsidRPr="006578A6">
        <w:rPr>
          <w:rFonts w:ascii="Arial" w:hAnsi="Arial" w:cs="Arial"/>
          <w:sz w:val="24"/>
          <w:szCs w:val="24"/>
        </w:rPr>
        <w:t>el cumplimiento de las garantías a los</w:t>
      </w:r>
      <w:r w:rsidR="006578A6">
        <w:rPr>
          <w:rFonts w:ascii="Arial" w:hAnsi="Arial" w:cs="Arial"/>
          <w:sz w:val="24"/>
          <w:szCs w:val="24"/>
        </w:rPr>
        <w:t xml:space="preserve"> </w:t>
      </w:r>
      <w:r w:rsidR="006578A6" w:rsidRPr="006578A6">
        <w:rPr>
          <w:rFonts w:ascii="Arial" w:hAnsi="Arial" w:cs="Arial"/>
          <w:sz w:val="24"/>
          <w:szCs w:val="24"/>
        </w:rPr>
        <w:t>derechos de petición y participación popular local;</w:t>
      </w:r>
      <w:r w:rsidR="006578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así como </w:t>
      </w:r>
      <w:r w:rsidR="006578A6">
        <w:rPr>
          <w:rFonts w:ascii="Arial" w:hAnsi="Arial" w:cs="Arial"/>
          <w:sz w:val="24"/>
          <w:szCs w:val="24"/>
        </w:rPr>
        <w:t>p</w:t>
      </w:r>
      <w:r w:rsidR="006578A6" w:rsidRPr="006578A6">
        <w:rPr>
          <w:rFonts w:ascii="Arial" w:hAnsi="Arial" w:cs="Arial"/>
          <w:sz w:val="24"/>
          <w:szCs w:val="24"/>
        </w:rPr>
        <w:t>ronunciarse en los casos de las reclamaciones que se le presenten por inconformidades</w:t>
      </w:r>
      <w:r w:rsidR="006578A6">
        <w:rPr>
          <w:rFonts w:ascii="Arial" w:hAnsi="Arial" w:cs="Arial"/>
          <w:sz w:val="24"/>
          <w:szCs w:val="24"/>
        </w:rPr>
        <w:t xml:space="preserve"> </w:t>
      </w:r>
      <w:r w:rsidR="006578A6" w:rsidRPr="006578A6">
        <w:rPr>
          <w:rFonts w:ascii="Arial" w:hAnsi="Arial" w:cs="Arial"/>
          <w:sz w:val="24"/>
          <w:szCs w:val="24"/>
        </w:rPr>
        <w:t>con la sustitución de los cargos que le corresponden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597142C" w14:textId="7B9F1649" w:rsidR="007B6BC5" w:rsidRDefault="00E96537" w:rsidP="00BB70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últimos 2 años, la autonomía municipal y el desarrollo territorial han sido conceptos que han tenido protagonismo en el diseño de </w:t>
      </w:r>
      <w:r w:rsidR="007B6BC5">
        <w:rPr>
          <w:rFonts w:ascii="Arial" w:hAnsi="Arial" w:cs="Arial"/>
          <w:sz w:val="24"/>
          <w:szCs w:val="24"/>
        </w:rPr>
        <w:t xml:space="preserve">soluciones ante </w:t>
      </w:r>
      <w:r>
        <w:rPr>
          <w:rFonts w:ascii="Arial" w:hAnsi="Arial" w:cs="Arial"/>
          <w:sz w:val="24"/>
          <w:szCs w:val="24"/>
        </w:rPr>
        <w:t>problemáticas existentes en el país.</w:t>
      </w:r>
    </w:p>
    <w:p w14:paraId="215BE3AD" w14:textId="2126F9AA" w:rsidR="007B6BC5" w:rsidRDefault="007B6BC5" w:rsidP="007B6BC5">
      <w:pPr>
        <w:jc w:val="both"/>
        <w:rPr>
          <w:rFonts w:ascii="Arial" w:hAnsi="Arial" w:cs="Arial"/>
          <w:sz w:val="24"/>
          <w:szCs w:val="24"/>
        </w:rPr>
      </w:pPr>
      <w:r w:rsidRPr="007B6BC5">
        <w:rPr>
          <w:rFonts w:ascii="Arial" w:hAnsi="Arial" w:cs="Arial"/>
          <w:sz w:val="24"/>
          <w:szCs w:val="24"/>
        </w:rPr>
        <w:t>El desarrollo local en Cuba ha pasado a constituir una política pública de importancia estratégica, como parte del Plan Nacional de Desarrollo Económico y Social hasta el año 2030; así como un eje central y articulador de las agendas públicas de los gobiernos a nivel municipal y provincial.</w:t>
      </w:r>
    </w:p>
    <w:p w14:paraId="28A9A692" w14:textId="30289F86" w:rsidR="007B6BC5" w:rsidRPr="007B6BC5" w:rsidRDefault="007B6BC5" w:rsidP="007B6B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implementación de la </w:t>
      </w:r>
      <w:r w:rsidRPr="007B6BC5">
        <w:rPr>
          <w:rFonts w:ascii="Arial" w:hAnsi="Arial" w:cs="Arial"/>
          <w:sz w:val="24"/>
          <w:szCs w:val="24"/>
        </w:rPr>
        <w:t>política para impulsar el desarrollo territorial</w:t>
      </w:r>
      <w:r>
        <w:rPr>
          <w:rFonts w:ascii="Arial" w:hAnsi="Arial" w:cs="Arial"/>
          <w:sz w:val="24"/>
          <w:szCs w:val="24"/>
        </w:rPr>
        <w:t xml:space="preserve"> en Cuba, se busca generar proyectos de desarrollo local que, en otros objetivos, incrementen, diversifiquen y/o mejoren </w:t>
      </w:r>
      <w:r w:rsidRPr="007B6BC5">
        <w:rPr>
          <w:rFonts w:ascii="Arial" w:hAnsi="Arial" w:cs="Arial"/>
          <w:sz w:val="24"/>
          <w:szCs w:val="24"/>
        </w:rPr>
        <w:t>la calidad de los servicios sociale</w:t>
      </w:r>
      <w:r>
        <w:rPr>
          <w:rFonts w:ascii="Arial" w:hAnsi="Arial" w:cs="Arial"/>
          <w:sz w:val="24"/>
          <w:szCs w:val="24"/>
        </w:rPr>
        <w:t>s que se brindan a la población, así como presten</w:t>
      </w:r>
      <w:r w:rsidRPr="007B6BC5">
        <w:rPr>
          <w:rFonts w:ascii="Arial" w:hAnsi="Arial" w:cs="Arial"/>
          <w:sz w:val="24"/>
          <w:szCs w:val="24"/>
        </w:rPr>
        <w:t xml:space="preserve"> atención al comportamiento humano </w:t>
      </w:r>
      <w:r>
        <w:rPr>
          <w:rFonts w:ascii="Arial" w:hAnsi="Arial" w:cs="Arial"/>
          <w:sz w:val="24"/>
          <w:szCs w:val="24"/>
        </w:rPr>
        <w:t>y formas de organización social, y promuevan</w:t>
      </w:r>
      <w:r w:rsidRPr="007B6BC5">
        <w:rPr>
          <w:rFonts w:ascii="Arial" w:hAnsi="Arial" w:cs="Arial"/>
          <w:sz w:val="24"/>
          <w:szCs w:val="24"/>
        </w:rPr>
        <w:t xml:space="preserve"> la protección y uso sostenibl</w:t>
      </w:r>
      <w:r>
        <w:rPr>
          <w:rFonts w:ascii="Arial" w:hAnsi="Arial" w:cs="Arial"/>
          <w:sz w:val="24"/>
          <w:szCs w:val="24"/>
        </w:rPr>
        <w:t>e de los recursos naturales y el</w:t>
      </w:r>
      <w:r w:rsidRPr="007B6BC5">
        <w:rPr>
          <w:rFonts w:ascii="Arial" w:hAnsi="Arial" w:cs="Arial"/>
          <w:sz w:val="24"/>
          <w:szCs w:val="24"/>
        </w:rPr>
        <w:t xml:space="preserve"> mejoramiento de las condiciones ambientales. </w:t>
      </w:r>
    </w:p>
    <w:p w14:paraId="0E2F9BDF" w14:textId="4410AB32" w:rsidR="007B6BC5" w:rsidRDefault="00E25D59" w:rsidP="00BB70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</w:t>
      </w:r>
      <w:r w:rsidR="00E96537" w:rsidRPr="00E9653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desde el ámbito local, </w:t>
      </w:r>
      <w:r w:rsidR="00E96537" w:rsidRPr="00E96537">
        <w:rPr>
          <w:rFonts w:ascii="Arial" w:hAnsi="Arial" w:cs="Arial"/>
          <w:sz w:val="24"/>
          <w:szCs w:val="24"/>
        </w:rPr>
        <w:t>la protección a los segmentos de población que se encuentran en condiciones de mayor</w:t>
      </w:r>
      <w:r w:rsidR="00E96537">
        <w:rPr>
          <w:rFonts w:ascii="Arial" w:hAnsi="Arial" w:cs="Arial"/>
          <w:sz w:val="24"/>
          <w:szCs w:val="24"/>
        </w:rPr>
        <w:t xml:space="preserve"> </w:t>
      </w:r>
      <w:r w:rsidR="00E96537" w:rsidRPr="00E96537">
        <w:rPr>
          <w:rFonts w:ascii="Arial" w:hAnsi="Arial" w:cs="Arial"/>
          <w:sz w:val="24"/>
          <w:szCs w:val="24"/>
        </w:rPr>
        <w:t>vulnerabilidad</w:t>
      </w:r>
      <w:r w:rsidR="00CD5BAC">
        <w:rPr>
          <w:rFonts w:ascii="Arial" w:hAnsi="Arial" w:cs="Arial"/>
          <w:sz w:val="24"/>
          <w:szCs w:val="24"/>
        </w:rPr>
        <w:t>,</w:t>
      </w:r>
      <w:r w:rsidR="00E96537" w:rsidRPr="00E96537">
        <w:rPr>
          <w:rFonts w:ascii="Arial" w:hAnsi="Arial" w:cs="Arial"/>
          <w:sz w:val="24"/>
          <w:szCs w:val="24"/>
        </w:rPr>
        <w:t xml:space="preserve"> constituye un asunto de atención permanente. </w:t>
      </w:r>
    </w:p>
    <w:p w14:paraId="2FF864B6" w14:textId="6391A400" w:rsidR="00BB7043" w:rsidRDefault="00E96537" w:rsidP="00BB7043">
      <w:pPr>
        <w:jc w:val="both"/>
        <w:rPr>
          <w:rFonts w:ascii="Arial" w:hAnsi="Arial" w:cs="Arial"/>
          <w:sz w:val="24"/>
          <w:szCs w:val="24"/>
        </w:rPr>
      </w:pPr>
      <w:r w:rsidRPr="00E96537">
        <w:rPr>
          <w:rFonts w:ascii="Arial" w:hAnsi="Arial" w:cs="Arial"/>
          <w:sz w:val="24"/>
          <w:szCs w:val="24"/>
        </w:rPr>
        <w:t>La Ley de Seguridad Social establece que los</w:t>
      </w:r>
      <w:r>
        <w:rPr>
          <w:rFonts w:ascii="Arial" w:hAnsi="Arial" w:cs="Arial"/>
          <w:sz w:val="24"/>
          <w:szCs w:val="24"/>
        </w:rPr>
        <w:t xml:space="preserve"> </w:t>
      </w:r>
      <w:r w:rsidRPr="00E96537">
        <w:rPr>
          <w:rFonts w:ascii="Arial" w:hAnsi="Arial" w:cs="Arial"/>
          <w:sz w:val="24"/>
          <w:szCs w:val="24"/>
        </w:rPr>
        <w:t>servicios sociales se prestan a través de dos modalidades: comunitarios, más cercanos a las familias necesitadas; e institucionales, que se dirigen a poblaciones</w:t>
      </w:r>
      <w:r>
        <w:rPr>
          <w:rFonts w:ascii="Arial" w:hAnsi="Arial" w:cs="Arial"/>
          <w:sz w:val="24"/>
          <w:szCs w:val="24"/>
        </w:rPr>
        <w:t xml:space="preserve"> </w:t>
      </w:r>
      <w:r w:rsidRPr="00E96537">
        <w:rPr>
          <w:rFonts w:ascii="Arial" w:hAnsi="Arial" w:cs="Arial"/>
          <w:sz w:val="24"/>
          <w:szCs w:val="24"/>
        </w:rPr>
        <w:t>específicas con una atención personalizada. Los servicios sociales comunitarios comprenden la asistencia</w:t>
      </w:r>
      <w:r>
        <w:rPr>
          <w:rFonts w:ascii="Arial" w:hAnsi="Arial" w:cs="Arial"/>
          <w:sz w:val="24"/>
          <w:szCs w:val="24"/>
        </w:rPr>
        <w:t xml:space="preserve"> </w:t>
      </w:r>
      <w:r w:rsidRPr="00E96537">
        <w:rPr>
          <w:rFonts w:ascii="Arial" w:hAnsi="Arial" w:cs="Arial"/>
          <w:sz w:val="24"/>
          <w:szCs w:val="24"/>
        </w:rPr>
        <w:t>social a domicilio; la protección a madres de hijos con</w:t>
      </w:r>
      <w:r>
        <w:rPr>
          <w:rFonts w:ascii="Arial" w:hAnsi="Arial" w:cs="Arial"/>
          <w:sz w:val="24"/>
          <w:szCs w:val="24"/>
        </w:rPr>
        <w:t xml:space="preserve"> </w:t>
      </w:r>
      <w:r w:rsidRPr="00E96537">
        <w:rPr>
          <w:rFonts w:ascii="Arial" w:hAnsi="Arial" w:cs="Arial"/>
          <w:sz w:val="24"/>
          <w:szCs w:val="24"/>
        </w:rPr>
        <w:t>discapacidad severa; la alimentación en centros especializados o a domicilio; y la inclusión en centros de</w:t>
      </w:r>
      <w:r>
        <w:rPr>
          <w:rFonts w:ascii="Arial" w:hAnsi="Arial" w:cs="Arial"/>
          <w:sz w:val="24"/>
          <w:szCs w:val="24"/>
        </w:rPr>
        <w:t xml:space="preserve"> </w:t>
      </w:r>
      <w:r w:rsidRPr="00E96537">
        <w:rPr>
          <w:rFonts w:ascii="Arial" w:hAnsi="Arial" w:cs="Arial"/>
          <w:sz w:val="24"/>
          <w:szCs w:val="24"/>
        </w:rPr>
        <w:t xml:space="preserve">entrenamiento socio-laboral. </w:t>
      </w:r>
    </w:p>
    <w:p w14:paraId="1EE32430" w14:textId="5F5B891D" w:rsidR="00E96537" w:rsidRDefault="00E96537" w:rsidP="00E96537">
      <w:pPr>
        <w:jc w:val="both"/>
        <w:rPr>
          <w:rFonts w:ascii="Arial" w:hAnsi="Arial" w:cs="Arial"/>
          <w:sz w:val="24"/>
          <w:szCs w:val="24"/>
        </w:rPr>
      </w:pPr>
      <w:r w:rsidRPr="00E96537">
        <w:rPr>
          <w:rFonts w:ascii="Arial" w:hAnsi="Arial" w:cs="Arial"/>
          <w:sz w:val="24"/>
          <w:szCs w:val="24"/>
        </w:rPr>
        <w:t>En la actualidad</w:t>
      </w:r>
      <w:r w:rsidR="007E22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96537">
        <w:rPr>
          <w:rFonts w:ascii="Arial" w:hAnsi="Arial" w:cs="Arial"/>
          <w:sz w:val="24"/>
          <w:szCs w:val="24"/>
        </w:rPr>
        <w:t>se perfecciona el proceso de identificación pormenorizada de estos grupos vulnerables en el nuevo contexto</w:t>
      </w:r>
      <w:r>
        <w:rPr>
          <w:rFonts w:ascii="Arial" w:hAnsi="Arial" w:cs="Arial"/>
          <w:sz w:val="24"/>
          <w:szCs w:val="24"/>
        </w:rPr>
        <w:t xml:space="preserve"> </w:t>
      </w:r>
      <w:r w:rsidRPr="00E96537">
        <w:rPr>
          <w:rFonts w:ascii="Arial" w:hAnsi="Arial" w:cs="Arial"/>
          <w:sz w:val="24"/>
          <w:szCs w:val="24"/>
        </w:rPr>
        <w:t>de ordenamiento monetario y cambiario, a partir de la</w:t>
      </w:r>
      <w:r>
        <w:rPr>
          <w:rFonts w:ascii="Arial" w:hAnsi="Arial" w:cs="Arial"/>
          <w:sz w:val="24"/>
          <w:szCs w:val="24"/>
        </w:rPr>
        <w:t xml:space="preserve"> </w:t>
      </w:r>
      <w:r w:rsidRPr="00E96537">
        <w:rPr>
          <w:rFonts w:ascii="Arial" w:hAnsi="Arial" w:cs="Arial"/>
          <w:sz w:val="24"/>
          <w:szCs w:val="24"/>
        </w:rPr>
        <w:t>transformación del sistema de subsidios y gratuidades</w:t>
      </w:r>
      <w:r>
        <w:rPr>
          <w:rFonts w:ascii="Arial" w:hAnsi="Arial" w:cs="Arial"/>
          <w:sz w:val="24"/>
          <w:szCs w:val="24"/>
        </w:rPr>
        <w:t xml:space="preserve"> </w:t>
      </w:r>
      <w:r w:rsidRPr="00E96537">
        <w:rPr>
          <w:rFonts w:ascii="Arial" w:hAnsi="Arial" w:cs="Arial"/>
          <w:sz w:val="24"/>
          <w:szCs w:val="24"/>
        </w:rPr>
        <w:t>que tiene como propósito focalizar la protección en las</w:t>
      </w:r>
      <w:r>
        <w:rPr>
          <w:rFonts w:ascii="Arial" w:hAnsi="Arial" w:cs="Arial"/>
          <w:sz w:val="24"/>
          <w:szCs w:val="24"/>
        </w:rPr>
        <w:t xml:space="preserve"> </w:t>
      </w:r>
      <w:r w:rsidRPr="00E96537">
        <w:rPr>
          <w:rFonts w:ascii="Arial" w:hAnsi="Arial" w:cs="Arial"/>
          <w:sz w:val="24"/>
          <w:szCs w:val="24"/>
        </w:rPr>
        <w:t>personas, familias y hogares de mayores necesidades. En este proceso, las autoridades locales y actores</w:t>
      </w:r>
      <w:r>
        <w:rPr>
          <w:rFonts w:ascii="Arial" w:hAnsi="Arial" w:cs="Arial"/>
          <w:sz w:val="24"/>
          <w:szCs w:val="24"/>
        </w:rPr>
        <w:t xml:space="preserve"> </w:t>
      </w:r>
      <w:r w:rsidRPr="00E96537">
        <w:rPr>
          <w:rFonts w:ascii="Arial" w:hAnsi="Arial" w:cs="Arial"/>
          <w:sz w:val="24"/>
          <w:szCs w:val="24"/>
        </w:rPr>
        <w:t>de la comunidad juegan un papel esencial.</w:t>
      </w:r>
    </w:p>
    <w:p w14:paraId="0D479E0A" w14:textId="0F27E20C" w:rsidR="004671EC" w:rsidRDefault="007E22A2" w:rsidP="00C34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2021, con el programa de atención a barrios en situación de vulnerabilidad, los órganos locales han movilizado recursos </w:t>
      </w:r>
      <w:r w:rsidR="00CF4EBD">
        <w:rPr>
          <w:rFonts w:ascii="Arial" w:hAnsi="Arial" w:cs="Arial"/>
          <w:sz w:val="24"/>
          <w:szCs w:val="24"/>
        </w:rPr>
        <w:t>para recuperar la infraestructura pública y mejorar la calidad de vida de su población. Esta iniciativa se enmarca en el concepto de transformación comunitaria, que busca impulsar cambios positivos en el contexto de las localidades</w:t>
      </w:r>
      <w:r w:rsidR="008B5EA8">
        <w:rPr>
          <w:rFonts w:ascii="Arial" w:hAnsi="Arial" w:cs="Arial"/>
          <w:sz w:val="24"/>
          <w:szCs w:val="24"/>
        </w:rPr>
        <w:t>.</w:t>
      </w:r>
      <w:r w:rsidR="00CF4EBD">
        <w:rPr>
          <w:rFonts w:ascii="Arial" w:hAnsi="Arial" w:cs="Arial"/>
          <w:sz w:val="24"/>
          <w:szCs w:val="24"/>
        </w:rPr>
        <w:t xml:space="preserve"> Ello estimula la participación de la comunidad en el diseño, búsqueda de soluciones y en la ejecución de las actividades.</w:t>
      </w:r>
    </w:p>
    <w:p w14:paraId="7E1BC8C3" w14:textId="7A22ADE2" w:rsidR="0009257D" w:rsidRPr="00DC1DD0" w:rsidRDefault="0009257D" w:rsidP="000925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Misión Permanente de Cuba en Ginebra </w:t>
      </w:r>
    </w:p>
    <w:sectPr w:rsidR="0009257D" w:rsidRPr="00DC1DD0" w:rsidSect="0009257D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ler-Tex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D42"/>
    <w:multiLevelType w:val="hybridMultilevel"/>
    <w:tmpl w:val="7C66C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B2883"/>
    <w:multiLevelType w:val="hybridMultilevel"/>
    <w:tmpl w:val="E6F85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68B7"/>
    <w:multiLevelType w:val="hybridMultilevel"/>
    <w:tmpl w:val="778E1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7CE3"/>
    <w:multiLevelType w:val="hybridMultilevel"/>
    <w:tmpl w:val="D700C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44819"/>
    <w:multiLevelType w:val="hybridMultilevel"/>
    <w:tmpl w:val="5DB8B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94"/>
    <w:rsid w:val="00014DAE"/>
    <w:rsid w:val="00054EAE"/>
    <w:rsid w:val="0007187D"/>
    <w:rsid w:val="0009257D"/>
    <w:rsid w:val="00092CA5"/>
    <w:rsid w:val="000C621C"/>
    <w:rsid w:val="000E1F09"/>
    <w:rsid w:val="00126559"/>
    <w:rsid w:val="00136E29"/>
    <w:rsid w:val="00187A85"/>
    <w:rsid w:val="001E210F"/>
    <w:rsid w:val="001E2D04"/>
    <w:rsid w:val="001F7A1D"/>
    <w:rsid w:val="001F7D55"/>
    <w:rsid w:val="00226B0E"/>
    <w:rsid w:val="00290F38"/>
    <w:rsid w:val="002B4A12"/>
    <w:rsid w:val="002C5E60"/>
    <w:rsid w:val="00300643"/>
    <w:rsid w:val="003042E0"/>
    <w:rsid w:val="00325A18"/>
    <w:rsid w:val="00327D6F"/>
    <w:rsid w:val="00354B67"/>
    <w:rsid w:val="00377395"/>
    <w:rsid w:val="00377496"/>
    <w:rsid w:val="003C5D6D"/>
    <w:rsid w:val="003D5163"/>
    <w:rsid w:val="00407D03"/>
    <w:rsid w:val="00431C2F"/>
    <w:rsid w:val="00443D25"/>
    <w:rsid w:val="004671EC"/>
    <w:rsid w:val="00487464"/>
    <w:rsid w:val="004908EA"/>
    <w:rsid w:val="004A16F5"/>
    <w:rsid w:val="004A2850"/>
    <w:rsid w:val="004B5841"/>
    <w:rsid w:val="0051463C"/>
    <w:rsid w:val="00567A06"/>
    <w:rsid w:val="005A0455"/>
    <w:rsid w:val="005D445A"/>
    <w:rsid w:val="005D6286"/>
    <w:rsid w:val="005E760B"/>
    <w:rsid w:val="005F6653"/>
    <w:rsid w:val="0060176A"/>
    <w:rsid w:val="006052BA"/>
    <w:rsid w:val="006578A6"/>
    <w:rsid w:val="0067253D"/>
    <w:rsid w:val="006C1E78"/>
    <w:rsid w:val="006E4F68"/>
    <w:rsid w:val="00701C94"/>
    <w:rsid w:val="00767B9A"/>
    <w:rsid w:val="007769AA"/>
    <w:rsid w:val="007B6BC5"/>
    <w:rsid w:val="007C7A13"/>
    <w:rsid w:val="007E22A2"/>
    <w:rsid w:val="008167CF"/>
    <w:rsid w:val="0081687D"/>
    <w:rsid w:val="00847B8C"/>
    <w:rsid w:val="00847BE8"/>
    <w:rsid w:val="008B5EA8"/>
    <w:rsid w:val="008C253D"/>
    <w:rsid w:val="008D03C6"/>
    <w:rsid w:val="009540B1"/>
    <w:rsid w:val="00994A54"/>
    <w:rsid w:val="009D2A01"/>
    <w:rsid w:val="00A02B11"/>
    <w:rsid w:val="00A35A97"/>
    <w:rsid w:val="00A400E2"/>
    <w:rsid w:val="00A401BC"/>
    <w:rsid w:val="00A802A8"/>
    <w:rsid w:val="00AB66BF"/>
    <w:rsid w:val="00B05181"/>
    <w:rsid w:val="00B20501"/>
    <w:rsid w:val="00B271D3"/>
    <w:rsid w:val="00B562C6"/>
    <w:rsid w:val="00B715D4"/>
    <w:rsid w:val="00B76A58"/>
    <w:rsid w:val="00BA3147"/>
    <w:rsid w:val="00BB05B6"/>
    <w:rsid w:val="00BB7043"/>
    <w:rsid w:val="00C2153D"/>
    <w:rsid w:val="00C3435D"/>
    <w:rsid w:val="00C36D35"/>
    <w:rsid w:val="00C743AA"/>
    <w:rsid w:val="00C91B80"/>
    <w:rsid w:val="00C97679"/>
    <w:rsid w:val="00CD5BAC"/>
    <w:rsid w:val="00CF4EBD"/>
    <w:rsid w:val="00CF6911"/>
    <w:rsid w:val="00D01D3A"/>
    <w:rsid w:val="00D5347F"/>
    <w:rsid w:val="00D60F7C"/>
    <w:rsid w:val="00D65DEB"/>
    <w:rsid w:val="00DB20C9"/>
    <w:rsid w:val="00DC13D7"/>
    <w:rsid w:val="00DC1DD0"/>
    <w:rsid w:val="00DD06AD"/>
    <w:rsid w:val="00E25D59"/>
    <w:rsid w:val="00E26AFB"/>
    <w:rsid w:val="00E306C6"/>
    <w:rsid w:val="00E31828"/>
    <w:rsid w:val="00E41F4D"/>
    <w:rsid w:val="00E802F0"/>
    <w:rsid w:val="00E9036E"/>
    <w:rsid w:val="00E96537"/>
    <w:rsid w:val="00EA16E3"/>
    <w:rsid w:val="00EB5249"/>
    <w:rsid w:val="00ED0839"/>
    <w:rsid w:val="00ED1AFD"/>
    <w:rsid w:val="00EE7C0A"/>
    <w:rsid w:val="00EF443A"/>
    <w:rsid w:val="00F33C71"/>
    <w:rsid w:val="00F36C81"/>
    <w:rsid w:val="00F44539"/>
    <w:rsid w:val="00F55443"/>
    <w:rsid w:val="00F712BB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EE90"/>
  <w15:docId w15:val="{98178E37-57D1-4641-91CE-75DF877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D4"/>
    <w:pPr>
      <w:spacing w:after="200" w:line="276" w:lineRule="auto"/>
    </w:pPr>
    <w:rPr>
      <w:rFonts w:eastAsiaTheme="minorEastAsia"/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B715D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5D4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B715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4671EC"/>
    <w:pPr>
      <w:ind w:left="720"/>
      <w:contextualSpacing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4671EC"/>
    <w:rPr>
      <w:b/>
      <w:bCs/>
    </w:rPr>
  </w:style>
  <w:style w:type="character" w:customStyle="1" w:styleId="fontstyle01">
    <w:name w:val="fontstyle01"/>
    <w:basedOn w:val="DefaultParagraphFont"/>
    <w:rsid w:val="00E41F4D"/>
    <w:rPr>
      <w:rFonts w:ascii="Miller-Text" w:hAnsi="Miller-Text" w:hint="default"/>
      <w:b w:val="0"/>
      <w:bCs w:val="0"/>
      <w:i w:val="0"/>
      <w:iCs w:val="0"/>
      <w:color w:val="24202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64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0D145-69B9-48A1-A5FF-774D62FE0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CFBB2E-8A23-4870-A49E-137BE0135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E1C35-1B12-4C4E-9149-A6EF98E137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Minrex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Mirthia Julio Brossard Oris</dc:creator>
  <cp:lastModifiedBy>Lubab Alkhairi</cp:lastModifiedBy>
  <cp:revision>2</cp:revision>
  <cp:lastPrinted>2022-05-03T10:27:00Z</cp:lastPrinted>
  <dcterms:created xsi:type="dcterms:W3CDTF">2022-09-06T13:01:00Z</dcterms:created>
  <dcterms:modified xsi:type="dcterms:W3CDTF">2022-09-06T13:01:00Z</dcterms:modified>
</cp:coreProperties>
</file>