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0BE96" w14:textId="1A3DBACA" w:rsidR="000634AF" w:rsidRPr="00331EA6" w:rsidRDefault="000634AF" w:rsidP="00331EA6">
      <w:pPr>
        <w:jc w:val="center"/>
        <w:rPr>
          <w:rFonts w:asciiTheme="majorBidi" w:hAnsiTheme="majorBidi" w:cstheme="majorBidi"/>
          <w:b/>
          <w:bCs/>
          <w:sz w:val="24"/>
          <w:szCs w:val="24"/>
        </w:rPr>
      </w:pPr>
      <w:r w:rsidRPr="00331EA6">
        <w:rPr>
          <w:rFonts w:asciiTheme="majorBidi" w:hAnsiTheme="majorBidi" w:cstheme="majorBidi"/>
          <w:b/>
          <w:bCs/>
          <w:sz w:val="24"/>
          <w:szCs w:val="24"/>
        </w:rPr>
        <w:t>UNODC’s inputs to OHCHR’s report on Local Government and Human Rights</w:t>
      </w:r>
      <w:r w:rsidR="00574DE3" w:rsidRPr="00331EA6">
        <w:rPr>
          <w:rFonts w:asciiTheme="majorBidi" w:hAnsiTheme="majorBidi" w:cstheme="majorBidi"/>
          <w:b/>
          <w:bCs/>
          <w:sz w:val="24"/>
          <w:szCs w:val="24"/>
        </w:rPr>
        <w:t xml:space="preserve">, pursuant to HRC resolution </w:t>
      </w:r>
      <w:hyperlink r:id="rId11" w:history="1">
        <w:r w:rsidR="00574DE3" w:rsidRPr="00331EA6">
          <w:rPr>
            <w:rStyle w:val="Hyperlink"/>
            <w:rFonts w:asciiTheme="majorBidi" w:hAnsiTheme="majorBidi" w:cstheme="majorBidi"/>
            <w:b/>
            <w:bCs/>
            <w:color w:val="auto"/>
            <w:sz w:val="24"/>
            <w:szCs w:val="24"/>
          </w:rPr>
          <w:t>45/7</w:t>
        </w:r>
      </w:hyperlink>
    </w:p>
    <w:p w14:paraId="4D3388C3" w14:textId="77777777" w:rsidR="00574DE3" w:rsidRPr="00331EA6" w:rsidRDefault="00574DE3" w:rsidP="002C4A3C">
      <w:pPr>
        <w:jc w:val="both"/>
        <w:rPr>
          <w:rFonts w:asciiTheme="majorBidi" w:hAnsiTheme="majorBidi" w:cstheme="majorBidi"/>
          <w:b/>
          <w:bCs/>
          <w:sz w:val="24"/>
          <w:szCs w:val="24"/>
        </w:rPr>
      </w:pPr>
    </w:p>
    <w:p w14:paraId="2905AF8C" w14:textId="1DC0E4EF" w:rsidR="000634AF" w:rsidRPr="00331EA6" w:rsidRDefault="000634AF" w:rsidP="002C4A3C">
      <w:pPr>
        <w:pStyle w:val="ListParagraph"/>
        <w:numPr>
          <w:ilvl w:val="0"/>
          <w:numId w:val="2"/>
        </w:numPr>
        <w:ind w:left="360"/>
        <w:jc w:val="both"/>
        <w:rPr>
          <w:rFonts w:asciiTheme="majorBidi" w:hAnsiTheme="majorBidi" w:cstheme="majorBidi"/>
          <w:b/>
          <w:bCs/>
          <w:sz w:val="24"/>
          <w:szCs w:val="24"/>
        </w:rPr>
      </w:pPr>
      <w:r w:rsidRPr="00331EA6">
        <w:rPr>
          <w:rFonts w:asciiTheme="majorBidi" w:hAnsiTheme="majorBidi" w:cstheme="majorBidi"/>
          <w:b/>
          <w:bCs/>
          <w:sz w:val="24"/>
          <w:szCs w:val="24"/>
        </w:rPr>
        <w:t>Laws, policies and programmes that have been developed by local authorities explicitly to promote and protect human rights, including those related to the right to equality and non-discrimination and the protection of persons in vulnerable and marginalized situations</w:t>
      </w:r>
    </w:p>
    <w:p w14:paraId="2F1C6AF7" w14:textId="17A21C7D" w:rsidR="000634AF" w:rsidRPr="00331EA6" w:rsidRDefault="005954BC" w:rsidP="002C4A3C">
      <w:pPr>
        <w:ind w:left="340"/>
        <w:jc w:val="both"/>
        <w:rPr>
          <w:rFonts w:asciiTheme="majorBidi" w:hAnsiTheme="majorBidi" w:cstheme="majorBidi"/>
          <w:b/>
          <w:bCs/>
          <w:i/>
          <w:iCs/>
          <w:sz w:val="24"/>
          <w:szCs w:val="24"/>
        </w:rPr>
      </w:pPr>
      <w:r w:rsidRPr="00331EA6">
        <w:rPr>
          <w:rFonts w:asciiTheme="majorBidi" w:hAnsiTheme="majorBidi" w:cstheme="majorBidi"/>
          <w:b/>
          <w:bCs/>
          <w:i/>
          <w:iCs/>
          <w:sz w:val="24"/>
          <w:szCs w:val="24"/>
        </w:rPr>
        <w:t xml:space="preserve">Local safety initiatives in </w:t>
      </w:r>
      <w:r w:rsidR="00CF65A2" w:rsidRPr="00331EA6">
        <w:rPr>
          <w:rFonts w:asciiTheme="majorBidi" w:hAnsiTheme="majorBidi" w:cstheme="majorBidi"/>
          <w:b/>
          <w:bCs/>
          <w:i/>
          <w:iCs/>
          <w:sz w:val="24"/>
          <w:szCs w:val="24"/>
        </w:rPr>
        <w:t>Mexico</w:t>
      </w:r>
    </w:p>
    <w:p w14:paraId="4F73B8D5" w14:textId="36B1FF23" w:rsidR="00536170" w:rsidRPr="00331EA6" w:rsidRDefault="000634AF" w:rsidP="002C4A3C">
      <w:pPr>
        <w:ind w:left="340"/>
        <w:jc w:val="both"/>
        <w:rPr>
          <w:rFonts w:asciiTheme="majorBidi" w:hAnsiTheme="majorBidi" w:cstheme="majorBidi"/>
          <w:sz w:val="24"/>
          <w:szCs w:val="24"/>
        </w:rPr>
      </w:pPr>
      <w:r w:rsidRPr="00331EA6">
        <w:rPr>
          <w:rFonts w:asciiTheme="majorBidi" w:hAnsiTheme="majorBidi" w:cstheme="majorBidi"/>
          <w:sz w:val="24"/>
          <w:szCs w:val="24"/>
        </w:rPr>
        <w:t xml:space="preserve">UNODC implemented a </w:t>
      </w:r>
      <w:hyperlink r:id="rId12" w:history="1">
        <w:r w:rsidRPr="00FC0A43">
          <w:rPr>
            <w:rStyle w:val="Hyperlink"/>
            <w:rFonts w:asciiTheme="majorBidi" w:hAnsiTheme="majorBidi" w:cstheme="majorBidi"/>
            <w:sz w:val="24"/>
            <w:szCs w:val="24"/>
          </w:rPr>
          <w:t>Local Safety Audit</w:t>
        </w:r>
      </w:hyperlink>
      <w:r w:rsidRPr="00331EA6">
        <w:rPr>
          <w:rFonts w:asciiTheme="majorBidi" w:hAnsiTheme="majorBidi" w:cstheme="majorBidi"/>
          <w:sz w:val="24"/>
          <w:szCs w:val="24"/>
        </w:rPr>
        <w:t xml:space="preserve"> in</w:t>
      </w:r>
      <w:r w:rsidR="00247A88" w:rsidRPr="00331EA6">
        <w:rPr>
          <w:rFonts w:asciiTheme="majorBidi" w:hAnsiTheme="majorBidi" w:cstheme="majorBidi"/>
          <w:sz w:val="24"/>
          <w:szCs w:val="24"/>
        </w:rPr>
        <w:t xml:space="preserve"> the</w:t>
      </w:r>
      <w:r w:rsidRPr="00331EA6">
        <w:rPr>
          <w:rFonts w:asciiTheme="majorBidi" w:hAnsiTheme="majorBidi" w:cstheme="majorBidi"/>
          <w:sz w:val="24"/>
          <w:szCs w:val="24"/>
        </w:rPr>
        <w:t xml:space="preserve"> </w:t>
      </w:r>
      <w:r w:rsidR="00767ADC" w:rsidRPr="00331EA6">
        <w:rPr>
          <w:rFonts w:asciiTheme="majorBidi" w:hAnsiTheme="majorBidi" w:cstheme="majorBidi"/>
          <w:sz w:val="24"/>
          <w:szCs w:val="24"/>
        </w:rPr>
        <w:t xml:space="preserve">Municipality </w:t>
      </w:r>
      <w:r w:rsidR="00767ADC">
        <w:rPr>
          <w:rFonts w:asciiTheme="majorBidi" w:hAnsiTheme="majorBidi" w:cstheme="majorBidi"/>
          <w:sz w:val="24"/>
          <w:szCs w:val="24"/>
        </w:rPr>
        <w:t xml:space="preserve">of </w:t>
      </w:r>
      <w:r w:rsidRPr="00331EA6">
        <w:rPr>
          <w:rFonts w:asciiTheme="majorBidi" w:hAnsiTheme="majorBidi" w:cstheme="majorBidi"/>
          <w:sz w:val="24"/>
          <w:szCs w:val="24"/>
        </w:rPr>
        <w:t>Queretaro,</w:t>
      </w:r>
      <w:r w:rsidR="00247A88" w:rsidRPr="00331EA6">
        <w:rPr>
          <w:rFonts w:asciiTheme="majorBidi" w:hAnsiTheme="majorBidi" w:cstheme="majorBidi"/>
          <w:sz w:val="24"/>
          <w:szCs w:val="24"/>
        </w:rPr>
        <w:t xml:space="preserve"> </w:t>
      </w:r>
      <w:r w:rsidRPr="00331EA6">
        <w:rPr>
          <w:rFonts w:asciiTheme="majorBidi" w:hAnsiTheme="majorBidi" w:cstheme="majorBidi"/>
          <w:sz w:val="24"/>
          <w:szCs w:val="24"/>
        </w:rPr>
        <w:t>Mexico.</w:t>
      </w:r>
      <w:r w:rsidR="00536170" w:rsidRPr="00331EA6">
        <w:rPr>
          <w:rFonts w:asciiTheme="majorBidi" w:hAnsiTheme="majorBidi" w:cstheme="majorBidi"/>
          <w:sz w:val="24"/>
          <w:szCs w:val="24"/>
        </w:rPr>
        <w:t xml:space="preserve"> </w:t>
      </w:r>
      <w:r w:rsidR="0026246D" w:rsidRPr="00331EA6">
        <w:rPr>
          <w:rFonts w:asciiTheme="majorBidi" w:hAnsiTheme="majorBidi" w:cstheme="majorBidi"/>
          <w:sz w:val="24"/>
          <w:szCs w:val="24"/>
        </w:rPr>
        <w:t xml:space="preserve">The </w:t>
      </w:r>
      <w:r w:rsidR="00730026" w:rsidRPr="00331EA6">
        <w:rPr>
          <w:rFonts w:asciiTheme="majorBidi" w:hAnsiTheme="majorBidi" w:cstheme="majorBidi"/>
          <w:sz w:val="24"/>
          <w:szCs w:val="24"/>
        </w:rPr>
        <w:t xml:space="preserve">Audit enabled the improvement of data collection and monitoring on different types of violence against women in the context of the pandemic. Based on the data collected and analysed, the local authorities identified violence against women, girls and the elderly as a key priority during the COVID-19 pandemic. </w:t>
      </w:r>
      <w:r w:rsidR="00536170" w:rsidRPr="00331EA6">
        <w:rPr>
          <w:rFonts w:asciiTheme="majorBidi" w:eastAsia="Times New Roman" w:hAnsiTheme="majorBidi" w:cstheme="majorBidi"/>
          <w:sz w:val="24"/>
          <w:szCs w:val="24"/>
          <w:lang w:eastAsia="en-US"/>
        </w:rPr>
        <w:t>The results and recommendations of the Audit were used as input for the design of the “2019-2021 Municipal Development Program</w:t>
      </w:r>
      <w:r w:rsidR="00E11BA8" w:rsidRPr="00331EA6">
        <w:rPr>
          <w:rFonts w:asciiTheme="majorBidi" w:eastAsia="Times New Roman" w:hAnsiTheme="majorBidi" w:cstheme="majorBidi"/>
          <w:sz w:val="24"/>
          <w:szCs w:val="24"/>
          <w:lang w:eastAsia="en-US"/>
        </w:rPr>
        <w:t>me</w:t>
      </w:r>
      <w:r w:rsidR="00536170" w:rsidRPr="00331EA6">
        <w:rPr>
          <w:rFonts w:asciiTheme="majorBidi" w:eastAsia="Times New Roman" w:hAnsiTheme="majorBidi" w:cstheme="majorBidi"/>
          <w:sz w:val="24"/>
          <w:szCs w:val="24"/>
          <w:lang w:eastAsia="en-US"/>
        </w:rPr>
        <w:t>”, the “Municipal Safety Program</w:t>
      </w:r>
      <w:r w:rsidR="00E11BA8" w:rsidRPr="00331EA6">
        <w:rPr>
          <w:rFonts w:asciiTheme="majorBidi" w:eastAsia="Times New Roman" w:hAnsiTheme="majorBidi" w:cstheme="majorBidi"/>
          <w:sz w:val="24"/>
          <w:szCs w:val="24"/>
          <w:lang w:eastAsia="en-US"/>
        </w:rPr>
        <w:t>me</w:t>
      </w:r>
      <w:r w:rsidR="00536170" w:rsidRPr="00331EA6">
        <w:rPr>
          <w:rFonts w:asciiTheme="majorBidi" w:eastAsia="Times New Roman" w:hAnsiTheme="majorBidi" w:cstheme="majorBidi"/>
          <w:sz w:val="24"/>
          <w:szCs w:val="24"/>
          <w:lang w:eastAsia="en-US"/>
        </w:rPr>
        <w:t xml:space="preserve">” and the “Action to </w:t>
      </w:r>
      <w:r w:rsidR="0079779D">
        <w:rPr>
          <w:rFonts w:asciiTheme="majorBidi" w:eastAsia="Times New Roman" w:hAnsiTheme="majorBidi" w:cstheme="majorBidi"/>
          <w:sz w:val="24"/>
          <w:szCs w:val="24"/>
          <w:lang w:eastAsia="en-US"/>
        </w:rPr>
        <w:t>P</w:t>
      </w:r>
      <w:r w:rsidR="00536170" w:rsidRPr="00331EA6">
        <w:rPr>
          <w:rFonts w:asciiTheme="majorBidi" w:eastAsia="Times New Roman" w:hAnsiTheme="majorBidi" w:cstheme="majorBidi"/>
          <w:sz w:val="24"/>
          <w:szCs w:val="24"/>
          <w:lang w:eastAsia="en-US"/>
        </w:rPr>
        <w:t>revent Program</w:t>
      </w:r>
      <w:r w:rsidR="00E11BA8" w:rsidRPr="00331EA6">
        <w:rPr>
          <w:rFonts w:asciiTheme="majorBidi" w:eastAsia="Times New Roman" w:hAnsiTheme="majorBidi" w:cstheme="majorBidi"/>
          <w:sz w:val="24"/>
          <w:szCs w:val="24"/>
          <w:lang w:eastAsia="en-US"/>
        </w:rPr>
        <w:t>me</w:t>
      </w:r>
      <w:r w:rsidR="00536170" w:rsidRPr="00331EA6">
        <w:rPr>
          <w:rFonts w:asciiTheme="majorBidi" w:eastAsia="Times New Roman" w:hAnsiTheme="majorBidi" w:cstheme="majorBidi"/>
          <w:sz w:val="24"/>
          <w:szCs w:val="24"/>
          <w:lang w:eastAsia="en-US"/>
        </w:rPr>
        <w:t>”. These program</w:t>
      </w:r>
      <w:r w:rsidR="0015462B" w:rsidRPr="00331EA6">
        <w:rPr>
          <w:rFonts w:asciiTheme="majorBidi" w:eastAsia="Times New Roman" w:hAnsiTheme="majorBidi" w:cstheme="majorBidi"/>
          <w:sz w:val="24"/>
          <w:szCs w:val="24"/>
          <w:lang w:eastAsia="en-US"/>
        </w:rPr>
        <w:t>me</w:t>
      </w:r>
      <w:r w:rsidR="00536170" w:rsidRPr="00331EA6">
        <w:rPr>
          <w:rFonts w:asciiTheme="majorBidi" w:eastAsia="Times New Roman" w:hAnsiTheme="majorBidi" w:cstheme="majorBidi"/>
          <w:sz w:val="24"/>
          <w:szCs w:val="24"/>
          <w:lang w:eastAsia="en-US"/>
        </w:rPr>
        <w:t>s establish strategies and actions to identify, address and reduce the risk factors that generate violence and crime, and the basis for coordination between public municipal agencies, the academic, and the non-governmental sector</w:t>
      </w:r>
      <w:r w:rsidR="00BD2BCC">
        <w:rPr>
          <w:rFonts w:asciiTheme="majorBidi" w:eastAsia="Times New Roman" w:hAnsiTheme="majorBidi" w:cstheme="majorBidi"/>
          <w:sz w:val="24"/>
          <w:szCs w:val="24"/>
          <w:lang w:eastAsia="en-US"/>
        </w:rPr>
        <w:t>s</w:t>
      </w:r>
      <w:r w:rsidR="00536170" w:rsidRPr="00331EA6">
        <w:rPr>
          <w:rFonts w:asciiTheme="majorBidi" w:eastAsia="Times New Roman" w:hAnsiTheme="majorBidi" w:cstheme="majorBidi"/>
          <w:sz w:val="24"/>
          <w:szCs w:val="24"/>
          <w:lang w:eastAsia="en-US"/>
        </w:rPr>
        <w:t>.</w:t>
      </w:r>
      <w:r w:rsidR="00190496" w:rsidRPr="00331EA6">
        <w:rPr>
          <w:rFonts w:asciiTheme="majorBidi" w:eastAsia="Times New Roman" w:hAnsiTheme="majorBidi" w:cstheme="majorBidi"/>
          <w:sz w:val="24"/>
          <w:szCs w:val="24"/>
          <w:lang w:eastAsia="en-US"/>
        </w:rPr>
        <w:t xml:space="preserve"> </w:t>
      </w:r>
      <w:r w:rsidR="00332F7F" w:rsidRPr="00331EA6">
        <w:rPr>
          <w:rFonts w:asciiTheme="majorBidi" w:eastAsia="Times New Roman" w:hAnsiTheme="majorBidi" w:cstheme="majorBidi"/>
          <w:sz w:val="24"/>
          <w:szCs w:val="24"/>
          <w:lang w:eastAsia="en-US"/>
        </w:rPr>
        <w:t xml:space="preserve">For example, with the support of UNODC, </w:t>
      </w:r>
      <w:r w:rsidR="000564B0" w:rsidRPr="00331EA6">
        <w:rPr>
          <w:rFonts w:asciiTheme="majorBidi" w:eastAsia="Times New Roman" w:hAnsiTheme="majorBidi" w:cstheme="majorBidi"/>
          <w:sz w:val="24"/>
          <w:szCs w:val="24"/>
          <w:lang w:eastAsia="en-US"/>
        </w:rPr>
        <w:t xml:space="preserve">the Municipality designed and created a campaign to raise </w:t>
      </w:r>
      <w:r w:rsidR="000564B0" w:rsidRPr="00331EA6">
        <w:rPr>
          <w:rFonts w:asciiTheme="majorBidi" w:hAnsiTheme="majorBidi" w:cstheme="majorBidi"/>
          <w:sz w:val="24"/>
          <w:szCs w:val="24"/>
        </w:rPr>
        <w:t xml:space="preserve">awareness </w:t>
      </w:r>
      <w:r w:rsidR="00BD2BCC">
        <w:rPr>
          <w:rFonts w:asciiTheme="majorBidi" w:hAnsiTheme="majorBidi" w:cstheme="majorBidi"/>
          <w:sz w:val="24"/>
          <w:szCs w:val="24"/>
        </w:rPr>
        <w:t>on</w:t>
      </w:r>
      <w:r w:rsidR="000564B0" w:rsidRPr="00331EA6">
        <w:rPr>
          <w:rFonts w:asciiTheme="majorBidi" w:hAnsiTheme="majorBidi" w:cstheme="majorBidi"/>
          <w:sz w:val="24"/>
          <w:szCs w:val="24"/>
        </w:rPr>
        <w:t xml:space="preserve"> violence and abuse affecting women, girls and the elderly and to keep these vulnerable groups informed about government services and victim support regarding crime and violence. </w:t>
      </w:r>
    </w:p>
    <w:p w14:paraId="2AB2D108" w14:textId="37E9D2EB" w:rsidR="006E4704" w:rsidRPr="00331EA6" w:rsidRDefault="008167CC" w:rsidP="002C4A3C">
      <w:pPr>
        <w:ind w:left="340"/>
        <w:jc w:val="both"/>
        <w:rPr>
          <w:rFonts w:asciiTheme="majorBidi" w:hAnsiTheme="majorBidi" w:cstheme="majorBidi"/>
          <w:sz w:val="24"/>
          <w:szCs w:val="24"/>
        </w:rPr>
      </w:pPr>
      <w:r w:rsidRPr="00331EA6">
        <w:rPr>
          <w:rFonts w:asciiTheme="majorBidi" w:hAnsiTheme="majorBidi" w:cstheme="majorBidi"/>
          <w:sz w:val="24"/>
          <w:szCs w:val="24"/>
        </w:rPr>
        <w:t>To reduce violence against women</w:t>
      </w:r>
      <w:r w:rsidR="00A3041B" w:rsidRPr="00331EA6">
        <w:rPr>
          <w:rFonts w:asciiTheme="majorBidi" w:hAnsiTheme="majorBidi" w:cstheme="majorBidi"/>
          <w:sz w:val="24"/>
          <w:szCs w:val="24"/>
        </w:rPr>
        <w:t xml:space="preserve">, the Queretaro Municipality developed </w:t>
      </w:r>
      <w:r w:rsidR="0082224E" w:rsidRPr="00331EA6">
        <w:rPr>
          <w:rFonts w:asciiTheme="majorBidi" w:hAnsiTheme="majorBidi" w:cstheme="majorBidi"/>
          <w:sz w:val="24"/>
          <w:szCs w:val="24"/>
        </w:rPr>
        <w:t xml:space="preserve">initiatives </w:t>
      </w:r>
      <w:r w:rsidR="006E4704" w:rsidRPr="00331EA6">
        <w:rPr>
          <w:rFonts w:asciiTheme="majorBidi" w:eastAsia="Times New Roman" w:hAnsiTheme="majorBidi" w:cstheme="majorBidi"/>
          <w:sz w:val="24"/>
          <w:szCs w:val="24"/>
          <w:lang w:eastAsia="en-US"/>
        </w:rPr>
        <w:t>which work comprehensively with issues of emotional health, women's health, nutrition, physical conditioning, self-defence courses, workshops to generate empathy and family responsibility, rights and visibility of violence and care protocols</w:t>
      </w:r>
      <w:r w:rsidR="000634AF" w:rsidRPr="00331EA6">
        <w:rPr>
          <w:rFonts w:asciiTheme="majorBidi" w:hAnsiTheme="majorBidi" w:cstheme="majorBidi"/>
          <w:sz w:val="24"/>
          <w:szCs w:val="24"/>
        </w:rPr>
        <w:t xml:space="preserve">. </w:t>
      </w:r>
    </w:p>
    <w:p w14:paraId="42F08FDE" w14:textId="77777777" w:rsidR="00061393" w:rsidRDefault="000634AF" w:rsidP="00061393">
      <w:pPr>
        <w:ind w:left="340"/>
        <w:jc w:val="both"/>
        <w:rPr>
          <w:rFonts w:asciiTheme="majorBidi" w:hAnsiTheme="majorBidi" w:cstheme="majorBidi"/>
          <w:sz w:val="24"/>
          <w:szCs w:val="24"/>
        </w:rPr>
      </w:pPr>
      <w:r w:rsidRPr="00331EA6">
        <w:rPr>
          <w:rFonts w:asciiTheme="majorBidi" w:hAnsiTheme="majorBidi" w:cstheme="majorBidi"/>
          <w:sz w:val="24"/>
          <w:szCs w:val="24"/>
        </w:rPr>
        <w:t xml:space="preserve">Moreover, </w:t>
      </w:r>
      <w:r w:rsidR="000E630F" w:rsidRPr="00331EA6">
        <w:rPr>
          <w:rFonts w:asciiTheme="majorBidi" w:hAnsiTheme="majorBidi" w:cstheme="majorBidi"/>
          <w:sz w:val="24"/>
          <w:szCs w:val="24"/>
        </w:rPr>
        <w:t xml:space="preserve">to address the </w:t>
      </w:r>
      <w:r w:rsidR="00756514" w:rsidRPr="00331EA6">
        <w:rPr>
          <w:rFonts w:asciiTheme="majorBidi" w:hAnsiTheme="majorBidi" w:cstheme="majorBidi"/>
          <w:sz w:val="24"/>
          <w:szCs w:val="24"/>
        </w:rPr>
        <w:t xml:space="preserve">vulnerability of the elderly to crime and violence, </w:t>
      </w:r>
      <w:r w:rsidRPr="00331EA6">
        <w:rPr>
          <w:rFonts w:asciiTheme="majorBidi" w:hAnsiTheme="majorBidi" w:cstheme="majorBidi"/>
          <w:sz w:val="24"/>
          <w:szCs w:val="24"/>
        </w:rPr>
        <w:t>local authorities</w:t>
      </w:r>
      <w:r w:rsidR="00846803" w:rsidRPr="00331EA6">
        <w:rPr>
          <w:rFonts w:asciiTheme="majorBidi" w:hAnsiTheme="majorBidi" w:cstheme="majorBidi"/>
          <w:sz w:val="24"/>
          <w:szCs w:val="24"/>
        </w:rPr>
        <w:t xml:space="preserve"> in Qu</w:t>
      </w:r>
      <w:r w:rsidR="007D1749">
        <w:rPr>
          <w:rFonts w:asciiTheme="majorBidi" w:hAnsiTheme="majorBidi" w:cstheme="majorBidi"/>
          <w:sz w:val="24"/>
          <w:szCs w:val="24"/>
        </w:rPr>
        <w:t>e</w:t>
      </w:r>
      <w:r w:rsidR="00846803" w:rsidRPr="00331EA6">
        <w:rPr>
          <w:rFonts w:asciiTheme="majorBidi" w:hAnsiTheme="majorBidi" w:cstheme="majorBidi"/>
          <w:sz w:val="24"/>
          <w:szCs w:val="24"/>
        </w:rPr>
        <w:t>retaro</w:t>
      </w:r>
      <w:r w:rsidRPr="00331EA6">
        <w:rPr>
          <w:rFonts w:asciiTheme="majorBidi" w:hAnsiTheme="majorBidi" w:cstheme="majorBidi"/>
          <w:sz w:val="24"/>
          <w:szCs w:val="24"/>
        </w:rPr>
        <w:t xml:space="preserve">, </w:t>
      </w:r>
      <w:r w:rsidR="00846803" w:rsidRPr="00331EA6">
        <w:rPr>
          <w:rFonts w:asciiTheme="majorBidi" w:hAnsiTheme="majorBidi" w:cstheme="majorBidi"/>
          <w:sz w:val="24"/>
          <w:szCs w:val="24"/>
        </w:rPr>
        <w:t>jointly with</w:t>
      </w:r>
      <w:r w:rsidRPr="00331EA6">
        <w:rPr>
          <w:rFonts w:asciiTheme="majorBidi" w:hAnsiTheme="majorBidi" w:cstheme="majorBidi"/>
          <w:sz w:val="24"/>
          <w:szCs w:val="24"/>
        </w:rPr>
        <w:t xml:space="preserve"> UNODC</w:t>
      </w:r>
      <w:r w:rsidR="00846803" w:rsidRPr="00331EA6">
        <w:rPr>
          <w:rFonts w:asciiTheme="majorBidi" w:hAnsiTheme="majorBidi" w:cstheme="majorBidi"/>
          <w:sz w:val="24"/>
          <w:szCs w:val="24"/>
        </w:rPr>
        <w:t xml:space="preserve"> through the Ministry of Security</w:t>
      </w:r>
      <w:r w:rsidRPr="00331EA6">
        <w:rPr>
          <w:rFonts w:asciiTheme="majorBidi" w:hAnsiTheme="majorBidi" w:cstheme="majorBidi"/>
          <w:sz w:val="24"/>
          <w:szCs w:val="24"/>
        </w:rPr>
        <w:t xml:space="preserve">, </w:t>
      </w:r>
      <w:r w:rsidR="001A6ED4" w:rsidRPr="00331EA6">
        <w:rPr>
          <w:rFonts w:asciiTheme="majorBidi" w:eastAsia="Times New Roman" w:hAnsiTheme="majorBidi" w:cstheme="majorBidi"/>
          <w:sz w:val="24"/>
          <w:szCs w:val="24"/>
          <w:lang w:eastAsia="en-US"/>
        </w:rPr>
        <w:t>developed the program “Hand by hand for your safety”</w:t>
      </w:r>
      <w:r w:rsidRPr="00331EA6">
        <w:rPr>
          <w:rFonts w:asciiTheme="majorBidi" w:hAnsiTheme="majorBidi" w:cstheme="majorBidi"/>
          <w:sz w:val="24"/>
          <w:szCs w:val="24"/>
        </w:rPr>
        <w:t xml:space="preserve">. </w:t>
      </w:r>
      <w:r w:rsidR="00A812F6" w:rsidRPr="00331EA6">
        <w:rPr>
          <w:rFonts w:asciiTheme="majorBidi" w:eastAsia="Times New Roman" w:hAnsiTheme="majorBidi" w:cstheme="majorBidi"/>
          <w:sz w:val="24"/>
          <w:szCs w:val="24"/>
          <w:lang w:eastAsia="en-US"/>
        </w:rPr>
        <w:t xml:space="preserve">This initiative aims to improve the quality of life of the elderly reducing the risk situations that this population encounters in public spaces </w:t>
      </w:r>
      <w:r w:rsidR="00866A03" w:rsidRPr="00331EA6">
        <w:rPr>
          <w:rFonts w:asciiTheme="majorBidi" w:eastAsia="Times New Roman" w:hAnsiTheme="majorBidi" w:cstheme="majorBidi"/>
          <w:sz w:val="24"/>
          <w:szCs w:val="24"/>
          <w:lang w:eastAsia="en-US"/>
        </w:rPr>
        <w:t xml:space="preserve">and may expose them to violence and abuse. </w:t>
      </w:r>
      <w:r w:rsidRPr="00331EA6">
        <w:rPr>
          <w:rFonts w:asciiTheme="majorBidi" w:hAnsiTheme="majorBidi" w:cstheme="majorBidi"/>
          <w:sz w:val="24"/>
          <w:szCs w:val="24"/>
        </w:rPr>
        <w:t>The initiative promote</w:t>
      </w:r>
      <w:r w:rsidR="00B241DA" w:rsidRPr="00331EA6">
        <w:rPr>
          <w:rFonts w:asciiTheme="majorBidi" w:hAnsiTheme="majorBidi" w:cstheme="majorBidi"/>
          <w:sz w:val="24"/>
          <w:szCs w:val="24"/>
        </w:rPr>
        <w:t>s</w:t>
      </w:r>
      <w:r w:rsidRPr="00331EA6">
        <w:rPr>
          <w:rFonts w:asciiTheme="majorBidi" w:hAnsiTheme="majorBidi" w:cstheme="majorBidi"/>
          <w:sz w:val="24"/>
          <w:szCs w:val="24"/>
        </w:rPr>
        <w:t xml:space="preserve"> the use of an identification bracelet, </w:t>
      </w:r>
      <w:r w:rsidR="001E7F0D" w:rsidRPr="00331EA6">
        <w:rPr>
          <w:rFonts w:asciiTheme="majorBidi" w:eastAsia="Times New Roman" w:hAnsiTheme="majorBidi" w:cstheme="majorBidi"/>
          <w:sz w:val="24"/>
          <w:szCs w:val="24"/>
          <w:lang w:eastAsia="en-US"/>
        </w:rPr>
        <w:t>through which the personal data of the elderly can be known, safeguarding the confidentiality of the information by scanning QR codes that can be read by electronic tablets. The bracelets</w:t>
      </w:r>
      <w:r w:rsidRPr="00331EA6">
        <w:rPr>
          <w:rFonts w:asciiTheme="majorBidi" w:hAnsiTheme="majorBidi" w:cstheme="majorBidi"/>
          <w:sz w:val="24"/>
          <w:szCs w:val="24"/>
        </w:rPr>
        <w:t xml:space="preserve"> ha</w:t>
      </w:r>
      <w:r w:rsidR="001E7F0D" w:rsidRPr="00331EA6">
        <w:rPr>
          <w:rFonts w:asciiTheme="majorBidi" w:hAnsiTheme="majorBidi" w:cstheme="majorBidi"/>
          <w:sz w:val="24"/>
          <w:szCs w:val="24"/>
        </w:rPr>
        <w:t>ve</w:t>
      </w:r>
      <w:r w:rsidRPr="00331EA6">
        <w:rPr>
          <w:rFonts w:asciiTheme="majorBidi" w:hAnsiTheme="majorBidi" w:cstheme="majorBidi"/>
          <w:sz w:val="24"/>
          <w:szCs w:val="24"/>
        </w:rPr>
        <w:t xml:space="preserve"> been quite instrumental in providing immediate assistance by</w:t>
      </w:r>
      <w:r w:rsidR="00066B84" w:rsidRPr="00331EA6">
        <w:rPr>
          <w:rFonts w:asciiTheme="majorBidi" w:hAnsiTheme="majorBidi" w:cstheme="majorBidi"/>
          <w:sz w:val="24"/>
          <w:szCs w:val="24"/>
        </w:rPr>
        <w:t xml:space="preserve"> caregivers and</w:t>
      </w:r>
      <w:r w:rsidRPr="00331EA6">
        <w:rPr>
          <w:rFonts w:asciiTheme="majorBidi" w:hAnsiTheme="majorBidi" w:cstheme="majorBidi"/>
          <w:sz w:val="24"/>
          <w:szCs w:val="24"/>
        </w:rPr>
        <w:t xml:space="preserve"> the police to the elderly in different communities.</w:t>
      </w:r>
    </w:p>
    <w:p w14:paraId="55C911B3" w14:textId="194B3566" w:rsidR="00905259" w:rsidRPr="00905259" w:rsidRDefault="00061393" w:rsidP="00905259">
      <w:pPr>
        <w:ind w:left="340"/>
        <w:jc w:val="both"/>
        <w:rPr>
          <w:rFonts w:asciiTheme="majorBidi" w:hAnsiTheme="majorBidi" w:cstheme="majorBidi"/>
          <w:b/>
          <w:bCs/>
          <w:i/>
          <w:iCs/>
          <w:sz w:val="24"/>
          <w:szCs w:val="24"/>
        </w:rPr>
      </w:pPr>
      <w:r>
        <w:rPr>
          <w:rFonts w:asciiTheme="majorBidi" w:hAnsiTheme="majorBidi" w:cstheme="majorBidi"/>
          <w:sz w:val="24"/>
          <w:szCs w:val="24"/>
        </w:rPr>
        <w:br/>
      </w:r>
      <w:r w:rsidR="00AC0960" w:rsidRPr="00331EA6">
        <w:rPr>
          <w:rFonts w:asciiTheme="majorBidi" w:hAnsiTheme="majorBidi" w:cstheme="majorBidi"/>
          <w:b/>
          <w:bCs/>
          <w:i/>
          <w:iCs/>
          <w:sz w:val="24"/>
          <w:szCs w:val="24"/>
        </w:rPr>
        <w:t>Trafficking in Persons</w:t>
      </w:r>
    </w:p>
    <w:p w14:paraId="14301932" w14:textId="4831D657" w:rsidR="00AC0960" w:rsidRPr="00331EA6" w:rsidRDefault="00DF0134" w:rsidP="00F308E3">
      <w:pPr>
        <w:pStyle w:val="wordsection1"/>
        <w:ind w:left="340"/>
        <w:jc w:val="both"/>
        <w:rPr>
          <w:rFonts w:asciiTheme="majorBidi" w:hAnsiTheme="majorBidi" w:cstheme="majorBidi"/>
          <w:sz w:val="24"/>
          <w:szCs w:val="24"/>
        </w:rPr>
      </w:pPr>
      <w:r>
        <w:rPr>
          <w:rFonts w:asciiTheme="majorBidi" w:hAnsiTheme="majorBidi" w:cstheme="majorBidi"/>
          <w:sz w:val="24"/>
          <w:szCs w:val="24"/>
        </w:rPr>
        <w:t>H</w:t>
      </w:r>
      <w:r w:rsidR="00AC0960" w:rsidRPr="00331EA6">
        <w:rPr>
          <w:rFonts w:asciiTheme="majorBidi" w:hAnsiTheme="majorBidi" w:cstheme="majorBidi"/>
          <w:sz w:val="24"/>
          <w:szCs w:val="24"/>
        </w:rPr>
        <w:t xml:space="preserve">uman trafficking is a serious crime and a grave violation of human rights. Smuggled people often can become the victims of human rights violations in the smuggling process. In response, UNODC works with national stakeholders, including local government structures, to support the implementation of the </w:t>
      </w:r>
      <w:hyperlink r:id="rId13" w:history="1">
        <w:r w:rsidR="00AC0960" w:rsidRPr="00331EA6">
          <w:rPr>
            <w:rFonts w:asciiTheme="majorBidi" w:hAnsiTheme="majorBidi" w:cstheme="majorBidi"/>
            <w:sz w:val="24"/>
            <w:szCs w:val="24"/>
          </w:rPr>
          <w:t>UN Convention against Transnational Organized Crime</w:t>
        </w:r>
      </w:hyperlink>
      <w:r w:rsidR="00AC0960" w:rsidRPr="00331EA6">
        <w:rPr>
          <w:rFonts w:asciiTheme="majorBidi" w:hAnsiTheme="majorBidi" w:cstheme="majorBidi"/>
          <w:sz w:val="24"/>
          <w:szCs w:val="24"/>
        </w:rPr>
        <w:t xml:space="preserve"> and its supplementing protocols—</w:t>
      </w:r>
      <w:hyperlink r:id="rId14" w:history="1">
        <w:r w:rsidR="00AC0960" w:rsidRPr="00385679">
          <w:rPr>
            <w:rStyle w:val="Hyperlink"/>
            <w:rFonts w:asciiTheme="majorBidi" w:hAnsiTheme="majorBidi" w:cstheme="majorBidi"/>
            <w:sz w:val="24"/>
            <w:szCs w:val="24"/>
          </w:rPr>
          <w:t>the Protocol to Prevent, Suppress and Punish Trafficking in Persons, Especially Women and Children</w:t>
        </w:r>
      </w:hyperlink>
      <w:r w:rsidR="00AC0960" w:rsidRPr="00331EA6">
        <w:rPr>
          <w:rFonts w:asciiTheme="majorBidi" w:hAnsiTheme="majorBidi" w:cstheme="majorBidi"/>
          <w:sz w:val="24"/>
          <w:szCs w:val="24"/>
        </w:rPr>
        <w:t xml:space="preserve"> and the </w:t>
      </w:r>
      <w:hyperlink r:id="rId15" w:history="1">
        <w:r w:rsidR="00AC0960" w:rsidRPr="006948F5">
          <w:rPr>
            <w:rStyle w:val="Hyperlink"/>
            <w:rFonts w:asciiTheme="majorBidi" w:hAnsiTheme="majorBidi" w:cstheme="majorBidi"/>
            <w:sz w:val="24"/>
            <w:szCs w:val="24"/>
          </w:rPr>
          <w:t xml:space="preserve">Protocol against </w:t>
        </w:r>
        <w:r w:rsidR="00AC0960" w:rsidRPr="006948F5">
          <w:rPr>
            <w:rStyle w:val="Hyperlink"/>
            <w:rFonts w:asciiTheme="majorBidi" w:hAnsiTheme="majorBidi" w:cstheme="majorBidi"/>
            <w:sz w:val="24"/>
            <w:szCs w:val="24"/>
          </w:rPr>
          <w:lastRenderedPageBreak/>
          <w:t xml:space="preserve">the Smuggling of Migrants by </w:t>
        </w:r>
        <w:r w:rsidR="009D5462" w:rsidRPr="006948F5">
          <w:rPr>
            <w:rStyle w:val="Hyperlink"/>
            <w:rFonts w:asciiTheme="majorBidi" w:hAnsiTheme="majorBidi" w:cstheme="majorBidi"/>
            <w:sz w:val="24"/>
            <w:szCs w:val="24"/>
          </w:rPr>
          <w:t>L</w:t>
        </w:r>
        <w:r w:rsidR="00AC0960" w:rsidRPr="006948F5">
          <w:rPr>
            <w:rStyle w:val="Hyperlink"/>
            <w:rFonts w:asciiTheme="majorBidi" w:hAnsiTheme="majorBidi" w:cstheme="majorBidi"/>
            <w:sz w:val="24"/>
            <w:szCs w:val="24"/>
          </w:rPr>
          <w:t>and, Sea and Air</w:t>
        </w:r>
      </w:hyperlink>
      <w:r w:rsidR="00AC0960" w:rsidRPr="00331EA6">
        <w:rPr>
          <w:rFonts w:asciiTheme="majorBidi" w:hAnsiTheme="majorBidi" w:cstheme="majorBidi"/>
          <w:sz w:val="24"/>
          <w:szCs w:val="24"/>
        </w:rPr>
        <w:t>. In most States, local government authorities are involved as part of national coordination teams, which include government departments, local government authorities and civil society organizations, among others.</w:t>
      </w:r>
    </w:p>
    <w:p w14:paraId="144356AD" w14:textId="77777777" w:rsidR="00AC0960" w:rsidRPr="00331EA6" w:rsidRDefault="00AC0960" w:rsidP="002C4A3C">
      <w:pPr>
        <w:pStyle w:val="wordsection1"/>
        <w:jc w:val="both"/>
        <w:rPr>
          <w:rFonts w:asciiTheme="majorBidi" w:hAnsiTheme="majorBidi" w:cstheme="majorBidi"/>
          <w:sz w:val="24"/>
          <w:szCs w:val="24"/>
        </w:rPr>
      </w:pPr>
    </w:p>
    <w:p w14:paraId="7851C93C" w14:textId="5AD69990" w:rsidR="00CA64C2" w:rsidRPr="00331EA6" w:rsidRDefault="00AC0960" w:rsidP="00F308E3">
      <w:pPr>
        <w:pStyle w:val="wordsection1"/>
        <w:ind w:left="340"/>
        <w:jc w:val="both"/>
        <w:rPr>
          <w:rFonts w:asciiTheme="majorBidi" w:hAnsiTheme="majorBidi" w:cstheme="majorBidi"/>
          <w:sz w:val="24"/>
          <w:szCs w:val="24"/>
        </w:rPr>
      </w:pPr>
      <w:r w:rsidRPr="00331EA6">
        <w:rPr>
          <w:rFonts w:asciiTheme="majorBidi" w:hAnsiTheme="majorBidi" w:cstheme="majorBidi"/>
          <w:sz w:val="24"/>
          <w:szCs w:val="24"/>
        </w:rPr>
        <w:t xml:space="preserve">In </w:t>
      </w:r>
      <w:r w:rsidR="001746EE" w:rsidRPr="00331EA6">
        <w:rPr>
          <w:rFonts w:asciiTheme="majorBidi" w:hAnsiTheme="majorBidi" w:cstheme="majorBidi"/>
          <w:sz w:val="24"/>
          <w:szCs w:val="24"/>
        </w:rPr>
        <w:t>2021</w:t>
      </w:r>
      <w:r w:rsidRPr="00331EA6">
        <w:rPr>
          <w:rFonts w:asciiTheme="majorBidi" w:hAnsiTheme="majorBidi" w:cstheme="majorBidi"/>
          <w:sz w:val="24"/>
          <w:szCs w:val="24"/>
        </w:rPr>
        <w:t xml:space="preserve">, UNODC </w:t>
      </w:r>
      <w:r w:rsidR="00CA64C2" w:rsidRPr="00331EA6">
        <w:rPr>
          <w:rFonts w:asciiTheme="majorBidi" w:hAnsiTheme="majorBidi" w:cstheme="majorBidi"/>
          <w:sz w:val="24"/>
          <w:szCs w:val="24"/>
        </w:rPr>
        <w:t xml:space="preserve">supported </w:t>
      </w:r>
      <w:r w:rsidR="006A3BA4" w:rsidRPr="00331EA6">
        <w:rPr>
          <w:rFonts w:asciiTheme="majorBidi" w:hAnsiTheme="majorBidi" w:cstheme="majorBidi"/>
          <w:sz w:val="24"/>
          <w:szCs w:val="24"/>
        </w:rPr>
        <w:t xml:space="preserve">the local government of the Metropolitan Municipality of Lima </w:t>
      </w:r>
      <w:proofErr w:type="spellStart"/>
      <w:r w:rsidR="006A3BA4" w:rsidRPr="00331EA6">
        <w:rPr>
          <w:rFonts w:asciiTheme="majorBidi" w:hAnsiTheme="majorBidi" w:cstheme="majorBidi"/>
          <w:sz w:val="24"/>
          <w:szCs w:val="24"/>
        </w:rPr>
        <w:t>Serenazgo</w:t>
      </w:r>
      <w:proofErr w:type="spellEnd"/>
      <w:r w:rsidR="001746EE" w:rsidRPr="00331EA6">
        <w:rPr>
          <w:rFonts w:asciiTheme="majorBidi" w:hAnsiTheme="majorBidi" w:cstheme="majorBidi"/>
          <w:sz w:val="24"/>
          <w:szCs w:val="24"/>
        </w:rPr>
        <w:t xml:space="preserve"> in Peru to ensure the protection of the rights of trafficking victims</w:t>
      </w:r>
      <w:r w:rsidR="006A3BA4" w:rsidRPr="00331EA6">
        <w:rPr>
          <w:rFonts w:asciiTheme="majorBidi" w:hAnsiTheme="majorBidi" w:cstheme="majorBidi"/>
          <w:sz w:val="24"/>
          <w:szCs w:val="24"/>
        </w:rPr>
        <w:t xml:space="preserve"> </w:t>
      </w:r>
      <w:r w:rsidR="00CA64C2" w:rsidRPr="00331EA6">
        <w:rPr>
          <w:rFonts w:asciiTheme="majorBidi" w:hAnsiTheme="majorBidi" w:cstheme="majorBidi"/>
          <w:sz w:val="24"/>
          <w:szCs w:val="24"/>
        </w:rPr>
        <w:t>by</w:t>
      </w:r>
      <w:r w:rsidR="00945165" w:rsidRPr="00331EA6">
        <w:rPr>
          <w:rFonts w:asciiTheme="majorBidi" w:hAnsiTheme="majorBidi" w:cstheme="majorBidi"/>
          <w:sz w:val="24"/>
          <w:szCs w:val="24"/>
        </w:rPr>
        <w:t xml:space="preserve"> develop</w:t>
      </w:r>
      <w:r w:rsidR="00CA64C2" w:rsidRPr="00331EA6">
        <w:rPr>
          <w:rFonts w:asciiTheme="majorBidi" w:hAnsiTheme="majorBidi" w:cstheme="majorBidi"/>
          <w:sz w:val="24"/>
          <w:szCs w:val="24"/>
        </w:rPr>
        <w:t>ing</w:t>
      </w:r>
      <w:r w:rsidR="00945165" w:rsidRPr="00331EA6">
        <w:rPr>
          <w:rFonts w:asciiTheme="majorBidi" w:hAnsiTheme="majorBidi" w:cstheme="majorBidi"/>
          <w:sz w:val="24"/>
          <w:szCs w:val="24"/>
        </w:rPr>
        <w:t xml:space="preserve"> a manual of operating procedures </w:t>
      </w:r>
      <w:r w:rsidR="00CA64C2" w:rsidRPr="00331EA6">
        <w:rPr>
          <w:rFonts w:asciiTheme="majorBidi" w:hAnsiTheme="majorBidi" w:cstheme="majorBidi"/>
          <w:sz w:val="24"/>
          <w:szCs w:val="24"/>
        </w:rPr>
        <w:t>for the identification and referral of cases of human trafficking</w:t>
      </w:r>
      <w:r w:rsidR="001746EE" w:rsidRPr="00331EA6">
        <w:rPr>
          <w:rFonts w:asciiTheme="majorBidi" w:hAnsiTheme="majorBidi" w:cstheme="majorBidi"/>
          <w:sz w:val="24"/>
          <w:szCs w:val="24"/>
        </w:rPr>
        <w:t>.</w:t>
      </w:r>
    </w:p>
    <w:p w14:paraId="036BAA94" w14:textId="77777777" w:rsidR="00CA64C2" w:rsidRDefault="00CA64C2" w:rsidP="002C4A3C">
      <w:pPr>
        <w:pStyle w:val="wordsection1"/>
        <w:jc w:val="both"/>
        <w:rPr>
          <w:rFonts w:asciiTheme="majorBidi" w:hAnsiTheme="majorBidi" w:cstheme="majorBidi"/>
          <w:sz w:val="24"/>
          <w:szCs w:val="24"/>
        </w:rPr>
      </w:pPr>
    </w:p>
    <w:p w14:paraId="2F5BEE5D" w14:textId="77777777" w:rsidR="00480500" w:rsidRPr="00331EA6" w:rsidRDefault="00480500" w:rsidP="002C4A3C">
      <w:pPr>
        <w:pStyle w:val="wordsection1"/>
        <w:jc w:val="both"/>
        <w:rPr>
          <w:rFonts w:asciiTheme="majorBidi" w:hAnsiTheme="majorBidi" w:cstheme="majorBidi"/>
          <w:sz w:val="24"/>
          <w:szCs w:val="24"/>
        </w:rPr>
      </w:pPr>
    </w:p>
    <w:p w14:paraId="7684E74D" w14:textId="76FD7345" w:rsidR="00865D2C" w:rsidRPr="00331EA6" w:rsidRDefault="000634AF" w:rsidP="00F308E3">
      <w:pPr>
        <w:pStyle w:val="ListParagraph"/>
        <w:numPr>
          <w:ilvl w:val="0"/>
          <w:numId w:val="2"/>
        </w:numPr>
        <w:ind w:left="360"/>
        <w:jc w:val="both"/>
        <w:rPr>
          <w:rFonts w:asciiTheme="majorBidi" w:hAnsiTheme="majorBidi" w:cstheme="majorBidi"/>
          <w:b/>
          <w:bCs/>
          <w:sz w:val="24"/>
          <w:szCs w:val="24"/>
          <w:lang w:val="en-US"/>
        </w:rPr>
      </w:pPr>
      <w:r w:rsidRPr="00331EA6">
        <w:rPr>
          <w:rFonts w:asciiTheme="majorBidi" w:hAnsiTheme="majorBidi" w:cstheme="majorBidi"/>
          <w:b/>
          <w:bCs/>
          <w:sz w:val="24"/>
          <w:szCs w:val="24"/>
          <w:lang w:val="en-US"/>
        </w:rPr>
        <w:t>Challenges faced by local authorities and promising practices, to promote and protect human rights, including in relation to the right to equality and non-discrimination and the protection of persons in vulnerable and marginalized situations</w:t>
      </w:r>
    </w:p>
    <w:p w14:paraId="0A349696" w14:textId="7840D418" w:rsidR="00865D2C" w:rsidRPr="00331EA6" w:rsidRDefault="00784BF7" w:rsidP="00F308E3">
      <w:pPr>
        <w:spacing w:after="0" w:line="240" w:lineRule="auto"/>
        <w:ind w:left="360" w:right="-46"/>
        <w:contextualSpacing/>
        <w:jc w:val="both"/>
        <w:rPr>
          <w:rFonts w:asciiTheme="majorBidi" w:hAnsiTheme="majorBidi" w:cstheme="majorBidi"/>
          <w:b/>
          <w:bCs/>
          <w:i/>
          <w:iCs/>
          <w:sz w:val="24"/>
          <w:szCs w:val="24"/>
        </w:rPr>
      </w:pPr>
      <w:r w:rsidRPr="00331EA6">
        <w:rPr>
          <w:rFonts w:asciiTheme="majorBidi" w:hAnsiTheme="majorBidi" w:cstheme="majorBidi"/>
          <w:b/>
          <w:bCs/>
          <w:i/>
          <w:iCs/>
          <w:sz w:val="24"/>
          <w:szCs w:val="24"/>
        </w:rPr>
        <w:t>Gender-sensitive strategies</w:t>
      </w:r>
      <w:r w:rsidR="00B64A70" w:rsidRPr="00331EA6">
        <w:rPr>
          <w:rFonts w:asciiTheme="majorBidi" w:hAnsiTheme="majorBidi" w:cstheme="majorBidi"/>
          <w:b/>
          <w:bCs/>
          <w:i/>
          <w:iCs/>
          <w:sz w:val="24"/>
          <w:szCs w:val="24"/>
        </w:rPr>
        <w:t xml:space="preserve"> to prevent and counter corruption</w:t>
      </w:r>
    </w:p>
    <w:p w14:paraId="46DDA82C" w14:textId="77777777" w:rsidR="00FD3492" w:rsidRPr="00331EA6" w:rsidRDefault="00FD3492" w:rsidP="002C4A3C">
      <w:pPr>
        <w:spacing w:after="0" w:line="240" w:lineRule="auto"/>
        <w:ind w:right="-46"/>
        <w:contextualSpacing/>
        <w:jc w:val="both"/>
        <w:rPr>
          <w:rFonts w:asciiTheme="majorBidi" w:hAnsiTheme="majorBidi" w:cstheme="majorBidi"/>
          <w:b/>
          <w:bCs/>
          <w:i/>
          <w:iCs/>
          <w:sz w:val="24"/>
          <w:szCs w:val="24"/>
        </w:rPr>
      </w:pPr>
    </w:p>
    <w:p w14:paraId="71E709DE" w14:textId="511DE414" w:rsidR="000634AF" w:rsidRPr="00331EA6" w:rsidRDefault="00865D2C" w:rsidP="00F308E3">
      <w:pPr>
        <w:spacing w:after="0" w:line="240" w:lineRule="auto"/>
        <w:ind w:left="360" w:right="-46"/>
        <w:contextualSpacing/>
        <w:jc w:val="both"/>
        <w:rPr>
          <w:rFonts w:asciiTheme="majorBidi" w:hAnsiTheme="majorBidi" w:cstheme="majorBidi"/>
          <w:sz w:val="24"/>
          <w:szCs w:val="24"/>
        </w:rPr>
      </w:pPr>
      <w:r w:rsidRPr="00331EA6">
        <w:rPr>
          <w:rFonts w:asciiTheme="majorBidi" w:hAnsiTheme="majorBidi" w:cstheme="majorBidi"/>
          <w:sz w:val="24"/>
          <w:szCs w:val="24"/>
        </w:rPr>
        <w:t xml:space="preserve">Corruption adversely impacts women’s ability to practice their rights and can also limit the public resources that should be available to them and other equity-seeking groups, </w:t>
      </w:r>
      <w:proofErr w:type="gramStart"/>
      <w:r w:rsidRPr="00331EA6">
        <w:rPr>
          <w:rFonts w:asciiTheme="majorBidi" w:hAnsiTheme="majorBidi" w:cstheme="majorBidi"/>
          <w:sz w:val="24"/>
          <w:szCs w:val="24"/>
        </w:rPr>
        <w:t>in particular at</w:t>
      </w:r>
      <w:proofErr w:type="gramEnd"/>
      <w:r w:rsidRPr="00331EA6">
        <w:rPr>
          <w:rFonts w:asciiTheme="majorBidi" w:hAnsiTheme="majorBidi" w:cstheme="majorBidi"/>
          <w:sz w:val="24"/>
          <w:szCs w:val="24"/>
        </w:rPr>
        <w:t xml:space="preserve"> a local level. UNODC’s publication “</w:t>
      </w:r>
      <w:hyperlink r:id="rId16" w:history="1">
        <w:r w:rsidRPr="009315BA">
          <w:rPr>
            <w:rStyle w:val="Hyperlink"/>
            <w:rFonts w:asciiTheme="majorBidi" w:hAnsiTheme="majorBidi" w:cstheme="majorBidi"/>
            <w:color w:val="0070C0"/>
            <w:sz w:val="24"/>
            <w:szCs w:val="24"/>
          </w:rPr>
          <w:t>The time is now: Addressing the gender dimensions of corruption</w:t>
        </w:r>
      </w:hyperlink>
      <w:r w:rsidRPr="00331EA6">
        <w:rPr>
          <w:rFonts w:asciiTheme="majorBidi" w:hAnsiTheme="majorBidi" w:cstheme="majorBidi"/>
          <w:sz w:val="24"/>
          <w:szCs w:val="24"/>
        </w:rPr>
        <w:t xml:space="preserve">” gives an account of how anti-corruption and gender equality policies and programmes are mutually reinforcing, e.g. when adopting anti-corruption policies and a design that embraces inclusion and gender equality. Inclusion, gender equality and women’s empowerment are key to disrupting collusive </w:t>
      </w:r>
      <w:r w:rsidR="002E6779">
        <w:rPr>
          <w:rFonts w:asciiTheme="majorBidi" w:hAnsiTheme="majorBidi" w:cstheme="majorBidi"/>
          <w:sz w:val="24"/>
          <w:szCs w:val="24"/>
        </w:rPr>
        <w:t xml:space="preserve">networks </w:t>
      </w:r>
      <w:r w:rsidRPr="00331EA6">
        <w:rPr>
          <w:rFonts w:asciiTheme="majorBidi" w:hAnsiTheme="majorBidi" w:cstheme="majorBidi"/>
          <w:sz w:val="24"/>
          <w:szCs w:val="24"/>
        </w:rPr>
        <w:t>that tend to cater to their own. However, where women are also represented in decision-making contexts, they work for more inclusive and accountable decisions that benefit a wider range of the population, most notably in sectors that are close to women’s realities</w:t>
      </w:r>
      <w:r w:rsidR="00385417">
        <w:rPr>
          <w:rFonts w:asciiTheme="majorBidi" w:hAnsiTheme="majorBidi" w:cstheme="majorBidi"/>
          <w:sz w:val="24"/>
          <w:szCs w:val="24"/>
        </w:rPr>
        <w:t>,</w:t>
      </w:r>
      <w:r w:rsidRPr="00331EA6">
        <w:rPr>
          <w:rFonts w:asciiTheme="majorBidi" w:hAnsiTheme="majorBidi" w:cstheme="majorBidi"/>
          <w:sz w:val="24"/>
          <w:szCs w:val="24"/>
        </w:rPr>
        <w:t xml:space="preserve"> such as education and health care. </w:t>
      </w:r>
    </w:p>
    <w:p w14:paraId="0409B567" w14:textId="77777777" w:rsidR="00293405" w:rsidRPr="00331EA6" w:rsidRDefault="00293405" w:rsidP="002C4A3C">
      <w:pPr>
        <w:spacing w:after="0" w:line="240" w:lineRule="auto"/>
        <w:ind w:right="-46"/>
        <w:contextualSpacing/>
        <w:jc w:val="both"/>
        <w:rPr>
          <w:rFonts w:asciiTheme="majorBidi" w:hAnsiTheme="majorBidi" w:cstheme="majorBidi"/>
          <w:sz w:val="24"/>
          <w:szCs w:val="24"/>
        </w:rPr>
      </w:pPr>
    </w:p>
    <w:p w14:paraId="50C14D60" w14:textId="361E358B" w:rsidR="00293405" w:rsidRPr="00331EA6" w:rsidRDefault="00293405" w:rsidP="0016019F">
      <w:pPr>
        <w:ind w:left="360" w:right="-46"/>
        <w:jc w:val="both"/>
        <w:rPr>
          <w:rFonts w:asciiTheme="majorBidi" w:hAnsiTheme="majorBidi" w:cstheme="majorBidi"/>
          <w:sz w:val="24"/>
          <w:szCs w:val="24"/>
        </w:rPr>
      </w:pPr>
      <w:r w:rsidRPr="00331EA6">
        <w:rPr>
          <w:rFonts w:asciiTheme="majorBidi" w:hAnsiTheme="majorBidi" w:cstheme="majorBidi"/>
          <w:sz w:val="24"/>
          <w:szCs w:val="24"/>
        </w:rPr>
        <w:t>In health care, greater gender equality in local government is also associated with reduced bribery in accessing such services. Researchers have found that women in elected office may be more willing to install government auditing devices in order to stem leakage in public money that goes towards health care and other basic services.</w:t>
      </w:r>
      <w:r w:rsidRPr="00331EA6">
        <w:rPr>
          <w:rStyle w:val="FootnoteReference"/>
          <w:rFonts w:asciiTheme="majorBidi" w:hAnsiTheme="majorBidi" w:cstheme="majorBidi"/>
          <w:sz w:val="24"/>
          <w:szCs w:val="24"/>
        </w:rPr>
        <w:footnoteReference w:id="2"/>
      </w:r>
    </w:p>
    <w:p w14:paraId="0E12507C" w14:textId="5193F6BC" w:rsidR="00293405" w:rsidRPr="00331EA6" w:rsidRDefault="00293405" w:rsidP="0016019F">
      <w:pPr>
        <w:ind w:left="360" w:right="-46"/>
        <w:jc w:val="both"/>
        <w:rPr>
          <w:rFonts w:asciiTheme="majorBidi" w:hAnsiTheme="majorBidi" w:cstheme="majorBidi"/>
          <w:sz w:val="24"/>
          <w:szCs w:val="24"/>
        </w:rPr>
      </w:pPr>
      <w:r w:rsidRPr="00331EA6">
        <w:rPr>
          <w:rFonts w:asciiTheme="majorBidi" w:hAnsiTheme="majorBidi" w:cstheme="majorBidi"/>
          <w:sz w:val="24"/>
          <w:szCs w:val="24"/>
        </w:rPr>
        <w:t>Where local governments are responsible for public works and services, gender sensitive public procurement laws, policies and practices can also boost women’s economic empowerment and advance gender equality</w:t>
      </w:r>
      <w:r w:rsidR="00512643" w:rsidRPr="00331EA6">
        <w:rPr>
          <w:rFonts w:asciiTheme="majorBidi" w:hAnsiTheme="majorBidi" w:cstheme="majorBidi"/>
          <w:sz w:val="24"/>
          <w:szCs w:val="24"/>
        </w:rPr>
        <w:t xml:space="preserve">. </w:t>
      </w:r>
      <w:r w:rsidR="003C61A2" w:rsidRPr="00331EA6">
        <w:rPr>
          <w:rFonts w:asciiTheme="majorBidi" w:hAnsiTheme="majorBidi" w:cstheme="majorBidi"/>
          <w:sz w:val="24"/>
          <w:szCs w:val="24"/>
        </w:rPr>
        <w:t>Good practices</w:t>
      </w:r>
      <w:r w:rsidR="00512643" w:rsidRPr="00331EA6">
        <w:rPr>
          <w:rFonts w:asciiTheme="majorBidi" w:hAnsiTheme="majorBidi" w:cstheme="majorBidi"/>
          <w:sz w:val="24"/>
          <w:szCs w:val="24"/>
        </w:rPr>
        <w:t xml:space="preserve"> </w:t>
      </w:r>
      <w:r w:rsidRPr="00331EA6">
        <w:rPr>
          <w:rFonts w:asciiTheme="majorBidi" w:hAnsiTheme="majorBidi" w:cstheme="majorBidi"/>
          <w:sz w:val="24"/>
          <w:szCs w:val="24"/>
        </w:rPr>
        <w:t>includ</w:t>
      </w:r>
      <w:r w:rsidR="00512643" w:rsidRPr="00331EA6">
        <w:rPr>
          <w:rFonts w:asciiTheme="majorBidi" w:hAnsiTheme="majorBidi" w:cstheme="majorBidi"/>
          <w:sz w:val="24"/>
          <w:szCs w:val="24"/>
        </w:rPr>
        <w:t>e</w:t>
      </w:r>
      <w:r w:rsidRPr="00331EA6">
        <w:rPr>
          <w:rFonts w:asciiTheme="majorBidi" w:hAnsiTheme="majorBidi" w:cstheme="majorBidi"/>
          <w:sz w:val="24"/>
          <w:szCs w:val="24"/>
        </w:rPr>
        <w:t xml:space="preserve">: </w:t>
      </w:r>
    </w:p>
    <w:p w14:paraId="6FA66735" w14:textId="462E3746" w:rsidR="00293405" w:rsidRPr="00331EA6" w:rsidRDefault="009C7C4C" w:rsidP="002C4A3C">
      <w:pPr>
        <w:pStyle w:val="ListParagraph"/>
        <w:numPr>
          <w:ilvl w:val="0"/>
          <w:numId w:val="3"/>
        </w:numPr>
        <w:spacing w:before="100" w:beforeAutospacing="1" w:after="100" w:afterAutospacing="1" w:line="240" w:lineRule="auto"/>
        <w:ind w:right="-46"/>
        <w:contextualSpacing w:val="0"/>
        <w:jc w:val="both"/>
        <w:rPr>
          <w:rFonts w:asciiTheme="majorBidi" w:hAnsiTheme="majorBidi" w:cstheme="majorBidi"/>
          <w:sz w:val="24"/>
          <w:szCs w:val="24"/>
        </w:rPr>
      </w:pPr>
      <w:r w:rsidRPr="00331EA6">
        <w:rPr>
          <w:rFonts w:asciiTheme="majorBidi" w:hAnsiTheme="majorBidi" w:cstheme="majorBidi"/>
          <w:sz w:val="24"/>
          <w:szCs w:val="24"/>
        </w:rPr>
        <w:t>Requiring</w:t>
      </w:r>
      <w:r w:rsidR="00293405" w:rsidRPr="00331EA6">
        <w:rPr>
          <w:rFonts w:asciiTheme="majorBidi" w:hAnsiTheme="majorBidi" w:cstheme="majorBidi"/>
          <w:sz w:val="24"/>
          <w:szCs w:val="24"/>
        </w:rPr>
        <w:t xml:space="preserve"> any company that does business with the local government to pay male and female staff equally (</w:t>
      </w:r>
      <w:r w:rsidR="00664455" w:rsidRPr="00331EA6">
        <w:rPr>
          <w:rFonts w:asciiTheme="majorBidi" w:hAnsiTheme="majorBidi" w:cstheme="majorBidi"/>
          <w:sz w:val="24"/>
          <w:szCs w:val="24"/>
        </w:rPr>
        <w:t xml:space="preserve">provision </w:t>
      </w:r>
      <w:r w:rsidR="00293405" w:rsidRPr="00331EA6">
        <w:rPr>
          <w:rFonts w:asciiTheme="majorBidi" w:hAnsiTheme="majorBidi" w:cstheme="majorBidi"/>
          <w:sz w:val="24"/>
          <w:szCs w:val="24"/>
        </w:rPr>
        <w:t>under the 1996 Equality Act</w:t>
      </w:r>
      <w:r w:rsidRPr="00331EA6">
        <w:rPr>
          <w:rFonts w:asciiTheme="majorBidi" w:hAnsiTheme="majorBidi" w:cstheme="majorBidi"/>
          <w:sz w:val="24"/>
          <w:szCs w:val="24"/>
        </w:rPr>
        <w:t xml:space="preserve"> of Switzerland</w:t>
      </w:r>
      <w:r w:rsidR="00293405" w:rsidRPr="00331EA6">
        <w:rPr>
          <w:rFonts w:asciiTheme="majorBidi" w:hAnsiTheme="majorBidi" w:cstheme="majorBidi"/>
          <w:sz w:val="24"/>
          <w:szCs w:val="24"/>
        </w:rPr>
        <w:t>).</w:t>
      </w:r>
      <w:r w:rsidR="00293405" w:rsidRPr="00331EA6">
        <w:rPr>
          <w:rFonts w:asciiTheme="majorBidi" w:hAnsiTheme="majorBidi" w:cstheme="majorBidi"/>
          <w:sz w:val="24"/>
          <w:szCs w:val="24"/>
          <w:vertAlign w:val="superscript"/>
        </w:rPr>
        <w:footnoteReference w:id="3"/>
      </w:r>
    </w:p>
    <w:p w14:paraId="5AFC75B3" w14:textId="1CEB00D4" w:rsidR="00FE00DE" w:rsidRDefault="00293405" w:rsidP="00FE00DE">
      <w:pPr>
        <w:pStyle w:val="ListParagraph"/>
        <w:numPr>
          <w:ilvl w:val="0"/>
          <w:numId w:val="3"/>
        </w:numPr>
        <w:spacing w:before="100" w:beforeAutospacing="1" w:after="100" w:afterAutospacing="1" w:line="240" w:lineRule="auto"/>
        <w:ind w:right="-46"/>
        <w:contextualSpacing w:val="0"/>
        <w:jc w:val="both"/>
        <w:rPr>
          <w:rFonts w:asciiTheme="majorBidi" w:hAnsiTheme="majorBidi" w:cstheme="majorBidi"/>
          <w:sz w:val="24"/>
          <w:szCs w:val="24"/>
        </w:rPr>
      </w:pPr>
      <w:r w:rsidRPr="00331EA6">
        <w:rPr>
          <w:rFonts w:asciiTheme="majorBidi" w:hAnsiTheme="majorBidi" w:cstheme="majorBidi"/>
          <w:sz w:val="24"/>
          <w:szCs w:val="24"/>
        </w:rPr>
        <w:t>Spain</w:t>
      </w:r>
      <w:r w:rsidR="009C7C4C" w:rsidRPr="00331EA6">
        <w:rPr>
          <w:rFonts w:asciiTheme="majorBidi" w:hAnsiTheme="majorBidi" w:cstheme="majorBidi"/>
          <w:sz w:val="24"/>
          <w:szCs w:val="24"/>
        </w:rPr>
        <w:t xml:space="preserve">’s </w:t>
      </w:r>
      <w:r w:rsidRPr="00331EA6">
        <w:rPr>
          <w:rFonts w:asciiTheme="majorBidi" w:hAnsiTheme="majorBidi" w:cstheme="majorBidi"/>
          <w:sz w:val="24"/>
          <w:szCs w:val="24"/>
        </w:rPr>
        <w:t>Public Procurement Law 2017193</w:t>
      </w:r>
      <w:r w:rsidR="009C7C4C" w:rsidRPr="00331EA6">
        <w:rPr>
          <w:rFonts w:asciiTheme="majorBidi" w:hAnsiTheme="majorBidi" w:cstheme="majorBidi"/>
          <w:sz w:val="24"/>
          <w:szCs w:val="24"/>
        </w:rPr>
        <w:t>, which</w:t>
      </w:r>
      <w:r w:rsidRPr="00331EA6">
        <w:rPr>
          <w:rFonts w:asciiTheme="majorBidi" w:hAnsiTheme="majorBidi" w:cstheme="majorBidi"/>
          <w:sz w:val="24"/>
          <w:szCs w:val="24"/>
        </w:rPr>
        <w:t xml:space="preserve"> includes various gender equality clauses such as ensuring that companies with more than 250 employees implement gender equality plans. Violations and non-compliance result in prohibition from participating in future public procurement contracting.</w:t>
      </w:r>
      <w:r w:rsidRPr="00331EA6">
        <w:rPr>
          <w:rFonts w:asciiTheme="majorBidi" w:hAnsiTheme="majorBidi" w:cstheme="majorBidi"/>
          <w:sz w:val="24"/>
          <w:szCs w:val="24"/>
          <w:vertAlign w:val="superscript"/>
        </w:rPr>
        <w:footnoteReference w:id="4"/>
      </w:r>
    </w:p>
    <w:p w14:paraId="04EB05E7" w14:textId="607B29C9" w:rsidR="00480500" w:rsidRPr="00480500" w:rsidRDefault="009C7C4C" w:rsidP="00480500">
      <w:pPr>
        <w:pStyle w:val="ListParagraph"/>
        <w:numPr>
          <w:ilvl w:val="0"/>
          <w:numId w:val="3"/>
        </w:numPr>
        <w:spacing w:before="100" w:beforeAutospacing="1" w:after="100" w:afterAutospacing="1" w:line="240" w:lineRule="auto"/>
        <w:ind w:right="-46"/>
        <w:contextualSpacing w:val="0"/>
        <w:jc w:val="both"/>
        <w:rPr>
          <w:rFonts w:asciiTheme="majorBidi" w:hAnsiTheme="majorBidi" w:cstheme="majorBidi"/>
          <w:sz w:val="24"/>
          <w:szCs w:val="24"/>
        </w:rPr>
      </w:pPr>
      <w:r w:rsidRPr="00331EA6">
        <w:rPr>
          <w:rFonts w:asciiTheme="majorBidi" w:hAnsiTheme="majorBidi" w:cstheme="majorBidi"/>
          <w:sz w:val="24"/>
          <w:szCs w:val="24"/>
        </w:rPr>
        <w:t>P</w:t>
      </w:r>
      <w:r w:rsidR="00293405" w:rsidRPr="00331EA6">
        <w:rPr>
          <w:rFonts w:asciiTheme="majorBidi" w:hAnsiTheme="majorBidi" w:cstheme="majorBidi"/>
          <w:sz w:val="24"/>
          <w:szCs w:val="24"/>
        </w:rPr>
        <w:t>rivileg</w:t>
      </w:r>
      <w:r w:rsidR="0023163A" w:rsidRPr="00331EA6">
        <w:rPr>
          <w:rFonts w:asciiTheme="majorBidi" w:hAnsiTheme="majorBidi" w:cstheme="majorBidi"/>
          <w:sz w:val="24"/>
          <w:szCs w:val="24"/>
        </w:rPr>
        <w:t>ing</w:t>
      </w:r>
      <w:r w:rsidR="00293405" w:rsidRPr="00331EA6">
        <w:rPr>
          <w:rFonts w:asciiTheme="majorBidi" w:hAnsiTheme="majorBidi" w:cstheme="majorBidi"/>
          <w:sz w:val="24"/>
          <w:szCs w:val="24"/>
        </w:rPr>
        <w:t xml:space="preserve"> bids f</w:t>
      </w:r>
      <w:r w:rsidR="0023163A" w:rsidRPr="00331EA6">
        <w:rPr>
          <w:rFonts w:asciiTheme="majorBidi" w:hAnsiTheme="majorBidi" w:cstheme="majorBidi"/>
          <w:sz w:val="24"/>
          <w:szCs w:val="24"/>
        </w:rPr>
        <w:t>rom</w:t>
      </w:r>
      <w:r w:rsidR="00293405" w:rsidRPr="00331EA6">
        <w:rPr>
          <w:rFonts w:asciiTheme="majorBidi" w:hAnsiTheme="majorBidi" w:cstheme="majorBidi"/>
          <w:sz w:val="24"/>
          <w:szCs w:val="24"/>
        </w:rPr>
        <w:t xml:space="preserve"> businesses owned by women, youth, and disabled people, as it can create new markets by engaging outside the traditional business circles and thereby increase state revenue and boost the economy. This is implemented in public </w:t>
      </w:r>
      <w:r w:rsidR="00293405" w:rsidRPr="00331EA6">
        <w:rPr>
          <w:rFonts w:asciiTheme="majorBidi" w:hAnsiTheme="majorBidi" w:cstheme="majorBidi"/>
          <w:sz w:val="24"/>
          <w:szCs w:val="24"/>
        </w:rPr>
        <w:lastRenderedPageBreak/>
        <w:t xml:space="preserve">procurement processes in Kenya (30 per cent of contracts) and South Africa (40 per cent of contracts) where quotas are reserved for businesses owned by such equity-seeking groups. </w:t>
      </w:r>
      <w:r w:rsidR="0087441B" w:rsidRPr="00331EA6">
        <w:rPr>
          <w:rFonts w:asciiTheme="majorBidi" w:hAnsiTheme="majorBidi" w:cstheme="majorBidi"/>
          <w:sz w:val="24"/>
          <w:szCs w:val="24"/>
        </w:rPr>
        <w:t>In Kenya, the engagement of the presidential directive reserving 30 percent of government procurement opportunities for companies owned by women, youth, and disabled people, while resulting in women business owners reporting greater economic opportunity, they also speak of more exposure to harassment from procurement officers. Shifting more of the law’s administration online, has since reduced this problem.</w:t>
      </w:r>
      <w:r w:rsidR="0087441B" w:rsidRPr="00331EA6">
        <w:rPr>
          <w:rStyle w:val="FootnoteReference"/>
          <w:rFonts w:asciiTheme="majorBidi" w:hAnsiTheme="majorBidi" w:cstheme="majorBidi"/>
          <w:sz w:val="24"/>
          <w:szCs w:val="24"/>
        </w:rPr>
        <w:footnoteReference w:id="5"/>
      </w:r>
    </w:p>
    <w:p w14:paraId="063A2AFD" w14:textId="77777777" w:rsidR="00480500" w:rsidRPr="00813CFD" w:rsidRDefault="00480500" w:rsidP="00813CFD">
      <w:pPr>
        <w:jc w:val="both"/>
        <w:rPr>
          <w:rFonts w:asciiTheme="majorBidi" w:hAnsiTheme="majorBidi" w:cstheme="majorBidi"/>
          <w:b/>
          <w:bCs/>
          <w:sz w:val="24"/>
          <w:szCs w:val="24"/>
          <w:lang w:val="en-US"/>
        </w:rPr>
      </w:pPr>
    </w:p>
    <w:p w14:paraId="46190D85" w14:textId="0D3D5D8A" w:rsidR="00574DE3" w:rsidRPr="002C4A3C" w:rsidRDefault="00574DE3" w:rsidP="002C4A3C">
      <w:pPr>
        <w:pStyle w:val="ListParagraph"/>
        <w:numPr>
          <w:ilvl w:val="0"/>
          <w:numId w:val="2"/>
        </w:numPr>
        <w:ind w:left="360"/>
        <w:jc w:val="both"/>
        <w:rPr>
          <w:rFonts w:asciiTheme="majorBidi" w:hAnsiTheme="majorBidi" w:cstheme="majorBidi"/>
          <w:b/>
          <w:bCs/>
          <w:sz w:val="24"/>
          <w:szCs w:val="24"/>
          <w:lang w:val="en-US"/>
        </w:rPr>
      </w:pPr>
      <w:r w:rsidRPr="002C4A3C">
        <w:rPr>
          <w:rFonts w:asciiTheme="majorBidi" w:hAnsiTheme="majorBidi" w:cstheme="majorBidi"/>
          <w:b/>
          <w:bCs/>
          <w:sz w:val="24"/>
          <w:szCs w:val="24"/>
          <w:lang w:val="en-US"/>
        </w:rPr>
        <w:t>Key principles that should guide local and national governments in the promotion and protection of human rights</w:t>
      </w:r>
    </w:p>
    <w:p w14:paraId="22CE6C82" w14:textId="060E6493" w:rsidR="00B06779" w:rsidRPr="00331EA6" w:rsidRDefault="00897492" w:rsidP="002C4A3C">
      <w:pPr>
        <w:ind w:left="360"/>
        <w:jc w:val="both"/>
        <w:rPr>
          <w:rFonts w:asciiTheme="majorBidi" w:hAnsiTheme="majorBidi" w:cstheme="majorBidi"/>
          <w:sz w:val="24"/>
          <w:szCs w:val="24"/>
        </w:rPr>
      </w:pPr>
      <w:r w:rsidRPr="00331EA6">
        <w:rPr>
          <w:rFonts w:asciiTheme="majorBidi" w:hAnsiTheme="majorBidi" w:cstheme="majorBidi"/>
          <w:sz w:val="24"/>
          <w:szCs w:val="24"/>
        </w:rPr>
        <w:t xml:space="preserve">Good governance </w:t>
      </w:r>
      <w:r w:rsidR="006D761A" w:rsidRPr="00331EA6">
        <w:rPr>
          <w:rFonts w:asciiTheme="majorBidi" w:hAnsiTheme="majorBidi" w:cstheme="majorBidi"/>
          <w:sz w:val="24"/>
          <w:szCs w:val="24"/>
        </w:rPr>
        <w:t>is a key enabler of</w:t>
      </w:r>
      <w:r w:rsidR="00AE732B" w:rsidRPr="00331EA6">
        <w:rPr>
          <w:rFonts w:asciiTheme="majorBidi" w:hAnsiTheme="majorBidi" w:cstheme="majorBidi"/>
          <w:sz w:val="24"/>
          <w:szCs w:val="24"/>
        </w:rPr>
        <w:t xml:space="preserve"> </w:t>
      </w:r>
      <w:r w:rsidR="006D761A" w:rsidRPr="00331EA6">
        <w:rPr>
          <w:rFonts w:asciiTheme="majorBidi" w:hAnsiTheme="majorBidi" w:cstheme="majorBidi"/>
          <w:sz w:val="24"/>
          <w:szCs w:val="24"/>
        </w:rPr>
        <w:t>the</w:t>
      </w:r>
      <w:r w:rsidR="00B30A0C" w:rsidRPr="00331EA6">
        <w:rPr>
          <w:rFonts w:asciiTheme="majorBidi" w:hAnsiTheme="majorBidi" w:cstheme="majorBidi"/>
          <w:sz w:val="24"/>
          <w:szCs w:val="24"/>
        </w:rPr>
        <w:t xml:space="preserve"> promotion a</w:t>
      </w:r>
      <w:r w:rsidR="00F45460" w:rsidRPr="00331EA6">
        <w:rPr>
          <w:rFonts w:asciiTheme="majorBidi" w:hAnsiTheme="majorBidi" w:cstheme="majorBidi"/>
          <w:sz w:val="24"/>
          <w:szCs w:val="24"/>
        </w:rPr>
        <w:t>nd protection of human rights</w:t>
      </w:r>
      <w:r w:rsidR="00AE732B" w:rsidRPr="00331EA6">
        <w:rPr>
          <w:rFonts w:asciiTheme="majorBidi" w:hAnsiTheme="majorBidi" w:cstheme="majorBidi"/>
          <w:sz w:val="24"/>
          <w:szCs w:val="24"/>
        </w:rPr>
        <w:t xml:space="preserve"> both at the local and national level</w:t>
      </w:r>
      <w:r w:rsidR="00F45460" w:rsidRPr="00331EA6">
        <w:rPr>
          <w:rFonts w:asciiTheme="majorBidi" w:hAnsiTheme="majorBidi" w:cstheme="majorBidi"/>
          <w:sz w:val="24"/>
          <w:szCs w:val="24"/>
        </w:rPr>
        <w:t>.</w:t>
      </w:r>
      <w:r w:rsidR="00AE732B" w:rsidRPr="00331EA6">
        <w:rPr>
          <w:rFonts w:asciiTheme="majorBidi" w:hAnsiTheme="majorBidi" w:cstheme="majorBidi"/>
          <w:sz w:val="24"/>
          <w:szCs w:val="24"/>
        </w:rPr>
        <w:t xml:space="preserve"> </w:t>
      </w:r>
      <w:r w:rsidR="007A6BFE" w:rsidRPr="00331EA6">
        <w:rPr>
          <w:rFonts w:asciiTheme="majorBidi" w:hAnsiTheme="majorBidi" w:cstheme="majorBidi"/>
          <w:sz w:val="24"/>
          <w:szCs w:val="24"/>
        </w:rPr>
        <w:t xml:space="preserve">UNODC’s </w:t>
      </w:r>
      <w:hyperlink r:id="rId17" w:history="1">
        <w:r w:rsidR="00320F60" w:rsidRPr="009315BA">
          <w:rPr>
            <w:rStyle w:val="Hyperlink"/>
            <w:rFonts w:asciiTheme="majorBidi" w:hAnsiTheme="majorBidi" w:cstheme="majorBidi"/>
            <w:color w:val="0070C0"/>
            <w:sz w:val="24"/>
            <w:szCs w:val="24"/>
          </w:rPr>
          <w:t>Education for Justice</w:t>
        </w:r>
      </w:hyperlink>
      <w:r w:rsidR="00320F60" w:rsidRPr="00331EA6">
        <w:rPr>
          <w:rFonts w:asciiTheme="majorBidi" w:hAnsiTheme="majorBidi" w:cstheme="majorBidi"/>
          <w:sz w:val="24"/>
          <w:szCs w:val="24"/>
        </w:rPr>
        <w:t xml:space="preserve">’s University Module on </w:t>
      </w:r>
      <w:r w:rsidR="000B56A6" w:rsidRPr="00331EA6">
        <w:rPr>
          <w:rFonts w:asciiTheme="majorBidi" w:hAnsiTheme="majorBidi" w:cstheme="majorBidi"/>
          <w:sz w:val="24"/>
          <w:szCs w:val="24"/>
        </w:rPr>
        <w:t xml:space="preserve">Corruption and Good governance, defines </w:t>
      </w:r>
      <w:r w:rsidR="006D761A" w:rsidRPr="00331EA6">
        <w:rPr>
          <w:rFonts w:asciiTheme="majorBidi" w:hAnsiTheme="majorBidi" w:cstheme="majorBidi"/>
          <w:sz w:val="24"/>
          <w:szCs w:val="24"/>
        </w:rPr>
        <w:t>good governance as</w:t>
      </w:r>
      <w:r w:rsidR="000B56A6" w:rsidRPr="00331EA6">
        <w:rPr>
          <w:rFonts w:asciiTheme="majorBidi" w:hAnsiTheme="majorBidi" w:cstheme="majorBidi"/>
          <w:sz w:val="24"/>
          <w:szCs w:val="24"/>
          <w:shd w:val="clear" w:color="auto" w:fill="FFFFFF"/>
        </w:rPr>
        <w:t xml:space="preserve"> ”</w:t>
      </w:r>
      <w:r w:rsidR="00465EC8" w:rsidRPr="00331EA6">
        <w:rPr>
          <w:rFonts w:asciiTheme="majorBidi" w:hAnsiTheme="majorBidi" w:cstheme="majorBidi"/>
          <w:sz w:val="24"/>
          <w:szCs w:val="24"/>
          <w:shd w:val="clear" w:color="auto" w:fill="FFFFFF"/>
        </w:rPr>
        <w:t>the process whereby public institutions conduct public affairs and manage public resources in a manner that promotes the rule of law and the realization of human rights</w:t>
      </w:r>
      <w:r w:rsidR="000B56A6" w:rsidRPr="00331EA6">
        <w:rPr>
          <w:rFonts w:asciiTheme="majorBidi" w:hAnsiTheme="majorBidi" w:cstheme="majorBidi"/>
          <w:sz w:val="24"/>
          <w:szCs w:val="24"/>
          <w:shd w:val="clear" w:color="auto" w:fill="FFFFFF"/>
        </w:rPr>
        <w:t>”.</w:t>
      </w:r>
      <w:r w:rsidR="006D761A" w:rsidRPr="00331EA6">
        <w:rPr>
          <w:rStyle w:val="FootnoteReference"/>
          <w:rFonts w:asciiTheme="majorBidi" w:hAnsiTheme="majorBidi" w:cstheme="majorBidi"/>
          <w:sz w:val="24"/>
          <w:szCs w:val="24"/>
          <w:shd w:val="clear" w:color="auto" w:fill="FFFFFF"/>
        </w:rPr>
        <w:footnoteReference w:id="6"/>
      </w:r>
      <w:r w:rsidR="000B56A6" w:rsidRPr="00331EA6">
        <w:rPr>
          <w:rFonts w:asciiTheme="majorBidi" w:hAnsiTheme="majorBidi" w:cstheme="majorBidi"/>
          <w:sz w:val="24"/>
          <w:szCs w:val="24"/>
          <w:shd w:val="clear" w:color="auto" w:fill="FFFFFF"/>
        </w:rPr>
        <w:t xml:space="preserve"> </w:t>
      </w:r>
      <w:r w:rsidR="001A4969" w:rsidRPr="00331EA6">
        <w:rPr>
          <w:rFonts w:asciiTheme="majorBidi" w:hAnsiTheme="majorBidi" w:cstheme="majorBidi"/>
          <w:sz w:val="24"/>
          <w:szCs w:val="24"/>
          <w:shd w:val="clear" w:color="auto" w:fill="FFFFFF"/>
        </w:rPr>
        <w:t xml:space="preserve">Its core </w:t>
      </w:r>
      <w:r w:rsidR="005C3936" w:rsidRPr="00331EA6">
        <w:rPr>
          <w:rFonts w:asciiTheme="majorBidi" w:hAnsiTheme="majorBidi" w:cstheme="majorBidi"/>
          <w:sz w:val="24"/>
          <w:szCs w:val="24"/>
          <w:shd w:val="clear" w:color="auto" w:fill="FFFFFF"/>
        </w:rPr>
        <w:t>principles</w:t>
      </w:r>
      <w:r w:rsidR="001A4969" w:rsidRPr="00331EA6">
        <w:rPr>
          <w:rFonts w:asciiTheme="majorBidi" w:hAnsiTheme="majorBidi" w:cstheme="majorBidi"/>
          <w:sz w:val="24"/>
          <w:szCs w:val="24"/>
          <w:shd w:val="clear" w:color="auto" w:fill="FFFFFF"/>
        </w:rPr>
        <w:t xml:space="preserve"> </w:t>
      </w:r>
      <w:r w:rsidR="005C0D09" w:rsidRPr="00331EA6">
        <w:rPr>
          <w:rFonts w:asciiTheme="majorBidi" w:hAnsiTheme="majorBidi" w:cstheme="majorBidi"/>
          <w:sz w:val="24"/>
          <w:szCs w:val="24"/>
        </w:rPr>
        <w:t>include</w:t>
      </w:r>
      <w:r w:rsidR="00F45460" w:rsidRPr="00331EA6">
        <w:rPr>
          <w:rFonts w:asciiTheme="majorBidi" w:hAnsiTheme="majorBidi" w:cstheme="majorBidi"/>
          <w:sz w:val="24"/>
          <w:szCs w:val="24"/>
        </w:rPr>
        <w:t xml:space="preserve"> </w:t>
      </w:r>
      <w:r w:rsidR="005C0D09" w:rsidRPr="00331EA6">
        <w:rPr>
          <w:rFonts w:asciiTheme="majorBidi" w:hAnsiTheme="majorBidi" w:cstheme="majorBidi"/>
          <w:sz w:val="24"/>
          <w:szCs w:val="24"/>
        </w:rPr>
        <w:t>i</w:t>
      </w:r>
      <w:r w:rsidR="00B06779" w:rsidRPr="00331EA6">
        <w:rPr>
          <w:rFonts w:asciiTheme="majorBidi" w:hAnsiTheme="majorBidi" w:cstheme="majorBidi"/>
          <w:sz w:val="24"/>
          <w:szCs w:val="24"/>
        </w:rPr>
        <w:t>ntegrity, transparency</w:t>
      </w:r>
      <w:r w:rsidR="005C0D09" w:rsidRPr="00331EA6">
        <w:rPr>
          <w:rFonts w:asciiTheme="majorBidi" w:hAnsiTheme="majorBidi" w:cstheme="majorBidi"/>
          <w:sz w:val="24"/>
          <w:szCs w:val="24"/>
        </w:rPr>
        <w:t xml:space="preserve">, lawfulness, sound policy, participation, accountability, responsiveness </w:t>
      </w:r>
      <w:r w:rsidR="00B06779" w:rsidRPr="00331EA6">
        <w:rPr>
          <w:rFonts w:asciiTheme="majorBidi" w:hAnsiTheme="majorBidi" w:cstheme="majorBidi"/>
          <w:sz w:val="24"/>
          <w:szCs w:val="24"/>
        </w:rPr>
        <w:t xml:space="preserve"> and accountability</w:t>
      </w:r>
      <w:r w:rsidR="001A4969" w:rsidRPr="00331EA6">
        <w:rPr>
          <w:rFonts w:asciiTheme="majorBidi" w:hAnsiTheme="majorBidi" w:cstheme="majorBidi"/>
          <w:sz w:val="24"/>
          <w:szCs w:val="24"/>
        </w:rPr>
        <w:t xml:space="preserve">, all necessary </w:t>
      </w:r>
      <w:r w:rsidR="005C3936" w:rsidRPr="00331EA6">
        <w:rPr>
          <w:rFonts w:asciiTheme="majorBidi" w:hAnsiTheme="majorBidi" w:cstheme="majorBidi"/>
          <w:sz w:val="24"/>
          <w:szCs w:val="24"/>
        </w:rPr>
        <w:t xml:space="preserve">elements for the creation of </w:t>
      </w:r>
      <w:r w:rsidR="00B62E58" w:rsidRPr="00331EA6">
        <w:rPr>
          <w:rFonts w:asciiTheme="majorBidi" w:hAnsiTheme="majorBidi" w:cstheme="majorBidi"/>
          <w:sz w:val="24"/>
          <w:szCs w:val="24"/>
        </w:rPr>
        <w:t xml:space="preserve">social, </w:t>
      </w:r>
      <w:r w:rsidR="00185CD3" w:rsidRPr="00331EA6">
        <w:rPr>
          <w:rFonts w:asciiTheme="majorBidi" w:hAnsiTheme="majorBidi" w:cstheme="majorBidi"/>
          <w:sz w:val="24"/>
          <w:szCs w:val="24"/>
        </w:rPr>
        <w:t>economic</w:t>
      </w:r>
      <w:r w:rsidR="00B62E58" w:rsidRPr="00331EA6">
        <w:rPr>
          <w:rFonts w:asciiTheme="majorBidi" w:hAnsiTheme="majorBidi" w:cstheme="majorBidi"/>
          <w:sz w:val="24"/>
          <w:szCs w:val="24"/>
        </w:rPr>
        <w:t xml:space="preserve"> </w:t>
      </w:r>
      <w:r w:rsidR="00185CD3" w:rsidRPr="00331EA6">
        <w:rPr>
          <w:rFonts w:asciiTheme="majorBidi" w:hAnsiTheme="majorBidi" w:cstheme="majorBidi"/>
          <w:sz w:val="24"/>
          <w:szCs w:val="24"/>
        </w:rPr>
        <w:t xml:space="preserve">and political </w:t>
      </w:r>
      <w:r w:rsidR="00860A25" w:rsidRPr="00331EA6">
        <w:rPr>
          <w:rFonts w:asciiTheme="majorBidi" w:hAnsiTheme="majorBidi" w:cstheme="majorBidi"/>
          <w:sz w:val="24"/>
          <w:szCs w:val="24"/>
        </w:rPr>
        <w:t>structures</w:t>
      </w:r>
      <w:r w:rsidR="00185CD3" w:rsidRPr="00331EA6">
        <w:rPr>
          <w:rFonts w:asciiTheme="majorBidi" w:hAnsiTheme="majorBidi" w:cstheme="majorBidi"/>
          <w:sz w:val="24"/>
          <w:szCs w:val="24"/>
        </w:rPr>
        <w:t xml:space="preserve"> that promote</w:t>
      </w:r>
      <w:r w:rsidR="00D97D1D" w:rsidRPr="00331EA6">
        <w:rPr>
          <w:rFonts w:asciiTheme="majorBidi" w:hAnsiTheme="majorBidi" w:cstheme="majorBidi"/>
          <w:sz w:val="24"/>
          <w:szCs w:val="24"/>
        </w:rPr>
        <w:t xml:space="preserve"> </w:t>
      </w:r>
      <w:r w:rsidR="00860A25" w:rsidRPr="00331EA6">
        <w:rPr>
          <w:rFonts w:asciiTheme="majorBidi" w:hAnsiTheme="majorBidi" w:cstheme="majorBidi"/>
          <w:sz w:val="24"/>
          <w:szCs w:val="24"/>
        </w:rPr>
        <w:t>inclusion</w:t>
      </w:r>
      <w:r w:rsidR="00E41FD1">
        <w:rPr>
          <w:rFonts w:asciiTheme="majorBidi" w:hAnsiTheme="majorBidi" w:cstheme="majorBidi"/>
          <w:sz w:val="24"/>
          <w:szCs w:val="24"/>
        </w:rPr>
        <w:t>,</w:t>
      </w:r>
      <w:r w:rsidR="00860A25" w:rsidRPr="00331EA6">
        <w:rPr>
          <w:rFonts w:asciiTheme="majorBidi" w:hAnsiTheme="majorBidi" w:cstheme="majorBidi"/>
          <w:sz w:val="24"/>
          <w:szCs w:val="24"/>
        </w:rPr>
        <w:t xml:space="preserve"> equality</w:t>
      </w:r>
      <w:r w:rsidR="00B24F3B" w:rsidRPr="00331EA6">
        <w:rPr>
          <w:rFonts w:asciiTheme="majorBidi" w:hAnsiTheme="majorBidi" w:cstheme="majorBidi"/>
          <w:sz w:val="24"/>
          <w:szCs w:val="24"/>
        </w:rPr>
        <w:t xml:space="preserve"> and human </w:t>
      </w:r>
      <w:r w:rsidR="00E41FD1">
        <w:rPr>
          <w:rFonts w:asciiTheme="majorBidi" w:hAnsiTheme="majorBidi" w:cstheme="majorBidi"/>
          <w:sz w:val="24"/>
          <w:szCs w:val="24"/>
        </w:rPr>
        <w:t>rights.</w:t>
      </w:r>
    </w:p>
    <w:p w14:paraId="1C4C731E" w14:textId="77777777" w:rsidR="00BE2C55" w:rsidRDefault="00864D12" w:rsidP="002C4A3C">
      <w:pPr>
        <w:ind w:left="360"/>
        <w:jc w:val="both"/>
        <w:rPr>
          <w:rFonts w:asciiTheme="majorBidi" w:hAnsiTheme="majorBidi" w:cstheme="majorBidi"/>
          <w:sz w:val="24"/>
          <w:szCs w:val="24"/>
        </w:rPr>
      </w:pPr>
      <w:r w:rsidRPr="00331EA6">
        <w:rPr>
          <w:rFonts w:asciiTheme="majorBidi" w:hAnsiTheme="majorBidi" w:cstheme="majorBidi"/>
          <w:sz w:val="24"/>
          <w:szCs w:val="24"/>
        </w:rPr>
        <w:t xml:space="preserve">In the context of </w:t>
      </w:r>
      <w:r w:rsidR="00EB7B00" w:rsidRPr="00331EA6">
        <w:rPr>
          <w:rFonts w:asciiTheme="majorBidi" w:hAnsiTheme="majorBidi" w:cstheme="majorBidi"/>
          <w:sz w:val="24"/>
          <w:szCs w:val="24"/>
        </w:rPr>
        <w:t xml:space="preserve">the promotion and protection of </w:t>
      </w:r>
      <w:r w:rsidR="00FB00AB" w:rsidRPr="00331EA6">
        <w:rPr>
          <w:rFonts w:asciiTheme="majorBidi" w:hAnsiTheme="majorBidi" w:cstheme="majorBidi"/>
          <w:sz w:val="24"/>
          <w:szCs w:val="24"/>
        </w:rPr>
        <w:t xml:space="preserve">women’s </w:t>
      </w:r>
      <w:r w:rsidR="00EB7B00" w:rsidRPr="00331EA6">
        <w:rPr>
          <w:rFonts w:asciiTheme="majorBidi" w:hAnsiTheme="majorBidi" w:cstheme="majorBidi"/>
          <w:sz w:val="24"/>
          <w:szCs w:val="24"/>
        </w:rPr>
        <w:t>rights</w:t>
      </w:r>
      <w:r w:rsidR="00FB00AB" w:rsidRPr="00331EA6">
        <w:rPr>
          <w:rFonts w:asciiTheme="majorBidi" w:hAnsiTheme="majorBidi" w:cstheme="majorBidi"/>
          <w:sz w:val="24"/>
          <w:szCs w:val="24"/>
        </w:rPr>
        <w:t xml:space="preserve">, </w:t>
      </w:r>
      <w:r w:rsidR="00275D86" w:rsidRPr="00331EA6">
        <w:rPr>
          <w:rFonts w:asciiTheme="majorBidi" w:hAnsiTheme="majorBidi" w:cstheme="majorBidi"/>
          <w:sz w:val="24"/>
          <w:szCs w:val="24"/>
        </w:rPr>
        <w:t xml:space="preserve">due diligence should be paid to the commitments in the </w:t>
      </w:r>
      <w:hyperlink r:id="rId18" w:history="1">
        <w:r w:rsidR="00275D86" w:rsidRPr="00A42E73">
          <w:rPr>
            <w:rStyle w:val="Hyperlink"/>
            <w:rFonts w:asciiTheme="majorBidi" w:hAnsiTheme="majorBidi" w:cstheme="majorBidi"/>
            <w:sz w:val="24"/>
            <w:szCs w:val="24"/>
          </w:rPr>
          <w:t>Convention on the Elimination of all Forms of Discrimination Against Women</w:t>
        </w:r>
      </w:hyperlink>
      <w:r w:rsidR="00275D86" w:rsidRPr="00331EA6">
        <w:rPr>
          <w:rFonts w:asciiTheme="majorBidi" w:hAnsiTheme="majorBidi" w:cstheme="majorBidi"/>
          <w:sz w:val="24"/>
          <w:szCs w:val="24"/>
        </w:rPr>
        <w:t xml:space="preserve"> (CEDAW), and the </w:t>
      </w:r>
      <w:hyperlink r:id="rId19" w:history="1">
        <w:r w:rsidR="00275D86" w:rsidRPr="00214EE7">
          <w:rPr>
            <w:rStyle w:val="Hyperlink"/>
            <w:rFonts w:asciiTheme="majorBidi" w:hAnsiTheme="majorBidi" w:cstheme="majorBidi"/>
            <w:sz w:val="24"/>
            <w:szCs w:val="24"/>
          </w:rPr>
          <w:t>General Recommendations</w:t>
        </w:r>
      </w:hyperlink>
      <w:r w:rsidR="00275D86" w:rsidRPr="00331EA6">
        <w:rPr>
          <w:rFonts w:asciiTheme="majorBidi" w:hAnsiTheme="majorBidi" w:cstheme="majorBidi"/>
          <w:sz w:val="24"/>
          <w:szCs w:val="24"/>
        </w:rPr>
        <w:t xml:space="preserve"> stemming from its Committee, as well as </w:t>
      </w:r>
      <w:hyperlink r:id="rId20" w:history="1">
        <w:r w:rsidR="00275D86" w:rsidRPr="001901AD">
          <w:rPr>
            <w:rStyle w:val="Hyperlink"/>
            <w:rFonts w:asciiTheme="majorBidi" w:hAnsiTheme="majorBidi" w:cstheme="majorBidi"/>
            <w:sz w:val="24"/>
            <w:szCs w:val="24"/>
          </w:rPr>
          <w:t xml:space="preserve">Beijing Platform </w:t>
        </w:r>
        <w:r w:rsidR="00A33D66" w:rsidRPr="001901AD">
          <w:rPr>
            <w:rStyle w:val="Hyperlink"/>
            <w:rFonts w:asciiTheme="majorBidi" w:hAnsiTheme="majorBidi" w:cstheme="majorBidi"/>
            <w:sz w:val="24"/>
            <w:szCs w:val="24"/>
          </w:rPr>
          <w:t>for Action</w:t>
        </w:r>
      </w:hyperlink>
      <w:r w:rsidR="00A33D66">
        <w:rPr>
          <w:rFonts w:asciiTheme="majorBidi" w:hAnsiTheme="majorBidi" w:cstheme="majorBidi"/>
          <w:sz w:val="24"/>
          <w:szCs w:val="24"/>
        </w:rPr>
        <w:t xml:space="preserve"> </w:t>
      </w:r>
      <w:r w:rsidR="00275D86" w:rsidRPr="00331EA6">
        <w:rPr>
          <w:rFonts w:asciiTheme="majorBidi" w:hAnsiTheme="majorBidi" w:cstheme="majorBidi"/>
          <w:sz w:val="24"/>
          <w:szCs w:val="24"/>
        </w:rPr>
        <w:t>for which women’s access to justice has been an ongoing concern.  State Parties need to take measures to ensure that women form part of decision-making structures</w:t>
      </w:r>
      <w:r w:rsidR="00B9728D" w:rsidRPr="00331EA6">
        <w:rPr>
          <w:rFonts w:asciiTheme="majorBidi" w:hAnsiTheme="majorBidi" w:cstheme="majorBidi"/>
          <w:sz w:val="24"/>
          <w:szCs w:val="24"/>
        </w:rPr>
        <w:t xml:space="preserve"> at</w:t>
      </w:r>
      <w:r w:rsidR="00A473A3" w:rsidRPr="00331EA6">
        <w:rPr>
          <w:rFonts w:asciiTheme="majorBidi" w:hAnsiTheme="majorBidi" w:cstheme="majorBidi"/>
          <w:sz w:val="24"/>
          <w:szCs w:val="24"/>
        </w:rPr>
        <w:t xml:space="preserve"> the local, national, regional and international level,</w:t>
      </w:r>
      <w:r w:rsidR="00275D86" w:rsidRPr="00331EA6">
        <w:rPr>
          <w:rFonts w:asciiTheme="majorBidi" w:hAnsiTheme="majorBidi" w:cstheme="majorBidi"/>
          <w:sz w:val="24"/>
          <w:szCs w:val="24"/>
        </w:rPr>
        <w:t xml:space="preserve"> as well as have access to fair and effective remedies when their rights are affected. </w:t>
      </w:r>
    </w:p>
    <w:p w14:paraId="483BB6AC" w14:textId="79A3D507" w:rsidR="00864D12" w:rsidRPr="00331EA6" w:rsidRDefault="00275D86" w:rsidP="002C4A3C">
      <w:pPr>
        <w:ind w:left="360"/>
        <w:jc w:val="both"/>
        <w:rPr>
          <w:rFonts w:asciiTheme="majorBidi" w:hAnsiTheme="majorBidi" w:cstheme="majorBidi"/>
          <w:sz w:val="24"/>
          <w:szCs w:val="24"/>
        </w:rPr>
      </w:pPr>
      <w:r w:rsidRPr="00331EA6">
        <w:rPr>
          <w:rFonts w:asciiTheme="majorBidi" w:hAnsiTheme="majorBidi" w:cstheme="majorBidi"/>
          <w:sz w:val="24"/>
          <w:szCs w:val="24"/>
        </w:rPr>
        <w:t xml:space="preserve">Additionally, the principles laid out in the UNSC resolutions forming part of the Women, Peace and Security agenda need to be adhered to </w:t>
      </w:r>
      <w:r w:rsidR="002052C5" w:rsidRPr="00331EA6">
        <w:rPr>
          <w:rFonts w:asciiTheme="majorBidi" w:hAnsiTheme="majorBidi" w:cstheme="majorBidi"/>
          <w:sz w:val="24"/>
          <w:szCs w:val="24"/>
        </w:rPr>
        <w:t>regarding</w:t>
      </w:r>
      <w:r w:rsidRPr="00331EA6">
        <w:rPr>
          <w:rFonts w:asciiTheme="majorBidi" w:hAnsiTheme="majorBidi" w:cstheme="majorBidi"/>
          <w:sz w:val="24"/>
          <w:szCs w:val="24"/>
        </w:rPr>
        <w:t xml:space="preserve"> ensuring that standards in the various stages of conflict and post-conflict reconstruction are inclusive of women and girls, including for justice reforms, law enforcement and when countering violent extremism and radicalization.</w:t>
      </w:r>
    </w:p>
    <w:sectPr w:rsidR="00864D12" w:rsidRPr="00331EA6" w:rsidSect="00C6286A">
      <w:footerReference w:type="default" r:id="rId21"/>
      <w:pgSz w:w="11906" w:h="16838"/>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239B" w14:textId="77777777" w:rsidR="000F476E" w:rsidRDefault="000F476E" w:rsidP="00AC0960">
      <w:pPr>
        <w:spacing w:after="0" w:line="240" w:lineRule="auto"/>
      </w:pPr>
      <w:r>
        <w:separator/>
      </w:r>
    </w:p>
  </w:endnote>
  <w:endnote w:type="continuationSeparator" w:id="0">
    <w:p w14:paraId="0EA5744F" w14:textId="77777777" w:rsidR="000F476E" w:rsidRDefault="000F476E" w:rsidP="00AC0960">
      <w:pPr>
        <w:spacing w:after="0" w:line="240" w:lineRule="auto"/>
      </w:pPr>
      <w:r>
        <w:continuationSeparator/>
      </w:r>
    </w:p>
  </w:endnote>
  <w:endnote w:type="continuationNotice" w:id="1">
    <w:p w14:paraId="4DB1BBBB" w14:textId="77777777" w:rsidR="000F476E" w:rsidRDefault="000F4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826713"/>
      <w:docPartObj>
        <w:docPartGallery w:val="Page Numbers (Bottom of Page)"/>
        <w:docPartUnique/>
      </w:docPartObj>
    </w:sdtPr>
    <w:sdtEndPr>
      <w:rPr>
        <w:noProof/>
      </w:rPr>
    </w:sdtEndPr>
    <w:sdtContent>
      <w:p w14:paraId="7C8C1DBD" w14:textId="1BA41427" w:rsidR="00061393" w:rsidRDefault="00061393">
        <w:pPr>
          <w:pStyle w:val="Footer"/>
          <w:jc w:val="right"/>
        </w:pPr>
        <w:r>
          <w:fldChar w:fldCharType="begin"/>
        </w:r>
        <w:r>
          <w:instrText xml:space="preserve"> PAGE   \* MERGEFORMAT </w:instrText>
        </w:r>
        <w:r>
          <w:fldChar w:fldCharType="separate"/>
        </w:r>
        <w:r w:rsidR="00016B6D">
          <w:rPr>
            <w:noProof/>
          </w:rPr>
          <w:t>2</w:t>
        </w:r>
        <w:r>
          <w:rPr>
            <w:noProof/>
          </w:rPr>
          <w:fldChar w:fldCharType="end"/>
        </w:r>
      </w:p>
    </w:sdtContent>
  </w:sdt>
  <w:p w14:paraId="39924941" w14:textId="77777777" w:rsidR="00061393" w:rsidRDefault="00061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BEE7" w14:textId="77777777" w:rsidR="000F476E" w:rsidRDefault="000F476E" w:rsidP="00AC0960">
      <w:pPr>
        <w:spacing w:after="0" w:line="240" w:lineRule="auto"/>
      </w:pPr>
      <w:r>
        <w:separator/>
      </w:r>
    </w:p>
  </w:footnote>
  <w:footnote w:type="continuationSeparator" w:id="0">
    <w:p w14:paraId="104EAB5B" w14:textId="77777777" w:rsidR="000F476E" w:rsidRDefault="000F476E" w:rsidP="00AC0960">
      <w:pPr>
        <w:spacing w:after="0" w:line="240" w:lineRule="auto"/>
      </w:pPr>
      <w:r>
        <w:continuationSeparator/>
      </w:r>
    </w:p>
  </w:footnote>
  <w:footnote w:type="continuationNotice" w:id="1">
    <w:p w14:paraId="57428EDC" w14:textId="77777777" w:rsidR="000F476E" w:rsidRDefault="000F476E">
      <w:pPr>
        <w:spacing w:after="0" w:line="240" w:lineRule="auto"/>
      </w:pPr>
    </w:p>
  </w:footnote>
  <w:footnote w:id="2">
    <w:p w14:paraId="3E7ACDB4" w14:textId="77777777" w:rsidR="00293405" w:rsidRPr="001C1D72" w:rsidRDefault="00293405" w:rsidP="00293405">
      <w:pPr>
        <w:pStyle w:val="FootnoteText"/>
        <w:rPr>
          <w:rFonts w:asciiTheme="majorBidi" w:hAnsiTheme="majorBidi" w:cstheme="majorBidi"/>
          <w:lang w:val="en-CA"/>
        </w:rPr>
      </w:pPr>
      <w:r w:rsidRPr="001C1D72">
        <w:rPr>
          <w:rStyle w:val="FootnoteReference"/>
          <w:rFonts w:asciiTheme="majorBidi" w:hAnsiTheme="majorBidi" w:cstheme="majorBidi"/>
        </w:rPr>
        <w:footnoteRef/>
      </w:r>
      <w:r w:rsidRPr="001C1D72">
        <w:rPr>
          <w:rFonts w:asciiTheme="majorBidi" w:hAnsiTheme="majorBidi" w:cstheme="majorBidi"/>
          <w:lang w:val="en-CA"/>
        </w:rPr>
        <w:t xml:space="preserve"> UNODC, 2020, The Time is Now – Addressing the gender dimensions of corruption, </w:t>
      </w:r>
      <w:hyperlink r:id="rId1" w:history="1">
        <w:r w:rsidRPr="001C1D72">
          <w:rPr>
            <w:rStyle w:val="Hyperlink"/>
            <w:rFonts w:asciiTheme="majorBidi" w:hAnsiTheme="majorBidi" w:cstheme="majorBidi"/>
            <w:lang w:val="en-CA"/>
          </w:rPr>
          <w:t>https://www.unodc.org/documents/corruption/Publications/2020/THE_TIME_IS_NOW_2020_12_08.pdf</w:t>
        </w:r>
      </w:hyperlink>
    </w:p>
  </w:footnote>
  <w:footnote w:id="3">
    <w:p w14:paraId="08323634" w14:textId="77777777" w:rsidR="00293405" w:rsidRPr="003960CD" w:rsidRDefault="00293405" w:rsidP="00293405">
      <w:pPr>
        <w:pStyle w:val="FootnoteText"/>
        <w:rPr>
          <w:rFonts w:ascii="Times New Roman" w:hAnsi="Times New Roman" w:cs="Times New Roman"/>
        </w:rPr>
      </w:pPr>
      <w:r w:rsidRPr="001C1D72">
        <w:rPr>
          <w:rStyle w:val="FootnoteReference"/>
          <w:rFonts w:asciiTheme="majorBidi" w:hAnsiTheme="majorBidi" w:cstheme="majorBidi"/>
        </w:rPr>
        <w:footnoteRef/>
      </w:r>
      <w:r w:rsidRPr="001C1D72">
        <w:rPr>
          <w:rFonts w:asciiTheme="majorBidi" w:hAnsiTheme="majorBidi" w:cstheme="majorBidi"/>
        </w:rPr>
        <w:t xml:space="preserve"> Ibid</w:t>
      </w:r>
    </w:p>
  </w:footnote>
  <w:footnote w:id="4">
    <w:p w14:paraId="09562B22" w14:textId="77777777" w:rsidR="00293405" w:rsidRDefault="00293405" w:rsidP="00293405">
      <w:pPr>
        <w:pStyle w:val="FootnoteText"/>
      </w:pPr>
      <w:r w:rsidRPr="003960CD">
        <w:rPr>
          <w:rStyle w:val="FootnoteReference"/>
          <w:rFonts w:ascii="Times New Roman" w:hAnsi="Times New Roman" w:cs="Times New Roman"/>
        </w:rPr>
        <w:footnoteRef/>
      </w:r>
      <w:r w:rsidRPr="003960CD">
        <w:rPr>
          <w:rFonts w:ascii="Times New Roman" w:hAnsi="Times New Roman" w:cs="Times New Roman"/>
        </w:rPr>
        <w:t xml:space="preserve"> Ibid</w:t>
      </w:r>
    </w:p>
  </w:footnote>
  <w:footnote w:id="5">
    <w:p w14:paraId="72A9D70D" w14:textId="77777777" w:rsidR="0087441B" w:rsidRDefault="0087441B" w:rsidP="0087441B">
      <w:pPr>
        <w:pStyle w:val="FootnoteText"/>
      </w:pPr>
      <w:r w:rsidRPr="002A6134">
        <w:rPr>
          <w:rStyle w:val="FootnoteReference"/>
          <w:rFonts w:ascii="Times New Roman" w:hAnsi="Times New Roman" w:cs="Times New Roman"/>
        </w:rPr>
        <w:footnoteRef/>
      </w:r>
      <w:r w:rsidRPr="002A6134">
        <w:rPr>
          <w:rFonts w:ascii="Times New Roman" w:hAnsi="Times New Roman" w:cs="Times New Roman"/>
        </w:rPr>
        <w:t xml:space="preserve"> Ibid</w:t>
      </w:r>
    </w:p>
  </w:footnote>
  <w:footnote w:id="6">
    <w:p w14:paraId="0B1EC5B1" w14:textId="3E0EF423" w:rsidR="006D761A" w:rsidRPr="001C1D72" w:rsidRDefault="006D761A">
      <w:pPr>
        <w:pStyle w:val="FootnoteText"/>
        <w:rPr>
          <w:rFonts w:asciiTheme="majorBidi" w:hAnsiTheme="majorBidi" w:cstheme="majorBidi"/>
          <w:lang w:val="en-US"/>
        </w:rPr>
      </w:pPr>
      <w:r w:rsidRPr="001C1D72">
        <w:rPr>
          <w:rStyle w:val="FootnoteReference"/>
          <w:rFonts w:asciiTheme="majorBidi" w:hAnsiTheme="majorBidi" w:cstheme="majorBidi"/>
        </w:rPr>
        <w:footnoteRef/>
      </w:r>
      <w:r w:rsidRPr="001C1D72">
        <w:rPr>
          <w:rFonts w:asciiTheme="majorBidi" w:hAnsiTheme="majorBidi" w:cstheme="majorBidi"/>
        </w:rPr>
        <w:t xml:space="preserve"> </w:t>
      </w:r>
      <w:r w:rsidR="002124CB" w:rsidRPr="001C1D72">
        <w:rPr>
          <w:rFonts w:asciiTheme="majorBidi" w:hAnsiTheme="majorBidi" w:cstheme="majorBidi"/>
        </w:rPr>
        <w:t xml:space="preserve">UNODC’s E4J University Module Series: Anti-Corruption. </w:t>
      </w:r>
      <w:hyperlink r:id="rId2" w:anchor=":~:text=Core%20elements%20of%20good%20governance,absence%20of%20corruption%20and%20wrongdoing." w:history="1">
        <w:r w:rsidR="00375A98" w:rsidRPr="001C1D72">
          <w:rPr>
            <w:rStyle w:val="Hyperlink"/>
            <w:rFonts w:asciiTheme="majorBidi" w:hAnsiTheme="majorBidi" w:cstheme="majorBidi"/>
            <w:lang w:val="en-US"/>
          </w:rPr>
          <w:t>Modul</w:t>
        </w:r>
        <w:r w:rsidR="002124CB" w:rsidRPr="001C1D72">
          <w:rPr>
            <w:rStyle w:val="Hyperlink"/>
            <w:rFonts w:asciiTheme="majorBidi" w:hAnsiTheme="majorBidi" w:cstheme="majorBidi"/>
            <w:lang w:val="en-US"/>
          </w:rPr>
          <w:t>e</w:t>
        </w:r>
        <w:r w:rsidR="00375A98" w:rsidRPr="001C1D72">
          <w:rPr>
            <w:rStyle w:val="Hyperlink"/>
            <w:rFonts w:asciiTheme="majorBidi" w:hAnsiTheme="majorBidi" w:cstheme="majorBidi"/>
            <w:lang w:val="en-US"/>
          </w:rPr>
          <w:t xml:space="preserve"> 2: Corruption </w:t>
        </w:r>
        <w:r w:rsidR="002124CB" w:rsidRPr="001C1D72">
          <w:rPr>
            <w:rStyle w:val="Hyperlink"/>
            <w:rFonts w:asciiTheme="majorBidi" w:hAnsiTheme="majorBidi" w:cstheme="majorBidi"/>
            <w:lang w:val="en-US"/>
          </w:rPr>
          <w:t>and Good Governance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63F2"/>
    <w:multiLevelType w:val="hybridMultilevel"/>
    <w:tmpl w:val="2CAAEA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CB021D5"/>
    <w:multiLevelType w:val="hybridMultilevel"/>
    <w:tmpl w:val="37F08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110573"/>
    <w:multiLevelType w:val="hybridMultilevel"/>
    <w:tmpl w:val="AD02A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856FD0"/>
    <w:multiLevelType w:val="hybridMultilevel"/>
    <w:tmpl w:val="B72E1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AF"/>
    <w:rsid w:val="00016B6D"/>
    <w:rsid w:val="00024F1F"/>
    <w:rsid w:val="00037D6F"/>
    <w:rsid w:val="00042551"/>
    <w:rsid w:val="000564B0"/>
    <w:rsid w:val="00061393"/>
    <w:rsid w:val="000634AF"/>
    <w:rsid w:val="00066B84"/>
    <w:rsid w:val="000B56A6"/>
    <w:rsid w:val="000E630F"/>
    <w:rsid w:val="000F476E"/>
    <w:rsid w:val="001429E5"/>
    <w:rsid w:val="0015462B"/>
    <w:rsid w:val="0016019F"/>
    <w:rsid w:val="001746EE"/>
    <w:rsid w:val="0017565C"/>
    <w:rsid w:val="00185CD3"/>
    <w:rsid w:val="001901AD"/>
    <w:rsid w:val="00190496"/>
    <w:rsid w:val="001A4969"/>
    <w:rsid w:val="001A6ED4"/>
    <w:rsid w:val="001C1D72"/>
    <w:rsid w:val="001E0F3E"/>
    <w:rsid w:val="001E7F0D"/>
    <w:rsid w:val="001F7340"/>
    <w:rsid w:val="002052C5"/>
    <w:rsid w:val="002124CB"/>
    <w:rsid w:val="00214EE7"/>
    <w:rsid w:val="0023163A"/>
    <w:rsid w:val="00236C81"/>
    <w:rsid w:val="00247A88"/>
    <w:rsid w:val="0026246D"/>
    <w:rsid w:val="00265FD9"/>
    <w:rsid w:val="00275D86"/>
    <w:rsid w:val="002836F7"/>
    <w:rsid w:val="00293405"/>
    <w:rsid w:val="002B59E2"/>
    <w:rsid w:val="002C4422"/>
    <w:rsid w:val="002C4A3C"/>
    <w:rsid w:val="002E6779"/>
    <w:rsid w:val="00320F60"/>
    <w:rsid w:val="00331EA6"/>
    <w:rsid w:val="00332F7F"/>
    <w:rsid w:val="00375A98"/>
    <w:rsid w:val="003804D7"/>
    <w:rsid w:val="00385417"/>
    <w:rsid w:val="00385679"/>
    <w:rsid w:val="003C61A2"/>
    <w:rsid w:val="003E4179"/>
    <w:rsid w:val="003E68A9"/>
    <w:rsid w:val="003F03CA"/>
    <w:rsid w:val="00436C5B"/>
    <w:rsid w:val="00445725"/>
    <w:rsid w:val="00465EC8"/>
    <w:rsid w:val="00480500"/>
    <w:rsid w:val="004A427B"/>
    <w:rsid w:val="004B1671"/>
    <w:rsid w:val="00504A78"/>
    <w:rsid w:val="00512643"/>
    <w:rsid w:val="00524421"/>
    <w:rsid w:val="00536170"/>
    <w:rsid w:val="00574DE3"/>
    <w:rsid w:val="005865EF"/>
    <w:rsid w:val="005931A5"/>
    <w:rsid w:val="005954BC"/>
    <w:rsid w:val="005C0D09"/>
    <w:rsid w:val="005C3936"/>
    <w:rsid w:val="00623D53"/>
    <w:rsid w:val="00623E04"/>
    <w:rsid w:val="00632916"/>
    <w:rsid w:val="00664455"/>
    <w:rsid w:val="006948F5"/>
    <w:rsid w:val="006A2993"/>
    <w:rsid w:val="006A3BA4"/>
    <w:rsid w:val="006D761A"/>
    <w:rsid w:val="006E4704"/>
    <w:rsid w:val="006E472D"/>
    <w:rsid w:val="00730026"/>
    <w:rsid w:val="007372F4"/>
    <w:rsid w:val="00753CB7"/>
    <w:rsid w:val="00756514"/>
    <w:rsid w:val="00767ADC"/>
    <w:rsid w:val="00784BF7"/>
    <w:rsid w:val="0079779D"/>
    <w:rsid w:val="007A6BFE"/>
    <w:rsid w:val="007D1749"/>
    <w:rsid w:val="00813CFD"/>
    <w:rsid w:val="008167CC"/>
    <w:rsid w:val="0082224E"/>
    <w:rsid w:val="00846803"/>
    <w:rsid w:val="00860A25"/>
    <w:rsid w:val="00861F2C"/>
    <w:rsid w:val="00864D12"/>
    <w:rsid w:val="00865D2C"/>
    <w:rsid w:val="00866A03"/>
    <w:rsid w:val="0087441B"/>
    <w:rsid w:val="00897492"/>
    <w:rsid w:val="008A6638"/>
    <w:rsid w:val="00902AC4"/>
    <w:rsid w:val="00905259"/>
    <w:rsid w:val="00913BCE"/>
    <w:rsid w:val="00915761"/>
    <w:rsid w:val="00926DC6"/>
    <w:rsid w:val="009315BA"/>
    <w:rsid w:val="00935198"/>
    <w:rsid w:val="00945165"/>
    <w:rsid w:val="009A5D61"/>
    <w:rsid w:val="009C7C4C"/>
    <w:rsid w:val="009D1CF7"/>
    <w:rsid w:val="009D5462"/>
    <w:rsid w:val="009E4D36"/>
    <w:rsid w:val="009F5207"/>
    <w:rsid w:val="00A07FC6"/>
    <w:rsid w:val="00A3041B"/>
    <w:rsid w:val="00A33D66"/>
    <w:rsid w:val="00A42E73"/>
    <w:rsid w:val="00A473A3"/>
    <w:rsid w:val="00A572E7"/>
    <w:rsid w:val="00A62B3C"/>
    <w:rsid w:val="00A660C7"/>
    <w:rsid w:val="00A812F6"/>
    <w:rsid w:val="00A9211A"/>
    <w:rsid w:val="00A92762"/>
    <w:rsid w:val="00A95AA3"/>
    <w:rsid w:val="00A95FC8"/>
    <w:rsid w:val="00AA12B8"/>
    <w:rsid w:val="00AB1317"/>
    <w:rsid w:val="00AB1F0D"/>
    <w:rsid w:val="00AC0960"/>
    <w:rsid w:val="00AE732B"/>
    <w:rsid w:val="00AF2F63"/>
    <w:rsid w:val="00AF3D4E"/>
    <w:rsid w:val="00B06779"/>
    <w:rsid w:val="00B241DA"/>
    <w:rsid w:val="00B24F3B"/>
    <w:rsid w:val="00B30A0C"/>
    <w:rsid w:val="00B43824"/>
    <w:rsid w:val="00B62E58"/>
    <w:rsid w:val="00B64A70"/>
    <w:rsid w:val="00B750B9"/>
    <w:rsid w:val="00B9728D"/>
    <w:rsid w:val="00BD2BCC"/>
    <w:rsid w:val="00BE2C55"/>
    <w:rsid w:val="00C1782D"/>
    <w:rsid w:val="00C6286A"/>
    <w:rsid w:val="00CA64C2"/>
    <w:rsid w:val="00CB5749"/>
    <w:rsid w:val="00CF65A2"/>
    <w:rsid w:val="00D01A10"/>
    <w:rsid w:val="00D80695"/>
    <w:rsid w:val="00D97D1D"/>
    <w:rsid w:val="00DF0134"/>
    <w:rsid w:val="00E062A6"/>
    <w:rsid w:val="00E11BA8"/>
    <w:rsid w:val="00E14C76"/>
    <w:rsid w:val="00E16003"/>
    <w:rsid w:val="00E41FD1"/>
    <w:rsid w:val="00E4593B"/>
    <w:rsid w:val="00EB7B00"/>
    <w:rsid w:val="00ED5589"/>
    <w:rsid w:val="00F308E3"/>
    <w:rsid w:val="00F358E3"/>
    <w:rsid w:val="00F45460"/>
    <w:rsid w:val="00F46277"/>
    <w:rsid w:val="00FB00AB"/>
    <w:rsid w:val="00FC0A43"/>
    <w:rsid w:val="00FD3492"/>
    <w:rsid w:val="00FE00DE"/>
    <w:rsid w:val="1D9992C2"/>
    <w:rsid w:val="52C8D40E"/>
    <w:rsid w:val="73F0CC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F953F4"/>
  <w15:chartTrackingRefBased/>
  <w15:docId w15:val="{DC042E64-4900-4DF0-B370-A45889B3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4AF"/>
    <w:pPr>
      <w:ind w:left="720"/>
      <w:contextualSpacing/>
    </w:pPr>
  </w:style>
  <w:style w:type="paragraph" w:customStyle="1" w:styleId="Default">
    <w:name w:val="Default"/>
    <w:rsid w:val="000634AF"/>
    <w:pPr>
      <w:autoSpaceDE w:val="0"/>
      <w:autoSpaceDN w:val="0"/>
      <w:adjustRightInd w:val="0"/>
      <w:spacing w:after="0" w:line="240" w:lineRule="auto"/>
    </w:pPr>
    <w:rPr>
      <w:rFonts w:ascii="Helvetica" w:hAnsi="Helvetica" w:cs="Helvetica"/>
      <w:color w:val="000000"/>
      <w:sz w:val="24"/>
      <w:szCs w:val="24"/>
    </w:rPr>
  </w:style>
  <w:style w:type="character" w:styleId="Hyperlink">
    <w:name w:val="Hyperlink"/>
    <w:basedOn w:val="DefaultParagraphFont"/>
    <w:uiPriority w:val="99"/>
    <w:unhideWhenUsed/>
    <w:rsid w:val="00574DE3"/>
    <w:rPr>
      <w:color w:val="0563C1" w:themeColor="hyperlink"/>
      <w:u w:val="single"/>
    </w:rPr>
  </w:style>
  <w:style w:type="character" w:customStyle="1" w:styleId="UnresolvedMention1">
    <w:name w:val="Unresolved Mention1"/>
    <w:basedOn w:val="DefaultParagraphFont"/>
    <w:uiPriority w:val="99"/>
    <w:semiHidden/>
    <w:unhideWhenUsed/>
    <w:rsid w:val="00574DE3"/>
    <w:rPr>
      <w:color w:val="605E5C"/>
      <w:shd w:val="clear" w:color="auto" w:fill="E1DFDD"/>
    </w:rPr>
  </w:style>
  <w:style w:type="paragraph" w:styleId="Header">
    <w:name w:val="header"/>
    <w:basedOn w:val="Normal"/>
    <w:link w:val="HeaderChar"/>
    <w:uiPriority w:val="99"/>
    <w:unhideWhenUsed/>
    <w:rsid w:val="00AC0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960"/>
  </w:style>
  <w:style w:type="paragraph" w:styleId="Footer">
    <w:name w:val="footer"/>
    <w:basedOn w:val="Normal"/>
    <w:link w:val="FooterChar"/>
    <w:uiPriority w:val="99"/>
    <w:unhideWhenUsed/>
    <w:rsid w:val="00AC0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960"/>
  </w:style>
  <w:style w:type="paragraph" w:customStyle="1" w:styleId="wordsection1">
    <w:name w:val="wordsection1"/>
    <w:basedOn w:val="Normal"/>
    <w:rsid w:val="00AC0960"/>
    <w:pPr>
      <w:spacing w:after="0" w:line="240" w:lineRule="auto"/>
    </w:pPr>
    <w:rPr>
      <w:rFonts w:ascii="Calibri" w:hAnsi="Calibri" w:cs="Calibri"/>
    </w:rPr>
  </w:style>
  <w:style w:type="paragraph" w:styleId="FootnoteText">
    <w:name w:val="footnote text"/>
    <w:basedOn w:val="Normal"/>
    <w:link w:val="FootnoteTextChar"/>
    <w:uiPriority w:val="99"/>
    <w:semiHidden/>
    <w:unhideWhenUsed/>
    <w:rsid w:val="00293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405"/>
    <w:rPr>
      <w:sz w:val="20"/>
      <w:szCs w:val="20"/>
    </w:rPr>
  </w:style>
  <w:style w:type="character" w:styleId="FootnoteReference">
    <w:name w:val="footnote reference"/>
    <w:basedOn w:val="DefaultParagraphFont"/>
    <w:uiPriority w:val="99"/>
    <w:semiHidden/>
    <w:unhideWhenUsed/>
    <w:rsid w:val="00293405"/>
    <w:rPr>
      <w:vertAlign w:val="superscript"/>
    </w:rPr>
  </w:style>
  <w:style w:type="paragraph" w:styleId="NoSpacing">
    <w:name w:val="No Spacing"/>
    <w:uiPriority w:val="1"/>
    <w:qFormat/>
    <w:rsid w:val="0087441B"/>
    <w:pPr>
      <w:spacing w:after="0" w:line="240" w:lineRule="auto"/>
    </w:pPr>
  </w:style>
  <w:style w:type="character" w:styleId="Emphasis">
    <w:name w:val="Emphasis"/>
    <w:basedOn w:val="DefaultParagraphFont"/>
    <w:uiPriority w:val="20"/>
    <w:qFormat/>
    <w:rsid w:val="00902AC4"/>
    <w:rPr>
      <w:i/>
      <w:iCs/>
    </w:rPr>
  </w:style>
  <w:style w:type="paragraph" w:styleId="NormalWeb">
    <w:name w:val="Normal (Web)"/>
    <w:basedOn w:val="Normal"/>
    <w:uiPriority w:val="99"/>
    <w:semiHidden/>
    <w:unhideWhenUsed/>
    <w:rsid w:val="003E68A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977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63577">
      <w:bodyDiv w:val="1"/>
      <w:marLeft w:val="0"/>
      <w:marRight w:val="0"/>
      <w:marTop w:val="0"/>
      <w:marBottom w:val="0"/>
      <w:divBdr>
        <w:top w:val="none" w:sz="0" w:space="0" w:color="auto"/>
        <w:left w:val="none" w:sz="0" w:space="0" w:color="auto"/>
        <w:bottom w:val="none" w:sz="0" w:space="0" w:color="auto"/>
        <w:right w:val="none" w:sz="0" w:space="0" w:color="auto"/>
      </w:divBdr>
    </w:div>
    <w:div w:id="1488470328">
      <w:bodyDiv w:val="1"/>
      <w:marLeft w:val="0"/>
      <w:marRight w:val="0"/>
      <w:marTop w:val="0"/>
      <w:marBottom w:val="0"/>
      <w:divBdr>
        <w:top w:val="none" w:sz="0" w:space="0" w:color="auto"/>
        <w:left w:val="none" w:sz="0" w:space="0" w:color="auto"/>
        <w:bottom w:val="none" w:sz="0" w:space="0" w:color="auto"/>
        <w:right w:val="none" w:sz="0" w:space="0" w:color="auto"/>
      </w:divBdr>
    </w:div>
    <w:div w:id="163822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dc.org/documents/treaties/UNTOC/Publications/TOC%20Convention/TOCebook-e.pdf" TargetMode="External"/><Relationship Id="rId18" Type="http://schemas.openxmlformats.org/officeDocument/2006/relationships/hyperlink" Target="https://www.ohchr.org/en/instruments-mechanisms/instruments/convention-elimination-all-forms-discrimination-against-wom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uditoriadeseguridad-cdeunodc.org/wp-content/uploads/2019/11/191008_ALS_Quer%C3%A9taro_Ingl%C3%A9s.pdf" TargetMode="External"/><Relationship Id="rId17" Type="http://schemas.openxmlformats.org/officeDocument/2006/relationships/hyperlink" Target="https://www.unodc.org/e4j/index.html" TargetMode="External"/><Relationship Id="rId2" Type="http://schemas.openxmlformats.org/officeDocument/2006/relationships/customXml" Target="../customXml/item2.xml"/><Relationship Id="rId16" Type="http://schemas.openxmlformats.org/officeDocument/2006/relationships/hyperlink" Target="https://www.unodc.org/documents/corruption/Publications/2020/THE_TIME_IS_NOW_2020_12_08.pdf" TargetMode="External"/><Relationship Id="rId20" Type="http://schemas.openxmlformats.org/officeDocument/2006/relationships/hyperlink" Target="https://beijing20.unwomen.org/en/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s-dds-ny.un.org/doc/UNDOC/GEN/G20/257/50/PDF/G2025750.pdf?OpenElement" TargetMode="External"/><Relationship Id="rId5" Type="http://schemas.openxmlformats.org/officeDocument/2006/relationships/numbering" Target="numbering.xml"/><Relationship Id="rId15" Type="http://schemas.openxmlformats.org/officeDocument/2006/relationships/hyperlink" Target="https://www.unodc.org/documents/middleeastandnorthafrica/smuggling-migrants/SoM_Protocol_English.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hchr.org/en/treaty-bodies/cedaw/general-recommend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dc.org/documents/treaties/Special/2000_Protocol_to_Prevent_2C_Suppress_and_Punish_Trafficking_in_Persons.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nodc.org/e4j/zh/anti-corruption/module-2/key-issues/what-is-good-governance.html" TargetMode="External"/><Relationship Id="rId1" Type="http://schemas.openxmlformats.org/officeDocument/2006/relationships/hyperlink" Target="https://www.unodc.org/documents/corruption/Publications/2020/THE_TIME_IS_NOW_2020_12_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0410775F33B3428692134106E9D528" ma:contentTypeVersion="13" ma:contentTypeDescription="Create a new document." ma:contentTypeScope="" ma:versionID="077f16a52dabc7d4c837cb0fa1030a1c">
  <xsd:schema xmlns:xsd="http://www.w3.org/2001/XMLSchema" xmlns:xs="http://www.w3.org/2001/XMLSchema" xmlns:p="http://schemas.microsoft.com/office/2006/metadata/properties" xmlns:ns2="367f99d3-d6b9-4cf9-b96b-d9c850eaf833" xmlns:ns3="9ac0592c-65fc-4597-97c5-39c10fcc67cc" targetNamespace="http://schemas.microsoft.com/office/2006/metadata/properties" ma:root="true" ma:fieldsID="50344d3bee21d68247d7eeb7d1cf54e0" ns2:_="" ns3:_="">
    <xsd:import namespace="367f99d3-d6b9-4cf9-b96b-d9c850eaf833"/>
    <xsd:import namespace="9ac0592c-65fc-4597-97c5-39c10fcc67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f99d3-d6b9-4cf9-b96b-d9c850eaf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c0592c-65fc-4597-97c5-39c10fcc67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A05BF9-A664-4F21-8A06-809F9925B53E}">
  <ds:schemaRefs>
    <ds:schemaRef ds:uri="http://schemas.microsoft.com/office/2006/metadata/properties"/>
    <ds:schemaRef ds:uri="367f99d3-d6b9-4cf9-b96b-d9c850eaf833"/>
    <ds:schemaRef ds:uri="http://purl.org/dc/terms/"/>
    <ds:schemaRef ds:uri="http://schemas.microsoft.com/office/2006/documentManagement/types"/>
    <ds:schemaRef ds:uri="9ac0592c-65fc-4597-97c5-39c10fcc67cc"/>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7C3C8C2-48D3-457F-9648-E2C2CF1AA390}">
  <ds:schemaRefs>
    <ds:schemaRef ds:uri="http://schemas.openxmlformats.org/officeDocument/2006/bibliography"/>
  </ds:schemaRefs>
</ds:datastoreItem>
</file>

<file path=customXml/itemProps3.xml><?xml version="1.0" encoding="utf-8"?>
<ds:datastoreItem xmlns:ds="http://schemas.openxmlformats.org/officeDocument/2006/customXml" ds:itemID="{164F0401-C4DD-46C7-A0A6-0F5912581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f99d3-d6b9-4cf9-b96b-d9c850eaf833"/>
    <ds:schemaRef ds:uri="9ac0592c-65fc-4597-97c5-39c10fcc6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2D24E-3E35-4625-A17C-EFB62CD0C4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Pavan</dc:creator>
  <cp:keywords/>
  <dc:description/>
  <cp:lastModifiedBy>Lubab Alkhairi</cp:lastModifiedBy>
  <cp:revision>2</cp:revision>
  <dcterms:created xsi:type="dcterms:W3CDTF">2022-09-13T15:14:00Z</dcterms:created>
  <dcterms:modified xsi:type="dcterms:W3CDTF">2022-09-13T15:14:00Z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0x010100FA0410775F33B3428692134106E9D528</vt:lpwstr>
  </property>
</Properties>
</file>