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ADD4" w14:textId="760EE633" w:rsidR="00741FAD" w:rsidRPr="00C97E63" w:rsidRDefault="00C97E63" w:rsidP="002D1E31">
      <w:pPr>
        <w:jc w:val="center"/>
        <w:rPr>
          <w:b/>
          <w:bCs/>
        </w:rPr>
      </w:pPr>
      <w:r w:rsidRPr="00C97E63">
        <w:rPr>
          <w:b/>
          <w:bCs/>
        </w:rPr>
        <w:t>Submission to the</w:t>
      </w:r>
      <w:r w:rsidR="00480664">
        <w:rPr>
          <w:b/>
          <w:bCs/>
        </w:rPr>
        <w:t xml:space="preserve"> call for input by the</w:t>
      </w:r>
      <w:r w:rsidRPr="00C97E63">
        <w:rPr>
          <w:b/>
          <w:bCs/>
        </w:rPr>
        <w:t xml:space="preserve"> </w:t>
      </w:r>
      <w:r w:rsidR="00480664" w:rsidRPr="00480664">
        <w:rPr>
          <w:b/>
          <w:bCs/>
        </w:rPr>
        <w:t>Special Rapporteur on the human rights of migrants</w:t>
      </w:r>
      <w:r w:rsidR="00480664">
        <w:rPr>
          <w:b/>
          <w:bCs/>
        </w:rPr>
        <w:t xml:space="preserve"> </w:t>
      </w:r>
      <w:r w:rsidRPr="00C97E63">
        <w:rPr>
          <w:b/>
          <w:bCs/>
        </w:rPr>
        <w:t>on</w:t>
      </w:r>
      <w:r w:rsidR="00B03AC9">
        <w:rPr>
          <w:b/>
          <w:bCs/>
        </w:rPr>
        <w:t xml:space="preserve"> the</w:t>
      </w:r>
      <w:r w:rsidR="00883904" w:rsidRPr="00C97E63">
        <w:rPr>
          <w:b/>
          <w:bCs/>
        </w:rPr>
        <w:t xml:space="preserve"> </w:t>
      </w:r>
      <w:r w:rsidRPr="00C97E63">
        <w:rPr>
          <w:b/>
          <w:bCs/>
        </w:rPr>
        <w:t>‘</w:t>
      </w:r>
      <w:r w:rsidR="00B03AC9" w:rsidRPr="00B03AC9">
        <w:rPr>
          <w:b/>
          <w:bCs/>
        </w:rPr>
        <w:t>Report on how to expand and diversify regularization mechanisms and programs to enhance the protection of the human rights of migrants</w:t>
      </w:r>
      <w:r w:rsidRPr="00C97E63">
        <w:rPr>
          <w:b/>
          <w:bCs/>
        </w:rPr>
        <w:t>’</w:t>
      </w:r>
    </w:p>
    <w:p w14:paraId="2A3F692F" w14:textId="5DB30A36" w:rsidR="00C97E63" w:rsidRDefault="00C97E63" w:rsidP="002D1E31">
      <w:pPr>
        <w:jc w:val="center"/>
      </w:pPr>
    </w:p>
    <w:p w14:paraId="389BA72A" w14:textId="34A218A8" w:rsidR="00C97E63" w:rsidRDefault="00C97E63" w:rsidP="002D1E31">
      <w:pPr>
        <w:jc w:val="center"/>
        <w:rPr>
          <w:i/>
          <w:iCs/>
        </w:rPr>
      </w:pPr>
      <w:r w:rsidRPr="00C97E63">
        <w:rPr>
          <w:i/>
          <w:iCs/>
        </w:rPr>
        <w:t>Dr Maja Grundler, Royal Holloway, University of London</w:t>
      </w:r>
    </w:p>
    <w:p w14:paraId="4998AEAF" w14:textId="01725E9F" w:rsidR="00480664" w:rsidRDefault="00480664" w:rsidP="002D1E31">
      <w:pPr>
        <w:jc w:val="center"/>
        <w:rPr>
          <w:i/>
          <w:iCs/>
        </w:rPr>
      </w:pPr>
    </w:p>
    <w:p w14:paraId="1BA4B495" w14:textId="2714EA95" w:rsidR="00480664" w:rsidRPr="00480664" w:rsidRDefault="00480664" w:rsidP="002D1E31">
      <w:pPr>
        <w:jc w:val="center"/>
      </w:pPr>
      <w:r>
        <w:t>13 February 2023</w:t>
      </w:r>
    </w:p>
    <w:p w14:paraId="46EA66F5" w14:textId="77777777" w:rsidR="00746497" w:rsidRDefault="00746497" w:rsidP="002E05F4"/>
    <w:p w14:paraId="43E90710" w14:textId="07097A40" w:rsidR="001A2969" w:rsidRPr="001A2969" w:rsidRDefault="001A2969" w:rsidP="002E05F4">
      <w:pPr>
        <w:rPr>
          <w:b/>
          <w:bCs/>
        </w:rPr>
      </w:pPr>
      <w:r w:rsidRPr="001A2969">
        <w:rPr>
          <w:b/>
          <w:bCs/>
        </w:rPr>
        <w:t>Introduction</w:t>
      </w:r>
    </w:p>
    <w:p w14:paraId="050AB46D" w14:textId="20F62AFE" w:rsidR="009F045C" w:rsidRPr="0076154B" w:rsidRDefault="00285C64" w:rsidP="002E05F4">
      <w:r>
        <w:t xml:space="preserve">This submission proposes that (some) migrants </w:t>
      </w:r>
      <w:r w:rsidR="00A7410B">
        <w:t xml:space="preserve">in an irregular situation </w:t>
      </w:r>
      <w:r>
        <w:t>ought to be regularised as refugees</w:t>
      </w:r>
      <w:r w:rsidR="00B73844">
        <w:t xml:space="preserve">. To do so, the submission </w:t>
      </w:r>
      <w:r w:rsidR="00FD7C64">
        <w:t xml:space="preserve">explores a promising practice exercised in relation to one </w:t>
      </w:r>
      <w:proofErr w:type="gramStart"/>
      <w:r w:rsidR="00FD7C64" w:rsidRPr="0076154B">
        <w:t>particular group</w:t>
      </w:r>
      <w:proofErr w:type="gramEnd"/>
      <w:r w:rsidR="00FD7C64" w:rsidRPr="0076154B">
        <w:t xml:space="preserve"> of irregular migrants: the granting of refugee status to trafficked persons at risk of re-trafficking. The submission </w:t>
      </w:r>
      <w:r w:rsidR="00B73844" w:rsidRPr="0076154B">
        <w:t xml:space="preserve">compares the experiences of trafficked persons with those of other </w:t>
      </w:r>
      <w:r w:rsidR="008B3272" w:rsidRPr="0076154B">
        <w:t xml:space="preserve">migrants in an irregular situation </w:t>
      </w:r>
      <w:r w:rsidR="00FD7C64" w:rsidRPr="0076154B">
        <w:t>and suggests that</w:t>
      </w:r>
      <w:r w:rsidR="00DF7F89" w:rsidRPr="0076154B">
        <w:t>, based on similarities between both groups,</w:t>
      </w:r>
      <w:r w:rsidR="00FD7C64" w:rsidRPr="0076154B">
        <w:t xml:space="preserve"> the practice of granting refugee status ought to be extended to </w:t>
      </w:r>
      <w:r w:rsidR="008B3272" w:rsidRPr="0076154B">
        <w:t xml:space="preserve">migrants in an irregular situation </w:t>
      </w:r>
      <w:r w:rsidR="008A39B4" w:rsidRPr="0076154B">
        <w:t xml:space="preserve">who can meet the 1951 Refugee Convention’s refugee definition in a manner </w:t>
      </w:r>
      <w:proofErr w:type="gramStart"/>
      <w:r w:rsidR="008A39B4" w:rsidRPr="0076154B">
        <w:t>similar to</w:t>
      </w:r>
      <w:proofErr w:type="gramEnd"/>
      <w:r w:rsidR="008A39B4" w:rsidRPr="0076154B">
        <w:t xml:space="preserve"> trafficked persons</w:t>
      </w:r>
      <w:r w:rsidR="00DF7F89" w:rsidRPr="0076154B">
        <w:t>.</w:t>
      </w:r>
      <w:r w:rsidR="00513B45" w:rsidRPr="0076154B">
        <w:rPr>
          <w:rStyle w:val="FootnoteReference"/>
        </w:rPr>
        <w:footnoteReference w:id="1"/>
      </w:r>
    </w:p>
    <w:p w14:paraId="6B323CE6" w14:textId="015727E3" w:rsidR="00A7410B" w:rsidRPr="0076154B" w:rsidRDefault="00A7410B" w:rsidP="002E05F4"/>
    <w:p w14:paraId="07A1EB56" w14:textId="69B799A2" w:rsidR="00A7410B" w:rsidRPr="0076154B" w:rsidRDefault="00A7410B" w:rsidP="002E05F4">
      <w:r w:rsidRPr="0076154B">
        <w:t xml:space="preserve">Throughout this submission, the term ‘migrants in an irregular situation’ </w:t>
      </w:r>
      <w:r w:rsidR="003211C7" w:rsidRPr="0076154B">
        <w:t>is shortened</w:t>
      </w:r>
      <w:r w:rsidRPr="0076154B">
        <w:t xml:space="preserve"> </w:t>
      </w:r>
      <w:r w:rsidR="003211C7" w:rsidRPr="0076154B">
        <w:t xml:space="preserve">to </w:t>
      </w:r>
      <w:r w:rsidRPr="0076154B">
        <w:t>‘irregular migrants’</w:t>
      </w:r>
      <w:r w:rsidR="003211C7" w:rsidRPr="0076154B">
        <w:t xml:space="preserve">, while acknowledging that irregularity is not an inherent feature of </w:t>
      </w:r>
      <w:r w:rsidR="00E044EF" w:rsidRPr="0076154B">
        <w:t xml:space="preserve">these </w:t>
      </w:r>
      <w:r w:rsidR="003211C7" w:rsidRPr="0076154B">
        <w:t xml:space="preserve">migrants, but is ‘a condition that is </w:t>
      </w:r>
      <w:r w:rsidR="003211C7" w:rsidRPr="0076154B">
        <w:rPr>
          <w:i/>
          <w:iCs/>
        </w:rPr>
        <w:t>produced</w:t>
      </w:r>
      <w:r w:rsidR="003211C7" w:rsidRPr="0076154B">
        <w:t xml:space="preserve"> through various processes of (</w:t>
      </w:r>
      <w:proofErr w:type="spellStart"/>
      <w:r w:rsidR="003211C7" w:rsidRPr="0076154B">
        <w:t>ir</w:t>
      </w:r>
      <w:proofErr w:type="spellEnd"/>
      <w:r w:rsidR="003211C7" w:rsidRPr="0076154B">
        <w:t>)regularization’.</w:t>
      </w:r>
      <w:r w:rsidR="003211C7" w:rsidRPr="0076154B">
        <w:rPr>
          <w:rStyle w:val="FootnoteReference"/>
        </w:rPr>
        <w:footnoteReference w:id="2"/>
      </w:r>
      <w:r w:rsidRPr="0076154B">
        <w:t xml:space="preserve"> </w:t>
      </w:r>
      <w:r w:rsidR="00D5641C" w:rsidRPr="0076154B">
        <w:t>When speaking of irregular migrants</w:t>
      </w:r>
      <w:r w:rsidR="00AF720B" w:rsidRPr="0076154B">
        <w:t xml:space="preserve">, </w:t>
      </w:r>
      <w:r w:rsidR="00D5641C" w:rsidRPr="0076154B">
        <w:t>the submission</w:t>
      </w:r>
      <w:r w:rsidR="00AF720B" w:rsidRPr="0076154B">
        <w:t xml:space="preserve"> is concerned </w:t>
      </w:r>
      <w:r w:rsidR="00D5641C" w:rsidRPr="0076154B">
        <w:t xml:space="preserve">specifically </w:t>
      </w:r>
      <w:r w:rsidR="00AF720B" w:rsidRPr="0076154B">
        <w:t>with people who undertake dangerous migratory journeys due to a lack of legal migration pathways, who are unable to obtain international protection based on harm feared in their country of origin, or another form of leave to remain, and who, if returned, may re-migrate irregularly.</w:t>
      </w:r>
      <w:r w:rsidR="00566BA7" w:rsidRPr="0076154B">
        <w:t xml:space="preserve"> The submission </w:t>
      </w:r>
      <w:r w:rsidR="00E044EF" w:rsidRPr="0076154B">
        <w:t>explores the possibility of</w:t>
      </w:r>
      <w:r w:rsidR="00566BA7" w:rsidRPr="0076154B">
        <w:t xml:space="preserve"> regularising the status of such individuals </w:t>
      </w:r>
      <w:r w:rsidR="00A523C6" w:rsidRPr="0076154B">
        <w:t>by drawing analogies between their experiences and the experiences of trafficked persons</w:t>
      </w:r>
      <w:r w:rsidR="00D5641C" w:rsidRPr="0076154B">
        <w:t>.</w:t>
      </w:r>
    </w:p>
    <w:p w14:paraId="278E12FB" w14:textId="5ECC9BA7" w:rsidR="009F045C" w:rsidRPr="0076154B" w:rsidRDefault="009F045C" w:rsidP="002E05F4"/>
    <w:p w14:paraId="6A7C4D7A" w14:textId="47E1ECFE" w:rsidR="00487530" w:rsidRPr="0076154B" w:rsidRDefault="00487530" w:rsidP="002E05F4">
      <w:pPr>
        <w:rPr>
          <w:b/>
          <w:bCs/>
        </w:rPr>
      </w:pPr>
      <w:r w:rsidRPr="0076154B">
        <w:rPr>
          <w:b/>
          <w:bCs/>
        </w:rPr>
        <w:t>Trafficked persons’ asylum claims and their implications for other irregular migrants</w:t>
      </w:r>
    </w:p>
    <w:p w14:paraId="414DB732" w14:textId="4D493A00" w:rsidR="00487530" w:rsidRPr="0076154B" w:rsidRDefault="00487530" w:rsidP="002E05F4">
      <w:r w:rsidRPr="0076154B">
        <w:t xml:space="preserve">Non-nationals trafficked to their country of destination can be thought of as irregular migrants, as they often enter irregularly, or become undocumented as part of their trafficking experience. </w:t>
      </w:r>
      <w:r w:rsidRPr="0076154B">
        <w:lastRenderedPageBreak/>
        <w:t>Unlike many other irregular migrants, trafficked persons often successfully claim refugee status based on their trafficking experience and future fear related thereto</w:t>
      </w:r>
      <w:r w:rsidR="00271E16" w:rsidRPr="0076154B">
        <w:t>, thus regularising their status as refugees.</w:t>
      </w:r>
      <w:r w:rsidR="00AA0112" w:rsidRPr="0076154B">
        <w:rPr>
          <w:rStyle w:val="FootnoteReference"/>
        </w:rPr>
        <w:footnoteReference w:id="3"/>
      </w:r>
    </w:p>
    <w:p w14:paraId="5BD233D9" w14:textId="2A1BE1ED" w:rsidR="00271E16" w:rsidRPr="0076154B" w:rsidRDefault="00271E16" w:rsidP="002E05F4"/>
    <w:p w14:paraId="0AB70FA0" w14:textId="436B33C0" w:rsidR="00271E16" w:rsidRPr="0076154B" w:rsidRDefault="00D14B6E" w:rsidP="002E05F4">
      <w:r w:rsidRPr="0076154B">
        <w:t>This submission is based on</w:t>
      </w:r>
      <w:r w:rsidR="00271E16" w:rsidRPr="0076154B">
        <w:t xml:space="preserve"> in-depth research on trafficking-based asylum claims from the UK and Germany.</w:t>
      </w:r>
      <w:r w:rsidR="00271E16" w:rsidRPr="0076154B">
        <w:rPr>
          <w:rStyle w:val="FootnoteReference"/>
        </w:rPr>
        <w:footnoteReference w:id="4"/>
      </w:r>
      <w:r w:rsidR="00271E16" w:rsidRPr="0076154B">
        <w:t xml:space="preserve"> </w:t>
      </w:r>
      <w:r w:rsidR="007377A1" w:rsidRPr="0076154B">
        <w:t>This research has shown that</w:t>
      </w:r>
      <w:r w:rsidR="00C33C6A" w:rsidRPr="0076154B">
        <w:t xml:space="preserve"> successful trafficking-based asylum claims from both jurisdictions have a number of features in common: a) risk of re-trafficking is established based on the presence of certain vulnerabilities; b)</w:t>
      </w:r>
      <w:r w:rsidR="00C91D20" w:rsidRPr="0076154B">
        <w:t xml:space="preserve"> these vulnerabilities cause trafficked persons to experience serious harm; c) </w:t>
      </w:r>
      <w:r w:rsidR="00B73844" w:rsidRPr="0076154B">
        <w:t xml:space="preserve">state protection against re-trafficking is acknowledged to entail a socio-economic dimension, i.e. protection against poverty/destitution; </w:t>
      </w:r>
      <w:r w:rsidR="00335B76" w:rsidRPr="0076154B">
        <w:t>d</w:t>
      </w:r>
      <w:r w:rsidR="00B73844" w:rsidRPr="0076154B">
        <w:t xml:space="preserve">) for the purpose of establishing a nexus to Refugee Convention grounds, </w:t>
      </w:r>
      <w:r w:rsidR="00D06315" w:rsidRPr="0076154B">
        <w:t>‘</w:t>
      </w:r>
      <w:r w:rsidR="00B73844" w:rsidRPr="0076154B">
        <w:t>trafficked persons</w:t>
      </w:r>
      <w:r w:rsidR="00D06315" w:rsidRPr="0076154B">
        <w:t>’</w:t>
      </w:r>
      <w:r w:rsidR="00B73844" w:rsidRPr="0076154B">
        <w:t xml:space="preserve"> are conceived of as a particular social group</w:t>
      </w:r>
      <w:r w:rsidR="00D06315" w:rsidRPr="0076154B">
        <w:t xml:space="preserve"> </w:t>
      </w:r>
      <w:r w:rsidR="003D757D" w:rsidRPr="0076154B">
        <w:t xml:space="preserve">(PSG) </w:t>
      </w:r>
      <w:r w:rsidR="00D06315" w:rsidRPr="0076154B">
        <w:t>based on their previous trafficking experience.</w:t>
      </w:r>
    </w:p>
    <w:p w14:paraId="3F972570" w14:textId="24840F2F" w:rsidR="00C50DF7" w:rsidRPr="0076154B" w:rsidRDefault="00C50DF7" w:rsidP="002E05F4"/>
    <w:p w14:paraId="79473B36" w14:textId="730681A7" w:rsidR="00C50DF7" w:rsidRPr="0076154B" w:rsidRDefault="00C50DF7" w:rsidP="002E05F4">
      <w:r w:rsidRPr="0076154B">
        <w:t>Significantly,</w:t>
      </w:r>
      <w:r w:rsidR="007B3E67" w:rsidRPr="0076154B">
        <w:t xml:space="preserve"> </w:t>
      </w:r>
      <w:r w:rsidR="00305B95" w:rsidRPr="0076154B">
        <w:t xml:space="preserve">irregular </w:t>
      </w:r>
      <w:r w:rsidR="006C64AA" w:rsidRPr="0076154B">
        <w:t>migrants</w:t>
      </w:r>
      <w:r w:rsidR="00305B95" w:rsidRPr="0076154B">
        <w:t xml:space="preserve">’ experiences are often strikingly </w:t>
      </w:r>
      <w:proofErr w:type="gramStart"/>
      <w:r w:rsidR="00305B95" w:rsidRPr="0076154B">
        <w:t>similar to</w:t>
      </w:r>
      <w:proofErr w:type="gramEnd"/>
      <w:r w:rsidR="00305B95" w:rsidRPr="0076154B">
        <w:t xml:space="preserve"> those of trafficked persons</w:t>
      </w:r>
      <w:r w:rsidR="002D1E31" w:rsidRPr="0076154B">
        <w:t>, so that it can be argued that they can satisfy the elements of the Refugee Conventions refugee definition in a similar way to trafficked persons, as outlined below</w:t>
      </w:r>
      <w:r w:rsidR="00305B95" w:rsidRPr="0076154B">
        <w:t>.</w:t>
      </w:r>
      <w:r w:rsidR="007B3E67" w:rsidRPr="0076154B">
        <w:t xml:space="preserve"> </w:t>
      </w:r>
    </w:p>
    <w:p w14:paraId="26C8B1B7" w14:textId="77777777" w:rsidR="00487530" w:rsidRPr="0076154B" w:rsidRDefault="00487530" w:rsidP="002E05F4"/>
    <w:p w14:paraId="222301B2" w14:textId="6FDF2648" w:rsidR="004C287E" w:rsidRPr="0076154B" w:rsidRDefault="004C287E" w:rsidP="002E05F4">
      <w:pPr>
        <w:rPr>
          <w:b/>
          <w:bCs/>
        </w:rPr>
      </w:pPr>
      <w:r w:rsidRPr="0076154B">
        <w:rPr>
          <w:b/>
          <w:bCs/>
        </w:rPr>
        <w:t xml:space="preserve">Vulnerabilities as indicators for </w:t>
      </w:r>
      <w:r w:rsidR="00487530" w:rsidRPr="0076154B">
        <w:rPr>
          <w:b/>
          <w:bCs/>
        </w:rPr>
        <w:t>re-migration risks</w:t>
      </w:r>
    </w:p>
    <w:p w14:paraId="3B467488" w14:textId="715F8F3E" w:rsidR="004C287E" w:rsidRPr="0076154B" w:rsidRDefault="004C287E" w:rsidP="002E05F4">
      <w:r w:rsidRPr="0076154B">
        <w:t>Both UK and German courts rely on ‘indicators of vulnerability</w:t>
      </w:r>
      <w:r w:rsidR="003F103A" w:rsidRPr="0076154B">
        <w:t>’</w:t>
      </w:r>
      <w:bookmarkStart w:id="0" w:name="_Ref126831184"/>
      <w:r w:rsidR="003F103A" w:rsidRPr="0076154B">
        <w:rPr>
          <w:rStyle w:val="FootnoteReference"/>
        </w:rPr>
        <w:footnoteReference w:id="5"/>
      </w:r>
      <w:bookmarkEnd w:id="0"/>
      <w:r w:rsidR="003F103A" w:rsidRPr="0076154B">
        <w:t xml:space="preserve"> </w:t>
      </w:r>
      <w:proofErr w:type="gramStart"/>
      <w:r w:rsidR="003F103A" w:rsidRPr="0076154B">
        <w:t>in order to</w:t>
      </w:r>
      <w:proofErr w:type="gramEnd"/>
      <w:r w:rsidR="003F103A" w:rsidRPr="0076154B">
        <w:t xml:space="preserve"> establish a risk of re-trafficking. These indicators can be summed up as young age, poverty, lack of employment opportunities and experience, having little education, having no family or other support networks in the country of origin, including being unmarried, or experiencing pressure from the family to earn money, having mental health issues, experiencing stigmatisation, and having illegitimate children.</w:t>
      </w:r>
      <w:bookmarkStart w:id="1" w:name="_Ref126835855"/>
      <w:r w:rsidR="00A73F3E" w:rsidRPr="0076154B">
        <w:rPr>
          <w:rStyle w:val="FootnoteReference"/>
        </w:rPr>
        <w:footnoteReference w:id="6"/>
      </w:r>
      <w:bookmarkEnd w:id="1"/>
      <w:r w:rsidR="0041022B" w:rsidRPr="0076154B">
        <w:t xml:space="preserve"> </w:t>
      </w:r>
      <w:r w:rsidR="00857D27" w:rsidRPr="0076154B">
        <w:t xml:space="preserve">Some of these vulnerabilities will exist before the initial </w:t>
      </w:r>
      <w:r w:rsidR="007E0E81" w:rsidRPr="0076154B">
        <w:t>trafficking</w:t>
      </w:r>
      <w:r w:rsidR="00857D27" w:rsidRPr="0076154B">
        <w:t xml:space="preserve"> </w:t>
      </w:r>
      <w:r w:rsidR="00857D27" w:rsidRPr="0076154B">
        <w:lastRenderedPageBreak/>
        <w:t xml:space="preserve">experience takes place, while others, specifically, mental health issues, </w:t>
      </w:r>
      <w:proofErr w:type="gramStart"/>
      <w:r w:rsidR="00857D27" w:rsidRPr="0076154B">
        <w:t>stigma</w:t>
      </w:r>
      <w:proofErr w:type="gramEnd"/>
      <w:r w:rsidR="00857D27" w:rsidRPr="0076154B">
        <w:t xml:space="preserve"> and illegitimate children, are brought about by that experience. T</w:t>
      </w:r>
      <w:r w:rsidR="0041022B" w:rsidRPr="0076154B">
        <w:t>hese vulnerabilities are seen to converge</w:t>
      </w:r>
      <w:r w:rsidR="00857D27" w:rsidRPr="0076154B">
        <w:t>, making it very difficult for the trafficked person in question to make a livelihood, thus leading to poverty and destitution and ultimately to a risk of re-trafficking.</w:t>
      </w:r>
      <w:r w:rsidR="0041022B" w:rsidRPr="0076154B">
        <w:t xml:space="preserve"> </w:t>
      </w:r>
    </w:p>
    <w:p w14:paraId="6B737E54" w14:textId="48C25287" w:rsidR="000906FD" w:rsidRPr="0076154B" w:rsidRDefault="000906FD" w:rsidP="002E05F4"/>
    <w:p w14:paraId="61E4E22D" w14:textId="4E4F8861" w:rsidR="000906FD" w:rsidRPr="0076154B" w:rsidRDefault="000906FD" w:rsidP="002E05F4">
      <w:r w:rsidRPr="0076154B">
        <w:t xml:space="preserve">Significantly, these vulnerabilities are not unique to trafficked persons, but may be present for other irregular migrants as well. </w:t>
      </w:r>
      <w:r w:rsidR="00C52391" w:rsidRPr="0076154B">
        <w:t>Just like a trafficking experience, an irregular migration experience also leads to additional vulnerabilities such as stigma and mental health issues.</w:t>
      </w:r>
      <w:r w:rsidR="00C52391" w:rsidRPr="0076154B">
        <w:rPr>
          <w:rStyle w:val="FootnoteReference"/>
        </w:rPr>
        <w:footnoteReference w:id="7"/>
      </w:r>
      <w:r w:rsidR="00C52391" w:rsidRPr="0076154B">
        <w:t xml:space="preserve"> As such, irregular re-migration</w:t>
      </w:r>
      <w:r w:rsidR="005448D9" w:rsidRPr="0076154B">
        <w:t>, like re-trafficking,</w:t>
      </w:r>
      <w:r w:rsidR="00C52391" w:rsidRPr="0076154B">
        <w:t xml:space="preserve"> can be conceived of as a risk.</w:t>
      </w:r>
    </w:p>
    <w:p w14:paraId="7C648223" w14:textId="77777777" w:rsidR="004C287E" w:rsidRPr="0076154B" w:rsidRDefault="004C287E" w:rsidP="002E05F4"/>
    <w:p w14:paraId="682BC457" w14:textId="040AA4F3" w:rsidR="009F045C" w:rsidRPr="0076154B" w:rsidRDefault="0025061B" w:rsidP="002E05F4">
      <w:pPr>
        <w:rPr>
          <w:b/>
          <w:bCs/>
        </w:rPr>
      </w:pPr>
      <w:r w:rsidRPr="0076154B">
        <w:rPr>
          <w:b/>
          <w:bCs/>
        </w:rPr>
        <w:t>Harm experienced during irregular migration</w:t>
      </w:r>
    </w:p>
    <w:p w14:paraId="779D61DF" w14:textId="03D9CFC4" w:rsidR="00857D27" w:rsidRPr="0076154B" w:rsidRDefault="00857D27" w:rsidP="00857D27">
      <w:r w:rsidRPr="0076154B">
        <w:t>As the UK Upper Tribunal has clarified</w:t>
      </w:r>
      <w:r w:rsidR="00466B7B" w:rsidRPr="0076154B">
        <w:t xml:space="preserve"> with regard to trafficked persons’ asylum claims,</w:t>
      </w:r>
      <w:r w:rsidRPr="0076154B">
        <w:t xml:space="preserve"> ‘[</w:t>
      </w:r>
      <w:proofErr w:type="spellStart"/>
      <w:r w:rsidRPr="0076154B">
        <w:t>i</w:t>
      </w:r>
      <w:proofErr w:type="spellEnd"/>
      <w:r w:rsidRPr="0076154B">
        <w:t>]t is not the poverty, destitution or vulnerability itself which is the basis of the claim, but the harm that ensues from that namely the exploitation’.</w:t>
      </w:r>
      <w:r w:rsidRPr="0076154B">
        <w:rPr>
          <w:rStyle w:val="FootnoteReference"/>
        </w:rPr>
        <w:footnoteReference w:id="8"/>
      </w:r>
      <w:r w:rsidRPr="0076154B">
        <w:t xml:space="preserve"> </w:t>
      </w:r>
      <w:r w:rsidR="00466B7B" w:rsidRPr="0076154B">
        <w:t xml:space="preserve">However, </w:t>
      </w:r>
      <w:r w:rsidR="00E501BF" w:rsidRPr="0076154B">
        <w:t>harm in the trafficking context is not limited to the types of ‘exploitation’ listed in the international law definition of trafficking.</w:t>
      </w:r>
      <w:r w:rsidR="00E501BF" w:rsidRPr="0076154B">
        <w:rPr>
          <w:rStyle w:val="FootnoteReference"/>
        </w:rPr>
        <w:footnoteReference w:id="9"/>
      </w:r>
      <w:r w:rsidR="00C24578" w:rsidRPr="0076154B">
        <w:t xml:space="preserve"> The case law shows that in addition to sexual exploitation,</w:t>
      </w:r>
      <w:bookmarkStart w:id="2" w:name="_Ref84846819"/>
      <w:r w:rsidR="00C24578" w:rsidRPr="0076154B">
        <w:rPr>
          <w:vertAlign w:val="superscript"/>
        </w:rPr>
        <w:footnoteReference w:id="10"/>
      </w:r>
      <w:bookmarkEnd w:id="2"/>
      <w:r w:rsidR="00C24578" w:rsidRPr="0076154B">
        <w:t xml:space="preserve"> such harm also includes abduction, beatings and rape,</w:t>
      </w:r>
      <w:bookmarkStart w:id="3" w:name="_Ref126835994"/>
      <w:r w:rsidR="00C24578" w:rsidRPr="0076154B">
        <w:rPr>
          <w:vertAlign w:val="superscript"/>
        </w:rPr>
        <w:footnoteReference w:id="11"/>
      </w:r>
      <w:bookmarkEnd w:id="3"/>
      <w:r w:rsidR="00C24578" w:rsidRPr="0076154B">
        <w:t xml:space="preserve"> deprivation of liberty,</w:t>
      </w:r>
      <w:r w:rsidR="00C24578" w:rsidRPr="0076154B">
        <w:rPr>
          <w:vertAlign w:val="superscript"/>
        </w:rPr>
        <w:footnoteReference w:id="12"/>
      </w:r>
      <w:r w:rsidR="00C24578" w:rsidRPr="0076154B">
        <w:t xml:space="preserve"> starvation and forced injection of drugs,</w:t>
      </w:r>
      <w:r w:rsidR="00C24578" w:rsidRPr="0076154B">
        <w:rPr>
          <w:vertAlign w:val="superscript"/>
        </w:rPr>
        <w:footnoteReference w:id="13"/>
      </w:r>
      <w:r w:rsidR="00C24578" w:rsidRPr="0076154B">
        <w:t xml:space="preserve"> deprivation of medical treatment,</w:t>
      </w:r>
      <w:r w:rsidR="00C24578" w:rsidRPr="0076154B">
        <w:rPr>
          <w:vertAlign w:val="superscript"/>
        </w:rPr>
        <w:footnoteReference w:id="14"/>
      </w:r>
      <w:r w:rsidR="00C24578" w:rsidRPr="0076154B">
        <w:t xml:space="preserve"> and forced labour or domestic servitude.</w:t>
      </w:r>
      <w:r w:rsidR="00C24578" w:rsidRPr="0076154B">
        <w:rPr>
          <w:vertAlign w:val="superscript"/>
        </w:rPr>
        <w:footnoteReference w:id="15"/>
      </w:r>
    </w:p>
    <w:p w14:paraId="560434F8" w14:textId="7A70F2B8" w:rsidR="00C13C32" w:rsidRPr="0076154B" w:rsidRDefault="00C13C32" w:rsidP="00857D27"/>
    <w:p w14:paraId="5A1C7ADF" w14:textId="361A4E42" w:rsidR="00C13C32" w:rsidRPr="0076154B" w:rsidRDefault="00C13C32" w:rsidP="00857D27">
      <w:r w:rsidRPr="0076154B">
        <w:lastRenderedPageBreak/>
        <w:t>Similarly, other irregular migrants may experience harms very similar to those experienced by trafficked persons, such as ‘physical violence [and] rape’,</w:t>
      </w:r>
      <w:r w:rsidRPr="0076154B">
        <w:rPr>
          <w:vertAlign w:val="superscript"/>
        </w:rPr>
        <w:footnoteReference w:id="16"/>
      </w:r>
      <w:r w:rsidRPr="0076154B">
        <w:t xml:space="preserve"> ‘abuse and violence by smugglers’, as well as kidnapping, ‘sexual violence and torture’ and forced labour.</w:t>
      </w:r>
      <w:r w:rsidRPr="0076154B">
        <w:rPr>
          <w:vertAlign w:val="superscript"/>
        </w:rPr>
        <w:footnoteReference w:id="17"/>
      </w:r>
    </w:p>
    <w:p w14:paraId="7673BF93" w14:textId="6BC0946E" w:rsidR="00D403D0" w:rsidRPr="0076154B" w:rsidRDefault="00D403D0" w:rsidP="002E05F4"/>
    <w:p w14:paraId="0CB29AF4" w14:textId="77777777" w:rsidR="0025061B" w:rsidRPr="0076154B" w:rsidRDefault="0025061B" w:rsidP="0025061B">
      <w:pPr>
        <w:rPr>
          <w:b/>
          <w:bCs/>
        </w:rPr>
      </w:pPr>
      <w:r w:rsidRPr="0076154B">
        <w:rPr>
          <w:b/>
          <w:bCs/>
        </w:rPr>
        <w:t xml:space="preserve">The socio-economic dimension of risk and effective state protection </w:t>
      </w:r>
    </w:p>
    <w:p w14:paraId="6BBF19EF" w14:textId="2F84276F" w:rsidR="00065350" w:rsidRPr="0076154B" w:rsidRDefault="00CE6A6E" w:rsidP="002E05F4">
      <w:r w:rsidRPr="0076154B">
        <w:t>Although it is not the poverty or destitution itself which forms the basis of trafficking-based asylum claims, in the context of state protection, the socio-economic dimension of the risk of re-trafficking plays a major role.</w:t>
      </w:r>
      <w:r w:rsidR="00D32E60" w:rsidRPr="0076154B">
        <w:t xml:space="preserve"> The state of origin’s ability (and willingness) to provide reception and reintegration measures for trafficked persons which may counter their vulnerabilities is an important part of the enquiry into effective state protection.</w:t>
      </w:r>
      <w:r w:rsidR="00FC1140" w:rsidRPr="0076154B">
        <w:rPr>
          <w:rStyle w:val="FootnoteReference"/>
        </w:rPr>
        <w:footnoteReference w:id="18"/>
      </w:r>
      <w:r w:rsidR="00D32E60" w:rsidRPr="0076154B">
        <w:t xml:space="preserve"> Where such measures are not available, a failure of state protection is established.</w:t>
      </w:r>
    </w:p>
    <w:p w14:paraId="0AA31717" w14:textId="2DB992BE" w:rsidR="00D32E60" w:rsidRPr="0076154B" w:rsidRDefault="00D32E60" w:rsidP="002E05F4"/>
    <w:p w14:paraId="433F3E24" w14:textId="40A337A2" w:rsidR="00D32E60" w:rsidRPr="0076154B" w:rsidRDefault="00D32E60" w:rsidP="002E05F4">
      <w:r w:rsidRPr="0076154B">
        <w:t xml:space="preserve">Importantly, </w:t>
      </w:r>
      <w:r w:rsidR="00835329" w:rsidRPr="0076154B">
        <w:t xml:space="preserve">the case law shows that effective reception and reintegration measures are </w:t>
      </w:r>
      <w:r w:rsidR="00E77570" w:rsidRPr="0076154B">
        <w:t>often</w:t>
      </w:r>
      <w:r w:rsidR="00835329" w:rsidRPr="0076154B">
        <w:t xml:space="preserve"> </w:t>
      </w:r>
      <w:r w:rsidR="00E77570" w:rsidRPr="0076154B">
        <w:t xml:space="preserve">not </w:t>
      </w:r>
      <w:r w:rsidR="00835329" w:rsidRPr="0076154B">
        <w:t xml:space="preserve">available for trafficked persons. </w:t>
      </w:r>
      <w:r w:rsidR="00FC1140" w:rsidRPr="0076154B">
        <w:t xml:space="preserve">As such, such measures are </w:t>
      </w:r>
      <w:r w:rsidR="00E77570" w:rsidRPr="0076154B">
        <w:t>even less likely</w:t>
      </w:r>
      <w:r w:rsidR="00FC1140" w:rsidRPr="0076154B">
        <w:t xml:space="preserve"> to be available to other irregular migrants.</w:t>
      </w:r>
    </w:p>
    <w:p w14:paraId="75DEE49F" w14:textId="77777777" w:rsidR="00C13C32" w:rsidRPr="0076154B" w:rsidRDefault="00C13C32" w:rsidP="002E05F4"/>
    <w:p w14:paraId="1071B132" w14:textId="6941DDD4" w:rsidR="00065350" w:rsidRPr="0076154B" w:rsidRDefault="00E30520" w:rsidP="002E05F4">
      <w:pPr>
        <w:rPr>
          <w:b/>
          <w:bCs/>
        </w:rPr>
      </w:pPr>
      <w:r w:rsidRPr="0076154B">
        <w:rPr>
          <w:b/>
          <w:bCs/>
        </w:rPr>
        <w:t>The Refugee Convention nexus</w:t>
      </w:r>
    </w:p>
    <w:p w14:paraId="1EE7F7BE" w14:textId="008D2FB0" w:rsidR="006C64AA" w:rsidRPr="0076154B" w:rsidRDefault="0046607C" w:rsidP="002E05F4">
      <w:r w:rsidRPr="0076154B">
        <w:t xml:space="preserve">In </w:t>
      </w:r>
      <w:r w:rsidR="00AC12EC" w:rsidRPr="0076154B">
        <w:t>the case law analysed</w:t>
      </w:r>
      <w:r w:rsidRPr="0076154B">
        <w:t xml:space="preserve">, </w:t>
      </w:r>
      <w:r w:rsidR="00AC12EC" w:rsidRPr="0076154B">
        <w:t xml:space="preserve">the </w:t>
      </w:r>
      <w:r w:rsidRPr="0076154B">
        <w:t xml:space="preserve">nexus </w:t>
      </w:r>
      <w:r w:rsidR="00AC12EC" w:rsidRPr="0076154B">
        <w:t xml:space="preserve">element of the Refugee Convention itself </w:t>
      </w:r>
      <w:r w:rsidRPr="0076154B">
        <w:t>is</w:t>
      </w:r>
      <w:r w:rsidR="00AC12EC" w:rsidRPr="0076154B">
        <w:t xml:space="preserve"> barely discussed, </w:t>
      </w:r>
      <w:proofErr w:type="gramStart"/>
      <w:r w:rsidR="00AC12EC" w:rsidRPr="0076154B">
        <w:t>yet,</w:t>
      </w:r>
      <w:proofErr w:type="gramEnd"/>
      <w:r w:rsidR="00AC12EC" w:rsidRPr="0076154B">
        <w:t xml:space="preserve"> trafficked persons are seen to be able to</w:t>
      </w:r>
      <w:r w:rsidRPr="0076154B">
        <w:t xml:space="preserve"> establish</w:t>
      </w:r>
      <w:r w:rsidR="00AC12EC" w:rsidRPr="0076154B">
        <w:t xml:space="preserve"> nexus,</w:t>
      </w:r>
      <w:r w:rsidRPr="0076154B">
        <w:t xml:space="preserve"> often by reference to </w:t>
      </w:r>
      <w:r w:rsidR="00AC12EC" w:rsidRPr="0076154B">
        <w:t xml:space="preserve">membership of </w:t>
      </w:r>
      <w:r w:rsidRPr="0076154B">
        <w:t>the particular social group ‘trafficked persons’.</w:t>
      </w:r>
      <w:r w:rsidR="00494FFD" w:rsidRPr="0076154B">
        <w:rPr>
          <w:rStyle w:val="FootnoteReference"/>
        </w:rPr>
        <w:footnoteReference w:id="19"/>
      </w:r>
      <w:r w:rsidR="002F5DD1" w:rsidRPr="0076154B">
        <w:t xml:space="preserve"> </w:t>
      </w:r>
      <w:r w:rsidR="007A168E" w:rsidRPr="0076154B">
        <w:t xml:space="preserve">The case law sees the status of trafficked person as an innate characteristic, while struggling with the question whether this status also leads to differential social perception. </w:t>
      </w:r>
      <w:r w:rsidR="00074D90" w:rsidRPr="0076154B">
        <w:t>Nevertheless</w:t>
      </w:r>
      <w:r w:rsidR="007A168E" w:rsidRPr="0076154B">
        <w:t>,</w:t>
      </w:r>
      <w:r w:rsidR="00074D90" w:rsidRPr="0076154B">
        <w:t xml:space="preserve"> </w:t>
      </w:r>
      <w:r w:rsidR="00AB4133" w:rsidRPr="0076154B">
        <w:t xml:space="preserve">it appears that it is the experience of having been trafficked – and the vulnerabilities this entails – which is seen to </w:t>
      </w:r>
      <w:r w:rsidR="00341C4B" w:rsidRPr="0076154B">
        <w:t>connect to the fear of re-trafficking. As such, the PSG ‘persons in vulnerable situations’ may be the more appropriate nex</w:t>
      </w:r>
      <w:r w:rsidR="00E83E69" w:rsidRPr="0076154B">
        <w:t>u</w:t>
      </w:r>
      <w:r w:rsidR="00341C4B" w:rsidRPr="0076154B">
        <w:t>s ground, which would also apply to other irregular migrants.</w:t>
      </w:r>
      <w:r w:rsidR="00A76283" w:rsidRPr="0076154B">
        <w:rPr>
          <w:rStyle w:val="FootnoteReference"/>
        </w:rPr>
        <w:footnoteReference w:id="20"/>
      </w:r>
    </w:p>
    <w:p w14:paraId="7CBF6AB0" w14:textId="77777777" w:rsidR="008923C7" w:rsidRPr="0076154B" w:rsidRDefault="008923C7" w:rsidP="002E05F4">
      <w:pPr>
        <w:rPr>
          <w:b/>
          <w:bCs/>
        </w:rPr>
      </w:pPr>
    </w:p>
    <w:p w14:paraId="65CAF7A4" w14:textId="6B671992" w:rsidR="006C64AA" w:rsidRPr="0076154B" w:rsidRDefault="006C64AA" w:rsidP="002E05F4">
      <w:pPr>
        <w:rPr>
          <w:b/>
          <w:bCs/>
        </w:rPr>
      </w:pPr>
      <w:r w:rsidRPr="0076154B">
        <w:rPr>
          <w:b/>
          <w:bCs/>
        </w:rPr>
        <w:t>Conclusion</w:t>
      </w:r>
    </w:p>
    <w:p w14:paraId="6D4CEAB3" w14:textId="1E2B61D6" w:rsidR="006C64AA" w:rsidRPr="006C64AA" w:rsidRDefault="00725BE9" w:rsidP="002E05F4">
      <w:r w:rsidRPr="0076154B">
        <w:t>Acknowledging that re-</w:t>
      </w:r>
      <w:r w:rsidR="00470DC2" w:rsidRPr="0076154B">
        <w:t>trafficking</w:t>
      </w:r>
      <w:r w:rsidRPr="0076154B">
        <w:t xml:space="preserve"> risks are based in vulnerabilities and granting trafficked person at risk of re-trafficking refugee protection is a promising practice of regularisation of irregular migrants. Yet, other i</w:t>
      </w:r>
      <w:r w:rsidR="006F2A44" w:rsidRPr="0076154B">
        <w:t xml:space="preserve">rregular migrants </w:t>
      </w:r>
      <w:r w:rsidRPr="0076154B">
        <w:t xml:space="preserve">besides trafficked persons </w:t>
      </w:r>
      <w:r w:rsidR="006F2A44" w:rsidRPr="0076154B">
        <w:t xml:space="preserve">may be able to meet the 1951 Refugee Convention’s refugee definition in a manner </w:t>
      </w:r>
      <w:proofErr w:type="gramStart"/>
      <w:r w:rsidR="006F2A44" w:rsidRPr="0076154B">
        <w:t>similar to</w:t>
      </w:r>
      <w:proofErr w:type="gramEnd"/>
      <w:r w:rsidR="006F2A44" w:rsidRPr="0076154B">
        <w:t xml:space="preserve"> trafficked persons. </w:t>
      </w:r>
      <w:r w:rsidR="0036432E" w:rsidRPr="0076154B">
        <w:t xml:space="preserve">They may have a well-founded fear of irregular re-migration, based on vulnerabilities which converge to </w:t>
      </w:r>
      <w:r w:rsidR="00644A5A" w:rsidRPr="0076154B">
        <w:t xml:space="preserve">leave them no other choice but to re-migrate. </w:t>
      </w:r>
      <w:r w:rsidR="00466BDA" w:rsidRPr="0076154B">
        <w:t>Their states of origin may be unable to protect against this risk</w:t>
      </w:r>
      <w:r w:rsidR="006E6544" w:rsidRPr="0076154B">
        <w:t xml:space="preserve"> where they are unable to effectively address irregular migrants’ vulnerabilities and their effects.</w:t>
      </w:r>
      <w:r w:rsidR="00BC0902" w:rsidRPr="0076154B">
        <w:t xml:space="preserve"> Irregular migrants are likely to be at disproportionate risk of irregular re-migration based on previous irregular migration experiences which have added to their vulnerabilities. As such, they may be able to satisfy the Refugee Convention’s nexus requirement as members of the PSG ‘persons in vulnerable </w:t>
      </w:r>
      <w:proofErr w:type="gramStart"/>
      <w:r w:rsidR="00BC0902" w:rsidRPr="0076154B">
        <w:t>situations’</w:t>
      </w:r>
      <w:proofErr w:type="gramEnd"/>
      <w:r w:rsidR="00BC0902" w:rsidRPr="0076154B">
        <w:t>.</w:t>
      </w:r>
      <w:r w:rsidR="00FD46EC" w:rsidRPr="0076154B">
        <w:t xml:space="preserve"> This possibility should be considered in efforts to regularise and protect migrants in an irregular situation.</w:t>
      </w:r>
    </w:p>
    <w:p w14:paraId="3500EB02" w14:textId="77777777" w:rsidR="0063185D" w:rsidRPr="0063185D" w:rsidRDefault="0063185D" w:rsidP="002E05F4"/>
    <w:sectPr w:rsidR="0063185D" w:rsidRPr="0063185D" w:rsidSect="00DD68E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03D0" w14:textId="77777777" w:rsidR="00DB0452" w:rsidRDefault="00DB0452" w:rsidP="009F045C">
      <w:pPr>
        <w:spacing w:line="240" w:lineRule="auto"/>
      </w:pPr>
      <w:r>
        <w:separator/>
      </w:r>
    </w:p>
  </w:endnote>
  <w:endnote w:type="continuationSeparator" w:id="0">
    <w:p w14:paraId="10543D72" w14:textId="77777777" w:rsidR="00DB0452" w:rsidRDefault="00DB0452" w:rsidP="009F0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223" w14:textId="79444C1D" w:rsidR="009F045C" w:rsidRDefault="009F045C" w:rsidP="008663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EA01CD" w14:textId="77777777" w:rsidR="009F045C" w:rsidRDefault="009F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066598"/>
      <w:docPartObj>
        <w:docPartGallery w:val="Page Numbers (Bottom of Page)"/>
        <w:docPartUnique/>
      </w:docPartObj>
    </w:sdtPr>
    <w:sdtEndPr>
      <w:rPr>
        <w:rStyle w:val="PageNumber"/>
      </w:rPr>
    </w:sdtEndPr>
    <w:sdtContent>
      <w:p w14:paraId="3B5BC56C" w14:textId="554E72BA" w:rsidR="009F045C" w:rsidRDefault="009F045C" w:rsidP="008663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A77718" w14:textId="77777777" w:rsidR="009F045C" w:rsidRDefault="009F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F134" w14:textId="77777777" w:rsidR="00DB0452" w:rsidRDefault="00DB0452" w:rsidP="009F045C">
      <w:pPr>
        <w:spacing w:line="240" w:lineRule="auto"/>
      </w:pPr>
      <w:r>
        <w:separator/>
      </w:r>
    </w:p>
  </w:footnote>
  <w:footnote w:type="continuationSeparator" w:id="0">
    <w:p w14:paraId="3F1BFAE9" w14:textId="77777777" w:rsidR="00DB0452" w:rsidRDefault="00DB0452" w:rsidP="009F045C">
      <w:pPr>
        <w:spacing w:line="240" w:lineRule="auto"/>
      </w:pPr>
      <w:r>
        <w:continuationSeparator/>
      </w:r>
    </w:p>
  </w:footnote>
  <w:footnote w:id="1">
    <w:p w14:paraId="256E459C" w14:textId="4EF64E29" w:rsidR="00513B45" w:rsidRPr="00513B45" w:rsidRDefault="00513B45">
      <w:pPr>
        <w:pStyle w:val="FootnoteText"/>
      </w:pPr>
      <w:r>
        <w:rPr>
          <w:rStyle w:val="FootnoteReference"/>
        </w:rPr>
        <w:footnoteRef/>
      </w:r>
      <w:r>
        <w:t xml:space="preserve"> </w:t>
      </w:r>
      <w:r w:rsidRPr="00564B0F">
        <w:t>Convention Relating to the Status of Refugees (adopted 28 July 1951, entered into force 22 April 1954) 189 UNTS 137</w:t>
      </w:r>
      <w:r>
        <w:t>, art 1</w:t>
      </w:r>
      <w:proofErr w:type="gramStart"/>
      <w:r>
        <w:t>A(</w:t>
      </w:r>
      <w:proofErr w:type="gramEnd"/>
      <w:r>
        <w:t>2).</w:t>
      </w:r>
    </w:p>
  </w:footnote>
  <w:footnote w:id="2">
    <w:p w14:paraId="6928DC88" w14:textId="77777777" w:rsidR="003211C7" w:rsidRPr="00564B0F" w:rsidRDefault="003211C7" w:rsidP="003211C7">
      <w:pPr>
        <w:pStyle w:val="FootnoteText"/>
      </w:pPr>
      <w:r w:rsidRPr="00564B0F">
        <w:rPr>
          <w:rStyle w:val="FootnoteReference"/>
        </w:rPr>
        <w:footnoteRef/>
      </w:r>
      <w:r w:rsidRPr="00564B0F">
        <w:t xml:space="preserve"> Vicki Squire, ‘The Contested Politics of Mobility: Politicising Mobility, Mobilising Politics’ in Vicki Squire (ed) </w:t>
      </w:r>
      <w:r w:rsidRPr="00564B0F">
        <w:rPr>
          <w:i/>
          <w:iCs/>
        </w:rPr>
        <w:t xml:space="preserve">The Contested Politics of Mobility: </w:t>
      </w:r>
      <w:proofErr w:type="spellStart"/>
      <w:r w:rsidRPr="00564B0F">
        <w:rPr>
          <w:i/>
          <w:iCs/>
        </w:rPr>
        <w:t>Borderzones</w:t>
      </w:r>
      <w:proofErr w:type="spellEnd"/>
      <w:r w:rsidRPr="00564B0F">
        <w:rPr>
          <w:i/>
          <w:iCs/>
        </w:rPr>
        <w:t xml:space="preserve"> and Irregularity</w:t>
      </w:r>
      <w:r w:rsidRPr="00564B0F">
        <w:t xml:space="preserve"> (Routledge 2011) 5; emphasis in original.</w:t>
      </w:r>
    </w:p>
  </w:footnote>
  <w:footnote w:id="3">
    <w:p w14:paraId="0D42E8B2" w14:textId="6635E8C9" w:rsidR="00AA0112" w:rsidRPr="00AA0112" w:rsidRDefault="00AA0112">
      <w:pPr>
        <w:pStyle w:val="FootnoteText"/>
      </w:pPr>
      <w:r>
        <w:rPr>
          <w:rStyle w:val="FootnoteReference"/>
        </w:rPr>
        <w:footnoteRef/>
      </w:r>
      <w:r>
        <w:t xml:space="preserve"> See e.g. </w:t>
      </w:r>
      <w:r w:rsidRPr="00564B0F">
        <w:t xml:space="preserve">Kaori Saito, ‘International Protection for Trafficked Persons and Those who Fear Being Trafficked’ (2007) UNHCR Research Paper No 149 &lt;www.unhcr.org/research/working/476652742/international-protection-trafficked-persons-fear-trafficked-kaori-saito.html&gt; accessed </w:t>
      </w:r>
      <w:r>
        <w:t>9</w:t>
      </w:r>
      <w:r w:rsidRPr="00564B0F">
        <w:t xml:space="preserve"> February </w:t>
      </w:r>
      <w:r>
        <w:t>2023</w:t>
      </w:r>
      <w:r w:rsidRPr="00564B0F">
        <w:t xml:space="preserve">; Anna </w:t>
      </w:r>
      <w:proofErr w:type="spellStart"/>
      <w:r w:rsidRPr="00564B0F">
        <w:t>Dorevitch</w:t>
      </w:r>
      <w:proofErr w:type="spellEnd"/>
      <w:r w:rsidRPr="00564B0F">
        <w:t xml:space="preserve"> and Michelle Foster, ‘Obstacles on the Road to Protection: Assessing the Treatment of Sex-Trafficking Victims under Australia's Migration and Refugee Law’ (2008) 9 Melbourne Journal of International Law 1; Udara Jayasinghe and Sasha </w:t>
      </w:r>
      <w:proofErr w:type="spellStart"/>
      <w:r w:rsidRPr="00564B0F">
        <w:t>Baglay</w:t>
      </w:r>
      <w:proofErr w:type="spellEnd"/>
      <w:r w:rsidRPr="00564B0F">
        <w:t>, ‘Protecting Victims of Human Trafficking within a Non-Refoulement Framework: Is Complementary Protection an Effective Alternative in Canada and Australia?’ (2011) 23(3) International Journal of Refugee Law 489</w:t>
      </w:r>
      <w:r>
        <w:t>.</w:t>
      </w:r>
    </w:p>
  </w:footnote>
  <w:footnote w:id="4">
    <w:p w14:paraId="0CCA3F60" w14:textId="5334BFB3" w:rsidR="00271E16" w:rsidRPr="003C283E" w:rsidRDefault="00271E16">
      <w:pPr>
        <w:pStyle w:val="FootnoteText"/>
        <w:rPr>
          <w:lang w:val="en-US"/>
        </w:rPr>
      </w:pPr>
      <w:r>
        <w:rPr>
          <w:rStyle w:val="FootnoteReference"/>
        </w:rPr>
        <w:footnoteRef/>
      </w:r>
      <w:r>
        <w:t xml:space="preserve"> </w:t>
      </w:r>
      <w:r w:rsidR="003C283E" w:rsidRPr="001E34A4">
        <w:t xml:space="preserve">Maja Grundler, </w:t>
      </w:r>
      <w:r w:rsidR="003C283E">
        <w:t>‘Protection for Irregularised Migrants? – Trafficking, Smuggling and Asylum’ (PhD thesis, unpublished) Queen Mary, University of London, 2022.</w:t>
      </w:r>
    </w:p>
  </w:footnote>
  <w:footnote w:id="5">
    <w:p w14:paraId="3CEA3B52" w14:textId="3353C44E" w:rsidR="003F103A" w:rsidRPr="003F103A" w:rsidRDefault="003F103A">
      <w:pPr>
        <w:pStyle w:val="FootnoteText"/>
        <w:rPr>
          <w:lang w:val="en-US"/>
        </w:rPr>
      </w:pPr>
      <w:r>
        <w:rPr>
          <w:rStyle w:val="FootnoteReference"/>
        </w:rPr>
        <w:footnoteRef/>
      </w:r>
      <w:r>
        <w:t xml:space="preserve"> </w:t>
      </w:r>
      <w:r w:rsidRPr="00564B0F">
        <w:rPr>
          <w:i/>
          <w:iCs/>
        </w:rPr>
        <w:t>HD (Trafficked women) Nigeria CG</w:t>
      </w:r>
      <w:r w:rsidRPr="00564B0F">
        <w:t xml:space="preserve"> [2016] UKUT 00454 (IAC) [1</w:t>
      </w:r>
      <w:r>
        <w:t>6</w:t>
      </w:r>
      <w:r w:rsidRPr="00564B0F">
        <w:t>9]</w:t>
      </w:r>
      <w:r>
        <w:t>.</w:t>
      </w:r>
    </w:p>
  </w:footnote>
  <w:footnote w:id="6">
    <w:p w14:paraId="75E5DC8E" w14:textId="22E74E93" w:rsidR="00A73F3E" w:rsidRPr="0041022B" w:rsidRDefault="00A73F3E">
      <w:pPr>
        <w:pStyle w:val="FootnoteText"/>
        <w:rPr>
          <w:lang w:val="en-US"/>
        </w:rPr>
      </w:pPr>
      <w:r>
        <w:rPr>
          <w:rStyle w:val="FootnoteReference"/>
        </w:rPr>
        <w:footnoteRef/>
      </w:r>
      <w:r>
        <w:t xml:space="preserve"> </w:t>
      </w:r>
      <w:r w:rsidRPr="0041022B">
        <w:rPr>
          <w:lang w:val="en-US"/>
        </w:rPr>
        <w:t xml:space="preserve">See e.g. </w:t>
      </w:r>
      <w:r w:rsidR="00677550" w:rsidRPr="0041022B">
        <w:rPr>
          <w:i/>
          <w:iCs/>
          <w:lang w:val="en-US"/>
        </w:rPr>
        <w:t>HD</w:t>
      </w:r>
      <w:r w:rsidR="00677550" w:rsidRPr="0041022B">
        <w:rPr>
          <w:lang w:val="en-US"/>
        </w:rPr>
        <w:t xml:space="preserve"> ibid; </w:t>
      </w:r>
      <w:r w:rsidR="0041022B" w:rsidRPr="00564B0F">
        <w:rPr>
          <w:i/>
        </w:rPr>
        <w:t>AZ (Trafficked women)</w:t>
      </w:r>
      <w:r w:rsidR="0041022B" w:rsidRPr="00564B0F">
        <w:t xml:space="preserve"> </w:t>
      </w:r>
      <w:r w:rsidR="0041022B" w:rsidRPr="00564B0F">
        <w:rPr>
          <w:i/>
        </w:rPr>
        <w:t>Thailand CG</w:t>
      </w:r>
      <w:r w:rsidR="0041022B" w:rsidRPr="00564B0F">
        <w:t xml:space="preserve"> [2010] UKUT 118 (IAC)</w:t>
      </w:r>
      <w:r w:rsidR="0041022B">
        <w:t xml:space="preserve">; </w:t>
      </w:r>
      <w:r w:rsidR="0041022B" w:rsidRPr="00564B0F">
        <w:rPr>
          <w:i/>
          <w:iCs/>
        </w:rPr>
        <w:t xml:space="preserve">AM and BM (Trafficked women) Albania CG </w:t>
      </w:r>
      <w:r w:rsidR="0041022B" w:rsidRPr="00564B0F">
        <w:t>[2010] UKUT 80 (IAC)</w:t>
      </w:r>
      <w:r w:rsidR="0041022B">
        <w:t>;</w:t>
      </w:r>
      <w:r w:rsidR="0041022B" w:rsidRPr="00564B0F">
        <w:t xml:space="preserve"> </w:t>
      </w:r>
      <w:r w:rsidR="0041022B" w:rsidRPr="00564B0F">
        <w:rPr>
          <w:i/>
          <w:iCs/>
        </w:rPr>
        <w:t>TD and AD (trafficked women) CG</w:t>
      </w:r>
      <w:r w:rsidR="0041022B" w:rsidRPr="00564B0F">
        <w:t xml:space="preserve"> [2016] UKUT 92</w:t>
      </w:r>
      <w:r w:rsidR="0041022B">
        <w:t xml:space="preserve">; </w:t>
      </w:r>
      <w:r w:rsidR="0041022B" w:rsidRPr="00564B0F">
        <w:rPr>
          <w:i/>
          <w:iCs/>
        </w:rPr>
        <w:t xml:space="preserve">TDL v SSHD </w:t>
      </w:r>
      <w:r w:rsidR="0041022B" w:rsidRPr="00564B0F">
        <w:t>[2021] UKUT (IAC) PA/00358/</w:t>
      </w:r>
      <w:r w:rsidR="0041022B">
        <w:t xml:space="preserve">2020; </w:t>
      </w:r>
      <w:r w:rsidR="0041022B" w:rsidRPr="00564B0F">
        <w:rPr>
          <w:bCs/>
          <w:i/>
          <w:iCs/>
        </w:rPr>
        <w:t>HC v SSHD</w:t>
      </w:r>
      <w:r w:rsidR="0041022B" w:rsidRPr="00564B0F">
        <w:rPr>
          <w:bCs/>
        </w:rPr>
        <w:t xml:space="preserve"> [2021] UKUT (IAC) PA/05060/2019</w:t>
      </w:r>
      <w:r w:rsidR="0041022B">
        <w:rPr>
          <w:bCs/>
        </w:rPr>
        <w:t xml:space="preserve">; </w:t>
      </w:r>
      <w:r w:rsidR="0041022B" w:rsidRPr="00564B0F">
        <w:rPr>
          <w:i/>
          <w:iCs/>
        </w:rPr>
        <w:t>SSHD v LVC</w:t>
      </w:r>
      <w:r w:rsidR="0041022B" w:rsidRPr="00564B0F">
        <w:t xml:space="preserve"> [2021] UKUT (IAC) PA/06804/2019</w:t>
      </w:r>
      <w:r w:rsidR="0041022B">
        <w:t>;</w:t>
      </w:r>
      <w:r w:rsidR="00462EBE">
        <w:t xml:space="preserve"> </w:t>
      </w:r>
      <w:r w:rsidR="00462EBE" w:rsidRPr="00564B0F">
        <w:t xml:space="preserve">VG </w:t>
      </w:r>
      <w:proofErr w:type="spellStart"/>
      <w:r w:rsidR="00462EBE" w:rsidRPr="00564B0F">
        <w:t>Würzburg</w:t>
      </w:r>
      <w:proofErr w:type="spellEnd"/>
      <w:r w:rsidR="00462EBE" w:rsidRPr="00564B0F">
        <w:t>, W 8 K 04.30919, 19.09.2005</w:t>
      </w:r>
      <w:r w:rsidR="00462EBE">
        <w:t xml:space="preserve">; </w:t>
      </w:r>
      <w:r w:rsidR="00462EBE" w:rsidRPr="00564B0F">
        <w:t>VG Stuttgart, A 7 K 1405/12, 16.05.2014</w:t>
      </w:r>
      <w:r w:rsidR="00462EBE">
        <w:t xml:space="preserve">; </w:t>
      </w:r>
      <w:r w:rsidR="00462EBE" w:rsidRPr="00564B0F">
        <w:t xml:space="preserve">VG </w:t>
      </w:r>
      <w:proofErr w:type="spellStart"/>
      <w:r w:rsidR="00462EBE" w:rsidRPr="00564B0F">
        <w:t>Madgeburg</w:t>
      </w:r>
      <w:proofErr w:type="spellEnd"/>
      <w:r w:rsidR="00462EBE" w:rsidRPr="00564B0F">
        <w:t>, 6 A 40/19, 28.01.2020</w:t>
      </w:r>
      <w:r w:rsidR="00462EBE">
        <w:t xml:space="preserve">; </w:t>
      </w:r>
      <w:r w:rsidR="00462EBE" w:rsidRPr="000108DA">
        <w:t>VG Stuttgart, A 1 K 8819/18, 5770443, 16.11.2020</w:t>
      </w:r>
      <w:r w:rsidR="00462EBE">
        <w:t>.</w:t>
      </w:r>
    </w:p>
  </w:footnote>
  <w:footnote w:id="7">
    <w:p w14:paraId="3BAEE4F5" w14:textId="4E4CAD23" w:rsidR="00C52391" w:rsidRPr="00C52391" w:rsidRDefault="00C52391">
      <w:pPr>
        <w:pStyle w:val="FootnoteText"/>
        <w:rPr>
          <w:lang w:val="en-US"/>
        </w:rPr>
      </w:pPr>
      <w:r>
        <w:rPr>
          <w:rStyle w:val="FootnoteReference"/>
        </w:rPr>
        <w:footnoteRef/>
      </w:r>
      <w:r>
        <w:t xml:space="preserve"> </w:t>
      </w:r>
      <w:r w:rsidR="005B6093" w:rsidRPr="00564B0F">
        <w:t>Liza Schuster and Nassim Majidi, ‘Deportation Stigma and Re-migration’ (2015) 41(4) Journal of Ethnic and Migration Studies 635</w:t>
      </w:r>
      <w:r w:rsidR="005B6093">
        <w:t xml:space="preserve">; </w:t>
      </w:r>
      <w:r w:rsidRPr="00564B0F">
        <w:t xml:space="preserve">Sine </w:t>
      </w:r>
      <w:proofErr w:type="spellStart"/>
      <w:r w:rsidRPr="00564B0F">
        <w:t>Plambech</w:t>
      </w:r>
      <w:proofErr w:type="spellEnd"/>
      <w:r w:rsidRPr="00564B0F">
        <w:t xml:space="preserve">, ‘Back From “The Other Side”: The Post-Deportee Life of Nigerian Migrant Sex Workers’ in Shahram </w:t>
      </w:r>
      <w:proofErr w:type="spellStart"/>
      <w:r w:rsidRPr="00564B0F">
        <w:t>Khosravi</w:t>
      </w:r>
      <w:proofErr w:type="spellEnd"/>
      <w:r w:rsidRPr="00564B0F">
        <w:t xml:space="preserve"> (ed) </w:t>
      </w:r>
      <w:r w:rsidRPr="00564B0F">
        <w:rPr>
          <w:i/>
          <w:iCs/>
        </w:rPr>
        <w:t>After Deportation: Ethnographic Perspectives</w:t>
      </w:r>
      <w:r w:rsidRPr="00564B0F">
        <w:t xml:space="preserve"> (Palgrave Macmillan 2018)</w:t>
      </w:r>
      <w:r w:rsidR="002F76E8">
        <w:t xml:space="preserve">; </w:t>
      </w:r>
      <w:r w:rsidR="002F76E8" w:rsidRPr="00564B0F">
        <w:t xml:space="preserve">Sarah </w:t>
      </w:r>
      <w:proofErr w:type="spellStart"/>
      <w:r w:rsidR="002F76E8" w:rsidRPr="00564B0F">
        <w:t>Ringold</w:t>
      </w:r>
      <w:proofErr w:type="spellEnd"/>
      <w:r w:rsidR="002F76E8" w:rsidRPr="00564B0F">
        <w:t>, ‘Refugee Mental Health’ (2005) 294(5) The Journal of the American Medical Association 646</w:t>
      </w:r>
      <w:r w:rsidR="002F76E8">
        <w:t xml:space="preserve">; </w:t>
      </w:r>
      <w:r w:rsidR="002F76E8" w:rsidRPr="00564B0F">
        <w:t xml:space="preserve">Jovana </w:t>
      </w:r>
      <w:proofErr w:type="spellStart"/>
      <w:r w:rsidR="002F76E8" w:rsidRPr="00564B0F">
        <w:t>Arsenijevic</w:t>
      </w:r>
      <w:proofErr w:type="spellEnd"/>
      <w:r w:rsidR="002F76E8" w:rsidRPr="00564B0F">
        <w:t xml:space="preserve">́ </w:t>
      </w:r>
      <w:r w:rsidR="00CA430E">
        <w:t>et al</w:t>
      </w:r>
      <w:r w:rsidR="002F76E8" w:rsidRPr="00564B0F">
        <w:t>, ‘“I Feel Like I am Less Than Other People”: Health-related Vulnerabilities of Male Migrants Travelling Alone on Their Journey to Europe’ (2018) 209 Social Science &amp; Medicine 86</w:t>
      </w:r>
      <w:r w:rsidR="002F76E8">
        <w:t>.</w:t>
      </w:r>
    </w:p>
  </w:footnote>
  <w:footnote w:id="8">
    <w:p w14:paraId="560B39DE" w14:textId="77777777" w:rsidR="00857D27" w:rsidRPr="00564B0F" w:rsidRDefault="00857D27" w:rsidP="00857D27">
      <w:pPr>
        <w:pStyle w:val="FootnoteText"/>
      </w:pPr>
      <w:r w:rsidRPr="00564B0F">
        <w:rPr>
          <w:rStyle w:val="FootnoteReference"/>
        </w:rPr>
        <w:footnoteRef/>
      </w:r>
      <w:r w:rsidRPr="00564B0F">
        <w:t xml:space="preserve"> </w:t>
      </w:r>
      <w:r w:rsidRPr="00564B0F">
        <w:rPr>
          <w:i/>
        </w:rPr>
        <w:t>HD</w:t>
      </w:r>
      <w:r w:rsidRPr="00564B0F">
        <w:rPr>
          <w:iCs/>
        </w:rPr>
        <w:t xml:space="preserve"> (n</w:t>
      </w:r>
      <w:r>
        <w:rPr>
          <w:iCs/>
        </w:rPr>
        <w:t xml:space="preserve"> </w:t>
      </w:r>
      <w:r>
        <w:rPr>
          <w:iCs/>
        </w:rPr>
        <w:fldChar w:fldCharType="begin"/>
      </w:r>
      <w:r>
        <w:rPr>
          <w:iCs/>
        </w:rPr>
        <w:instrText xml:space="preserve"> NOTEREF _Ref126831184 \h </w:instrText>
      </w:r>
      <w:r>
        <w:rPr>
          <w:iCs/>
        </w:rPr>
      </w:r>
      <w:r>
        <w:rPr>
          <w:iCs/>
        </w:rPr>
        <w:fldChar w:fldCharType="separate"/>
      </w:r>
      <w:r>
        <w:rPr>
          <w:iCs/>
        </w:rPr>
        <w:t>4</w:t>
      </w:r>
      <w:r>
        <w:rPr>
          <w:iCs/>
        </w:rPr>
        <w:fldChar w:fldCharType="end"/>
      </w:r>
      <w:r w:rsidRPr="00564B0F">
        <w:rPr>
          <w:iCs/>
        </w:rPr>
        <w:t>) [171].</w:t>
      </w:r>
    </w:p>
  </w:footnote>
  <w:footnote w:id="9">
    <w:p w14:paraId="3FE8CD16" w14:textId="67B7D46D" w:rsidR="00E501BF" w:rsidRPr="00E501BF" w:rsidRDefault="00E501BF">
      <w:pPr>
        <w:pStyle w:val="FootnoteText"/>
        <w:rPr>
          <w:lang w:val="en-US"/>
        </w:rPr>
      </w:pPr>
      <w:r>
        <w:rPr>
          <w:rStyle w:val="FootnoteReference"/>
        </w:rPr>
        <w:footnoteRef/>
      </w:r>
      <w:r>
        <w:t xml:space="preserve"> </w:t>
      </w:r>
      <w:r w:rsidRPr="00564B0F">
        <w:t>Protocol to Prevent, Suppress and Punish Trafficking in Persons, Especially Women and Children, supplementing the United Nations Convention against Transnational Organized Crime (adopted 15 November 2000, entered into force 25 December 2003) 2237 UNTS 319 (Trafficking Protocol) Art 3(a)</w:t>
      </w:r>
      <w:r>
        <w:t>: ‘</w:t>
      </w:r>
      <w:r w:rsidRPr="00BA73FF">
        <w:t>Exploitation shall include, at a minimum,</w:t>
      </w:r>
      <w:r>
        <w:t xml:space="preserve"> </w:t>
      </w:r>
      <w:r w:rsidRPr="00BA73FF">
        <w:t>the exploitation of the prostitution of others or other forms of sexual exploitation, forced labour or services, slavery or practices similar to slavery, servitude or the removal of organs</w:t>
      </w:r>
      <w:r>
        <w:t>’.</w:t>
      </w:r>
    </w:p>
  </w:footnote>
  <w:footnote w:id="10">
    <w:p w14:paraId="4A00F9BC" w14:textId="1FEBE55E" w:rsidR="00C24578" w:rsidRPr="00564B0F" w:rsidRDefault="00C24578" w:rsidP="00C24578">
      <w:pPr>
        <w:pStyle w:val="FootnoteText"/>
      </w:pPr>
      <w:r w:rsidRPr="00564B0F">
        <w:rPr>
          <w:rStyle w:val="FootnoteReference"/>
        </w:rPr>
        <w:footnoteRef/>
      </w:r>
      <w:r w:rsidRPr="00564B0F">
        <w:t xml:space="preserve"> This applies to women as well as men. For example, in </w:t>
      </w:r>
      <w:r w:rsidRPr="00564B0F">
        <w:rPr>
          <w:i/>
          <w:iCs/>
        </w:rPr>
        <w:t>FK v SSHD</w:t>
      </w:r>
      <w:r w:rsidRPr="00564B0F">
        <w:t xml:space="preserve"> [2015] UKUT (IAC) AA/08453/2014, a male minor was trafficked for sexual exploitation.</w:t>
      </w:r>
    </w:p>
  </w:footnote>
  <w:footnote w:id="11">
    <w:p w14:paraId="22798A59" w14:textId="1E175E5C" w:rsidR="00C24578" w:rsidRPr="00564B0F" w:rsidRDefault="00C24578" w:rsidP="00C24578">
      <w:pPr>
        <w:pStyle w:val="FootnoteText"/>
      </w:pPr>
      <w:r w:rsidRPr="00564B0F">
        <w:rPr>
          <w:rStyle w:val="FootnoteReference"/>
        </w:rPr>
        <w:footnoteRef/>
      </w:r>
      <w:r w:rsidRPr="00564B0F">
        <w:t xml:space="preserve"> See, </w:t>
      </w:r>
      <w:proofErr w:type="spellStart"/>
      <w:r w:rsidRPr="00564B0F">
        <w:t>eg</w:t>
      </w:r>
      <w:proofErr w:type="spellEnd"/>
      <w:r w:rsidRPr="00564B0F">
        <w:t xml:space="preserve">, </w:t>
      </w:r>
      <w:r w:rsidRPr="00564B0F">
        <w:rPr>
          <w:i/>
          <w:iCs/>
        </w:rPr>
        <w:t>AM and BM</w:t>
      </w:r>
      <w:r w:rsidRPr="00564B0F">
        <w:t xml:space="preserve"> (n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xml:space="preserve">) [7] and [22]; </w:t>
      </w:r>
      <w:r w:rsidRPr="00564B0F">
        <w:rPr>
          <w:i/>
          <w:iCs/>
        </w:rPr>
        <w:t xml:space="preserve">AZ </w:t>
      </w:r>
      <w:r w:rsidRPr="00564B0F">
        <w:t>(n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xml:space="preserve">) [5]; </w:t>
      </w:r>
      <w:r w:rsidR="00D06315" w:rsidRPr="00D06315">
        <w:rPr>
          <w:i/>
          <w:iCs/>
        </w:rPr>
        <w:t>ES (s82 NIA 2002, Negative NRM</w:t>
      </w:r>
      <w:r w:rsidR="00D06315" w:rsidRPr="00D06315">
        <w:t>) [2018] UKUT 335 (IAC)</w:t>
      </w:r>
      <w:r w:rsidR="00D06315" w:rsidRPr="00D06315">
        <w:rPr>
          <w:i/>
          <w:iCs/>
        </w:rPr>
        <w:t xml:space="preserve"> </w:t>
      </w:r>
      <w:r w:rsidRPr="00564B0F">
        <w:t xml:space="preserve">[3]; </w:t>
      </w:r>
      <w:r w:rsidR="00D06315" w:rsidRPr="0002763E">
        <w:rPr>
          <w:i/>
          <w:iCs/>
          <w:noProof/>
        </w:rPr>
        <w:t>MP (Trafficking – Sufficiency of Protection) Romania</w:t>
      </w:r>
      <w:r w:rsidR="00D06315" w:rsidRPr="00BA73FF">
        <w:rPr>
          <w:noProof/>
        </w:rPr>
        <w:t xml:space="preserve"> [2005] UKIAT 00086</w:t>
      </w:r>
      <w:r w:rsidR="00D06315" w:rsidRPr="00564B0F">
        <w:t xml:space="preserve"> </w:t>
      </w:r>
      <w:r w:rsidRPr="00564B0F">
        <w:t xml:space="preserve">[6]; </w:t>
      </w:r>
      <w:r w:rsidR="0002763E" w:rsidRPr="00564B0F">
        <w:rPr>
          <w:bCs/>
        </w:rPr>
        <w:t>VG Aachen, 2 K 2224/15.A, 28.12.2017</w:t>
      </w:r>
      <w:r w:rsidR="0002763E" w:rsidRPr="00564B0F">
        <w:t xml:space="preserve"> </w:t>
      </w:r>
      <w:r w:rsidRPr="00564B0F">
        <w:t xml:space="preserve">[9]; </w:t>
      </w:r>
      <w:r w:rsidR="0002763E" w:rsidRPr="00564B0F">
        <w:t xml:space="preserve">VG Augsburg, Au 7 K 17.30060, 13.12.2017 </w:t>
      </w:r>
      <w:r w:rsidRPr="00564B0F">
        <w:t xml:space="preserve">[18]; </w:t>
      </w:r>
      <w:r w:rsidR="0002763E" w:rsidRPr="00564B0F">
        <w:t xml:space="preserve">VG München, M 23 K 11.30389, 30.09.2013 </w:t>
      </w:r>
      <w:r w:rsidRPr="00564B0F">
        <w:t>[2].</w:t>
      </w:r>
    </w:p>
  </w:footnote>
  <w:footnote w:id="12">
    <w:p w14:paraId="2BBD4523" w14:textId="40C3F957" w:rsidR="00C24578" w:rsidRPr="00564B0F" w:rsidRDefault="00C24578" w:rsidP="00C24578">
      <w:pPr>
        <w:pStyle w:val="FootnoteText"/>
      </w:pPr>
      <w:r w:rsidRPr="00564B0F">
        <w:rPr>
          <w:rStyle w:val="FootnoteReference"/>
        </w:rPr>
        <w:footnoteRef/>
      </w:r>
      <w:r w:rsidRPr="00564B0F">
        <w:t xml:space="preserve"> See, </w:t>
      </w:r>
      <w:proofErr w:type="spellStart"/>
      <w:r w:rsidRPr="00564B0F">
        <w:t>eg</w:t>
      </w:r>
      <w:proofErr w:type="spellEnd"/>
      <w:r w:rsidRPr="00564B0F">
        <w:t xml:space="preserve">, </w:t>
      </w:r>
      <w:r w:rsidRPr="00564B0F">
        <w:rPr>
          <w:i/>
          <w:iCs/>
        </w:rPr>
        <w:t>AM and BM</w:t>
      </w:r>
      <w:r w:rsidRPr="00564B0F">
        <w:t xml:space="preserve"> (n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xml:space="preserve">) [7] and [22]; </w:t>
      </w:r>
      <w:r w:rsidRPr="00564B0F">
        <w:rPr>
          <w:i/>
          <w:iCs/>
        </w:rPr>
        <w:t xml:space="preserve">AZ </w:t>
      </w:r>
      <w:r w:rsidRPr="00564B0F">
        <w:t>(n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xml:space="preserve">) [5]; </w:t>
      </w:r>
      <w:r w:rsidRPr="00564B0F">
        <w:rPr>
          <w:i/>
          <w:iCs/>
        </w:rPr>
        <w:t>ES</w:t>
      </w:r>
      <w:r w:rsidRPr="00564B0F">
        <w:t xml:space="preserve"> (n</w:t>
      </w:r>
      <w:r w:rsidR="00D06315">
        <w:t xml:space="preserve"> </w:t>
      </w:r>
      <w:r w:rsidR="00D06315">
        <w:fldChar w:fldCharType="begin"/>
      </w:r>
      <w:r w:rsidR="00D06315">
        <w:instrText xml:space="preserve"> NOTEREF _Ref126835994 \h </w:instrText>
      </w:r>
      <w:r w:rsidR="00D06315">
        <w:fldChar w:fldCharType="separate"/>
      </w:r>
      <w:r w:rsidR="00D06315">
        <w:t>10</w:t>
      </w:r>
      <w:r w:rsidR="00D06315">
        <w:fldChar w:fldCharType="end"/>
      </w:r>
      <w:r w:rsidRPr="00564B0F">
        <w:t xml:space="preserve">) [3]; </w:t>
      </w:r>
      <w:r w:rsidRPr="00564B0F">
        <w:rPr>
          <w:i/>
          <w:iCs/>
        </w:rPr>
        <w:t xml:space="preserve">MP </w:t>
      </w:r>
      <w:r w:rsidRPr="00564B0F">
        <w:t>(n</w:t>
      </w:r>
      <w:r w:rsidR="00D06315">
        <w:t xml:space="preserve"> </w:t>
      </w:r>
      <w:r w:rsidR="00D06315">
        <w:fldChar w:fldCharType="begin"/>
      </w:r>
      <w:r w:rsidR="00D06315">
        <w:instrText xml:space="preserve"> NOTEREF _Ref126835994 \h </w:instrText>
      </w:r>
      <w:r w:rsidR="00D06315">
        <w:fldChar w:fldCharType="separate"/>
      </w:r>
      <w:r w:rsidR="00D06315">
        <w:t>10</w:t>
      </w:r>
      <w:r w:rsidR="00D06315">
        <w:fldChar w:fldCharType="end"/>
      </w:r>
      <w:r w:rsidRPr="00564B0F">
        <w:t>) [6].</w:t>
      </w:r>
    </w:p>
  </w:footnote>
  <w:footnote w:id="13">
    <w:p w14:paraId="17120A29" w14:textId="2061EA82" w:rsidR="00C24578" w:rsidRPr="00564B0F" w:rsidRDefault="00C24578" w:rsidP="00C24578">
      <w:pPr>
        <w:pStyle w:val="FootnoteText"/>
      </w:pPr>
      <w:r w:rsidRPr="00564B0F">
        <w:rPr>
          <w:rStyle w:val="FootnoteReference"/>
        </w:rPr>
        <w:footnoteRef/>
      </w:r>
      <w:r w:rsidRPr="00564B0F">
        <w:t xml:space="preserve"> See, </w:t>
      </w:r>
      <w:proofErr w:type="spellStart"/>
      <w:r w:rsidRPr="00564B0F">
        <w:t>eg</w:t>
      </w:r>
      <w:proofErr w:type="spellEnd"/>
      <w:r w:rsidRPr="00564B0F">
        <w:t xml:space="preserve">, </w:t>
      </w:r>
      <w:r w:rsidRPr="00564B0F">
        <w:rPr>
          <w:i/>
          <w:iCs/>
        </w:rPr>
        <w:t xml:space="preserve">AZ </w:t>
      </w:r>
      <w:r w:rsidRPr="00564B0F">
        <w:t>(n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[5].</w:t>
      </w:r>
    </w:p>
  </w:footnote>
  <w:footnote w:id="14">
    <w:p w14:paraId="2A1C9472" w14:textId="684CC096" w:rsidR="00C24578" w:rsidRPr="00D06315" w:rsidRDefault="00C24578" w:rsidP="00C24578">
      <w:pPr>
        <w:pStyle w:val="FootnoteText"/>
        <w:rPr>
          <w:lang w:val="en-US"/>
        </w:rPr>
      </w:pPr>
      <w:r w:rsidRPr="00564B0F">
        <w:rPr>
          <w:rStyle w:val="FootnoteReference"/>
        </w:rPr>
        <w:footnoteRef/>
      </w:r>
      <w:r w:rsidRPr="00D06315">
        <w:rPr>
          <w:lang w:val="en-US"/>
        </w:rPr>
        <w:t xml:space="preserve"> See, </w:t>
      </w:r>
      <w:proofErr w:type="spellStart"/>
      <w:r w:rsidRPr="00D06315">
        <w:rPr>
          <w:lang w:val="en-US"/>
        </w:rPr>
        <w:t>eg</w:t>
      </w:r>
      <w:proofErr w:type="spellEnd"/>
      <w:r w:rsidRPr="00D06315">
        <w:rPr>
          <w:lang w:val="en-US"/>
        </w:rPr>
        <w:t xml:space="preserve">, </w:t>
      </w:r>
      <w:r w:rsidR="00D06315" w:rsidRPr="00D06315">
        <w:rPr>
          <w:i/>
          <w:iCs/>
          <w:noProof/>
        </w:rPr>
        <w:t>EK (Article 4 ECHR- Anti-Trafficking Convention) Tanzania v SSHD</w:t>
      </w:r>
      <w:r w:rsidR="00D06315" w:rsidRPr="00BA73FF">
        <w:rPr>
          <w:noProof/>
        </w:rPr>
        <w:t xml:space="preserve"> [2013] UKUT 00313 (IAC)</w:t>
      </w:r>
      <w:r w:rsidR="00D06315" w:rsidRPr="00D06315">
        <w:rPr>
          <w:lang w:val="en-US"/>
        </w:rPr>
        <w:t xml:space="preserve"> </w:t>
      </w:r>
      <w:r w:rsidRPr="00D06315">
        <w:rPr>
          <w:lang w:val="en-US"/>
        </w:rPr>
        <w:t xml:space="preserve">[27]; </w:t>
      </w:r>
      <w:r w:rsidR="0002763E" w:rsidRPr="00564B0F">
        <w:t>VG Augsburg, Au 7 K 12.30184, 18.09.2012</w:t>
      </w:r>
      <w:r w:rsidR="0002763E">
        <w:t xml:space="preserve">, </w:t>
      </w:r>
      <w:r w:rsidRPr="00D06315">
        <w:rPr>
          <w:lang w:val="en-US"/>
        </w:rPr>
        <w:t xml:space="preserve">p. 3. </w:t>
      </w:r>
    </w:p>
  </w:footnote>
  <w:footnote w:id="15">
    <w:p w14:paraId="2577B32E" w14:textId="39AF7B3E" w:rsidR="00C24578" w:rsidRPr="00564B0F" w:rsidRDefault="00C24578" w:rsidP="00C24578">
      <w:pPr>
        <w:pStyle w:val="FootnoteText"/>
      </w:pPr>
      <w:r w:rsidRPr="00564B0F">
        <w:rPr>
          <w:rStyle w:val="FootnoteReference"/>
        </w:rPr>
        <w:footnoteRef/>
      </w:r>
      <w:r w:rsidRPr="00564B0F">
        <w:t xml:space="preserve"> See, </w:t>
      </w:r>
      <w:proofErr w:type="spellStart"/>
      <w:r w:rsidRPr="00564B0F">
        <w:t>eg</w:t>
      </w:r>
      <w:proofErr w:type="spellEnd"/>
      <w:r w:rsidRPr="00564B0F">
        <w:t xml:space="preserve">, </w:t>
      </w:r>
      <w:r w:rsidRPr="00564B0F">
        <w:rPr>
          <w:i/>
          <w:iCs/>
        </w:rPr>
        <w:t>EK</w:t>
      </w:r>
      <w:r w:rsidRPr="00564B0F">
        <w:t xml:space="preserve"> </w:t>
      </w:r>
      <w:r w:rsidR="00D06315">
        <w:t>ibid</w:t>
      </w:r>
      <w:r w:rsidRPr="00564B0F">
        <w:t xml:space="preserve"> [59]; </w:t>
      </w:r>
      <w:r w:rsidRPr="00564B0F">
        <w:rPr>
          <w:i/>
          <w:iCs/>
        </w:rPr>
        <w:t>HD</w:t>
      </w:r>
      <w:r w:rsidRPr="00564B0F">
        <w:t xml:space="preserve"> (n</w:t>
      </w:r>
      <w:r w:rsidR="00D06315">
        <w:t xml:space="preserve"> </w:t>
      </w:r>
      <w:r w:rsidR="00D06315">
        <w:fldChar w:fldCharType="begin"/>
      </w:r>
      <w:r w:rsidR="00D06315">
        <w:instrText xml:space="preserve"> NOTEREF _Ref126831184 \h </w:instrText>
      </w:r>
      <w:r w:rsidR="00D06315">
        <w:fldChar w:fldCharType="separate"/>
      </w:r>
      <w:r w:rsidR="00D06315">
        <w:t>4</w:t>
      </w:r>
      <w:r w:rsidR="00D06315">
        <w:fldChar w:fldCharType="end"/>
      </w:r>
      <w:r w:rsidRPr="00564B0F">
        <w:t xml:space="preserve">) [206]; </w:t>
      </w:r>
      <w:r w:rsidR="00D06315" w:rsidRPr="00D06315">
        <w:rPr>
          <w:i/>
          <w:iCs/>
          <w:noProof/>
        </w:rPr>
        <w:t>TT (Vietnam)</w:t>
      </w:r>
      <w:r w:rsidR="00D06315" w:rsidRPr="00BA73FF">
        <w:rPr>
          <w:noProof/>
        </w:rPr>
        <w:t xml:space="preserve"> [2019] EWCA Civ 248, [2019] 2 WLUK 401</w:t>
      </w:r>
      <w:r w:rsidR="00D06315" w:rsidRPr="00564B0F">
        <w:t xml:space="preserve"> </w:t>
      </w:r>
      <w:r w:rsidRPr="00564B0F">
        <w:t xml:space="preserve">[6]; </w:t>
      </w:r>
      <w:r w:rsidR="00AA722F" w:rsidRPr="00564B0F">
        <w:t xml:space="preserve">VG München, M 10 K 16.30286, 17.11.2016 </w:t>
      </w:r>
      <w:r w:rsidRPr="00564B0F">
        <w:t>[7]; M 23 K 11.30389 (n</w:t>
      </w:r>
      <w:r w:rsidR="00AA722F">
        <w:t xml:space="preserve"> </w:t>
      </w:r>
      <w:r w:rsidR="00AA722F">
        <w:fldChar w:fldCharType="begin"/>
      </w:r>
      <w:r w:rsidR="00AA722F">
        <w:instrText xml:space="preserve"> NOTEREF _Ref126835994 \h </w:instrText>
      </w:r>
      <w:r w:rsidR="00AA722F">
        <w:fldChar w:fldCharType="separate"/>
      </w:r>
      <w:r w:rsidR="00AA722F">
        <w:t>10</w:t>
      </w:r>
      <w:r w:rsidR="00AA722F">
        <w:fldChar w:fldCharType="end"/>
      </w:r>
      <w:r w:rsidRPr="00564B0F">
        <w:t>) [2]</w:t>
      </w:r>
      <w:r>
        <w:t>.</w:t>
      </w:r>
    </w:p>
  </w:footnote>
  <w:footnote w:id="16">
    <w:p w14:paraId="2A3919BD" w14:textId="1D647D10" w:rsidR="00C13C32" w:rsidRPr="00564B0F" w:rsidRDefault="00C13C32" w:rsidP="00C13C32">
      <w:pPr>
        <w:pStyle w:val="FootnoteText"/>
      </w:pPr>
      <w:r w:rsidRPr="00564B0F">
        <w:rPr>
          <w:rStyle w:val="FootnoteReference"/>
        </w:rPr>
        <w:footnoteRef/>
      </w:r>
      <w:r w:rsidRPr="00564B0F">
        <w:t xml:space="preserve"> </w:t>
      </w:r>
      <w:proofErr w:type="spellStart"/>
      <w:r w:rsidR="008D792D" w:rsidRPr="00564B0F">
        <w:t>Vladislava</w:t>
      </w:r>
      <w:proofErr w:type="spellEnd"/>
      <w:r w:rsidR="008D792D" w:rsidRPr="00564B0F">
        <w:t xml:space="preserve"> Stoyanova, ‘Victims of Human Trafficking: A Legal Analysis of the Guarantees for “Vulnerable Persons” under the Second Phase of the EU Asylum Legislation’ in Céline </w:t>
      </w:r>
      <w:proofErr w:type="spellStart"/>
      <w:r w:rsidR="008D792D" w:rsidRPr="00564B0F">
        <w:t>Bauloz</w:t>
      </w:r>
      <w:proofErr w:type="spellEnd"/>
      <w:r w:rsidR="00AB6EE3">
        <w:t xml:space="preserve"> et al</w:t>
      </w:r>
      <w:r w:rsidR="008D792D" w:rsidRPr="00564B0F">
        <w:t xml:space="preserve"> (eds)</w:t>
      </w:r>
      <w:r w:rsidR="00366912">
        <w:t>,</w:t>
      </w:r>
      <w:r w:rsidR="008D792D" w:rsidRPr="00564B0F">
        <w:t xml:space="preserve"> </w:t>
      </w:r>
      <w:r w:rsidR="008D792D" w:rsidRPr="00564B0F">
        <w:rPr>
          <w:i/>
        </w:rPr>
        <w:t>Seeking Asylum in the European Union: Selected Protection Issues Raised by the Second Phase of the Common European Asylum System</w:t>
      </w:r>
      <w:r w:rsidR="008D792D" w:rsidRPr="00564B0F">
        <w:t xml:space="preserve"> (Brill </w:t>
      </w:r>
      <w:proofErr w:type="spellStart"/>
      <w:r w:rsidR="008D792D" w:rsidRPr="00564B0F">
        <w:t>Nijhoff</w:t>
      </w:r>
      <w:proofErr w:type="spellEnd"/>
      <w:r w:rsidR="008D792D" w:rsidRPr="00564B0F">
        <w:t xml:space="preserve"> 2015) 77.</w:t>
      </w:r>
    </w:p>
  </w:footnote>
  <w:footnote w:id="17">
    <w:p w14:paraId="6B9D2061" w14:textId="2BE3F72A" w:rsidR="00C13C32" w:rsidRPr="00564B0F" w:rsidRDefault="00C13C32" w:rsidP="00C13C32">
      <w:pPr>
        <w:pStyle w:val="FootnoteText"/>
      </w:pPr>
      <w:r w:rsidRPr="00564B0F">
        <w:rPr>
          <w:rStyle w:val="FootnoteReference"/>
        </w:rPr>
        <w:footnoteRef/>
      </w:r>
      <w:r w:rsidRPr="00564B0F">
        <w:t xml:space="preserve"> </w:t>
      </w:r>
      <w:r w:rsidR="008D792D" w:rsidRPr="00564B0F">
        <w:t>UNHCR, ‘Desperate Journeys: Refugees and Migrants Entering and Crossing Europe via the Mediterranean and Western Balkans Routes’ (February 2017).</w:t>
      </w:r>
    </w:p>
  </w:footnote>
  <w:footnote w:id="18">
    <w:p w14:paraId="7BE9A895" w14:textId="1C6BC481" w:rsidR="00FC1140" w:rsidRPr="00FC1140" w:rsidRDefault="00FC1140">
      <w:pPr>
        <w:pStyle w:val="FootnoteText"/>
        <w:rPr>
          <w:lang w:val="en-US"/>
        </w:rPr>
      </w:pPr>
      <w:r>
        <w:rPr>
          <w:rStyle w:val="FootnoteReference"/>
        </w:rPr>
        <w:footnoteRef/>
      </w:r>
      <w:r>
        <w:t xml:space="preserve"> </w:t>
      </w:r>
      <w:r w:rsidRPr="00564B0F">
        <w:rPr>
          <w:i/>
          <w:iCs/>
        </w:rPr>
        <w:t>AM and BM</w:t>
      </w:r>
      <w:r w:rsidRPr="00564B0F">
        <w:t xml:space="preserve"> (n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[180]</w:t>
      </w:r>
      <w:r>
        <w:t xml:space="preserve">; </w:t>
      </w:r>
      <w:r w:rsidR="00D06315" w:rsidRPr="00D06315">
        <w:rPr>
          <w:i/>
          <w:iCs/>
          <w:noProof/>
        </w:rPr>
        <w:t>PO (Trafficked Women) Nigeria CG</w:t>
      </w:r>
      <w:r w:rsidR="00D06315" w:rsidRPr="00BA73FF">
        <w:rPr>
          <w:noProof/>
        </w:rPr>
        <w:t xml:space="preserve"> [2009] UKAIT 00046</w:t>
      </w:r>
      <w:r w:rsidR="00D06315" w:rsidRPr="00564B0F">
        <w:t xml:space="preserve"> </w:t>
      </w:r>
      <w:r w:rsidRPr="00564B0F">
        <w:t>[201]</w:t>
      </w:r>
      <w:r w:rsidR="0064780A">
        <w:t>;</w:t>
      </w:r>
      <w:r>
        <w:t xml:space="preserve"> </w:t>
      </w:r>
      <w:r w:rsidR="0064780A" w:rsidRPr="00564B0F">
        <w:t xml:space="preserve">VG </w:t>
      </w:r>
      <w:proofErr w:type="spellStart"/>
      <w:r w:rsidR="0064780A" w:rsidRPr="00564B0F">
        <w:t>München</w:t>
      </w:r>
      <w:proofErr w:type="spellEnd"/>
      <w:r w:rsidR="0064780A" w:rsidRPr="00564B0F">
        <w:t xml:space="preserve">, M 11 K 06.51323, 11.09.2007 </w:t>
      </w:r>
      <w:r w:rsidRPr="00564B0F">
        <w:t>[35]</w:t>
      </w:r>
      <w:r>
        <w:t xml:space="preserve">; </w:t>
      </w:r>
      <w:r w:rsidR="007C33BA" w:rsidRPr="000108DA">
        <w:t>VG Düsseldorf, 27 K 2264/18.A, 15.12.2020</w:t>
      </w:r>
      <w:r>
        <w:t xml:space="preserve">; </w:t>
      </w:r>
      <w:r w:rsidRPr="00564B0F">
        <w:t>VG Cottbus, 9 K 1516/18.A, 11.01.2021</w:t>
      </w:r>
      <w:r>
        <w:t xml:space="preserve">; </w:t>
      </w:r>
      <w:r w:rsidRPr="00564B0F">
        <w:rPr>
          <w:i/>
          <w:iCs/>
        </w:rPr>
        <w:t>LTD v SSHD</w:t>
      </w:r>
      <w:r w:rsidRPr="00564B0F">
        <w:t xml:space="preserve"> [2015] UKUT (IAC) AA/13630/2011</w:t>
      </w:r>
      <w:r>
        <w:t xml:space="preserve">; </w:t>
      </w:r>
      <w:r w:rsidRPr="00564B0F">
        <w:rPr>
          <w:i/>
          <w:iCs/>
        </w:rPr>
        <w:t>TSN v SSHD</w:t>
      </w:r>
      <w:r w:rsidRPr="00564B0F">
        <w:t xml:space="preserve"> [2019] UKUT (IAC) PA/07665/2017</w:t>
      </w:r>
      <w:r>
        <w:t>.</w:t>
      </w:r>
    </w:p>
  </w:footnote>
  <w:footnote w:id="19">
    <w:p w14:paraId="5B1E03B0" w14:textId="3D8F8EB7" w:rsidR="00494FFD" w:rsidRPr="00494FFD" w:rsidRDefault="00494FFD" w:rsidP="00494FFD">
      <w:pPr>
        <w:pStyle w:val="FootnoteText"/>
      </w:pPr>
      <w:r>
        <w:rPr>
          <w:rStyle w:val="FootnoteReference"/>
        </w:rPr>
        <w:footnoteRef/>
      </w:r>
      <w:r>
        <w:t xml:space="preserve"> </w:t>
      </w:r>
      <w:r w:rsidR="00D43BBF" w:rsidRPr="007D589C">
        <w:rPr>
          <w:i/>
          <w:iCs/>
          <w:noProof/>
        </w:rPr>
        <w:t>SB (PSG - Protection Regulations – Reg 6) Moldova CG</w:t>
      </w:r>
      <w:r w:rsidR="00D43BBF" w:rsidRPr="00BA73FF">
        <w:rPr>
          <w:noProof/>
        </w:rPr>
        <w:t xml:space="preserve"> [2008] UKAIT 00002</w:t>
      </w:r>
      <w:r w:rsidR="00D43BBF" w:rsidRPr="00564B0F">
        <w:t xml:space="preserve"> </w:t>
      </w:r>
      <w:r w:rsidR="00CC6036" w:rsidRPr="00564B0F">
        <w:t>[56]</w:t>
      </w:r>
      <w:r w:rsidR="00CC6036">
        <w:t xml:space="preserve">; </w:t>
      </w:r>
      <w:r w:rsidRPr="00564B0F">
        <w:rPr>
          <w:i/>
          <w:iCs/>
        </w:rPr>
        <w:t>HD</w:t>
      </w:r>
      <w:r w:rsidRPr="00564B0F">
        <w:t xml:space="preserve"> (n</w:t>
      </w:r>
      <w:r w:rsidR="00D06315">
        <w:t xml:space="preserve"> </w:t>
      </w:r>
      <w:r w:rsidR="00D06315">
        <w:fldChar w:fldCharType="begin"/>
      </w:r>
      <w:r w:rsidR="00D06315">
        <w:instrText xml:space="preserve"> NOTEREF _Ref126831184 \h </w:instrText>
      </w:r>
      <w:r w:rsidR="00D06315">
        <w:fldChar w:fldCharType="separate"/>
      </w:r>
      <w:r w:rsidR="00D06315">
        <w:t>4</w:t>
      </w:r>
      <w:r w:rsidR="00D06315">
        <w:fldChar w:fldCharType="end"/>
      </w:r>
      <w:r w:rsidRPr="00564B0F">
        <w:t>) [9]</w:t>
      </w:r>
      <w:r>
        <w:t xml:space="preserve">; </w:t>
      </w:r>
      <w:r w:rsidRPr="00564B0F">
        <w:rPr>
          <w:i/>
          <w:iCs/>
        </w:rPr>
        <w:t>ES</w:t>
      </w:r>
      <w:r w:rsidRPr="00564B0F">
        <w:t xml:space="preserve"> (n</w:t>
      </w:r>
      <w:r w:rsidR="00D06315">
        <w:t xml:space="preserve"> </w:t>
      </w:r>
      <w:r w:rsidR="00D06315">
        <w:fldChar w:fldCharType="begin"/>
      </w:r>
      <w:r w:rsidR="00D06315">
        <w:instrText xml:space="preserve"> NOTEREF _Ref126835994 \h </w:instrText>
      </w:r>
      <w:r w:rsidR="00D06315">
        <w:fldChar w:fldCharType="separate"/>
      </w:r>
      <w:r w:rsidR="00D06315">
        <w:t>10</w:t>
      </w:r>
      <w:r w:rsidR="00D06315">
        <w:fldChar w:fldCharType="end"/>
      </w:r>
      <w:r w:rsidRPr="00564B0F">
        <w:t>) [60]</w:t>
      </w:r>
      <w:r>
        <w:t xml:space="preserve">; </w:t>
      </w:r>
      <w:r w:rsidRPr="00564B0F">
        <w:rPr>
          <w:i/>
          <w:iCs/>
        </w:rPr>
        <w:t>TD and AD</w:t>
      </w:r>
      <w:r w:rsidRPr="00564B0F">
        <w:t xml:space="preserve"> (n</w:t>
      </w:r>
      <w:r w:rsidR="00D06315">
        <w:t xml:space="preserve"> </w:t>
      </w:r>
      <w:r w:rsidR="00D06315">
        <w:fldChar w:fldCharType="begin"/>
      </w:r>
      <w:r w:rsidR="00D06315">
        <w:instrText xml:space="preserve"> NOTEREF _Ref126835855 \h </w:instrText>
      </w:r>
      <w:r w:rsidR="00D06315">
        <w:fldChar w:fldCharType="separate"/>
      </w:r>
      <w:r w:rsidR="00D06315">
        <w:t>5</w:t>
      </w:r>
      <w:r w:rsidR="00D06315">
        <w:fldChar w:fldCharType="end"/>
      </w:r>
      <w:r w:rsidRPr="00564B0F">
        <w:t>) [</w:t>
      </w:r>
      <w:r w:rsidR="0027013F">
        <w:t>119].</w:t>
      </w:r>
    </w:p>
  </w:footnote>
  <w:footnote w:id="20">
    <w:p w14:paraId="164D84A0" w14:textId="77942567" w:rsidR="00A76283" w:rsidRPr="00A76283" w:rsidRDefault="00A76283">
      <w:pPr>
        <w:pStyle w:val="FootnoteText"/>
        <w:rPr>
          <w:lang w:val="en-US"/>
        </w:rPr>
      </w:pPr>
      <w:r>
        <w:rPr>
          <w:rStyle w:val="FootnoteReference"/>
        </w:rPr>
        <w:footnoteRef/>
      </w:r>
      <w:r>
        <w:t xml:space="preserve"> </w:t>
      </w:r>
      <w:r w:rsidRPr="00A76283">
        <w:rPr>
          <w:lang w:val="en-US"/>
        </w:rPr>
        <w:t>Vulnerabilities can be conceived o</w:t>
      </w:r>
      <w:r>
        <w:rPr>
          <w:lang w:val="en-US"/>
        </w:rPr>
        <w:t xml:space="preserve">f </w:t>
      </w:r>
      <w:r w:rsidRPr="00A76283">
        <w:rPr>
          <w:lang w:val="en-US"/>
        </w:rPr>
        <w:t>as innate at the time of refugee s</w:t>
      </w:r>
      <w:r>
        <w:rPr>
          <w:lang w:val="en-US"/>
        </w:rPr>
        <w:t>t</w:t>
      </w:r>
      <w:r w:rsidRPr="00A76283">
        <w:rPr>
          <w:lang w:val="en-US"/>
        </w:rPr>
        <w:t xml:space="preserve">atus determination and </w:t>
      </w:r>
      <w:r>
        <w:rPr>
          <w:lang w:val="en-US"/>
        </w:rPr>
        <w:t>‘vulnerable’ persons may be perceived as being different from surrounding society, the stigma experienced by trafficked persons and other irregular migrants serving as an example for this.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D4AEC"/>
    <w:multiLevelType w:val="multilevel"/>
    <w:tmpl w:val="FCF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29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04"/>
    <w:rsid w:val="0002763E"/>
    <w:rsid w:val="00065350"/>
    <w:rsid w:val="00074D90"/>
    <w:rsid w:val="000906FD"/>
    <w:rsid w:val="000B1843"/>
    <w:rsid w:val="000D2287"/>
    <w:rsid w:val="000F3826"/>
    <w:rsid w:val="00157B59"/>
    <w:rsid w:val="001A1A27"/>
    <w:rsid w:val="001A2969"/>
    <w:rsid w:val="001E34A4"/>
    <w:rsid w:val="001F3F2E"/>
    <w:rsid w:val="0025061B"/>
    <w:rsid w:val="0027013F"/>
    <w:rsid w:val="00271E16"/>
    <w:rsid w:val="00285C64"/>
    <w:rsid w:val="002D1E31"/>
    <w:rsid w:val="002E05F4"/>
    <w:rsid w:val="002F5DD1"/>
    <w:rsid w:val="002F6523"/>
    <w:rsid w:val="002F76E8"/>
    <w:rsid w:val="00300EAC"/>
    <w:rsid w:val="00305B95"/>
    <w:rsid w:val="003211C7"/>
    <w:rsid w:val="00335B76"/>
    <w:rsid w:val="00341C4B"/>
    <w:rsid w:val="0036432E"/>
    <w:rsid w:val="00366912"/>
    <w:rsid w:val="003C283E"/>
    <w:rsid w:val="003D757D"/>
    <w:rsid w:val="003F103A"/>
    <w:rsid w:val="0041022B"/>
    <w:rsid w:val="00462EBE"/>
    <w:rsid w:val="0046607C"/>
    <w:rsid w:val="00466B7B"/>
    <w:rsid w:val="00466BDA"/>
    <w:rsid w:val="00470DC2"/>
    <w:rsid w:val="00480664"/>
    <w:rsid w:val="00487530"/>
    <w:rsid w:val="00494FFD"/>
    <w:rsid w:val="004C287E"/>
    <w:rsid w:val="0050742A"/>
    <w:rsid w:val="00513B45"/>
    <w:rsid w:val="0052305E"/>
    <w:rsid w:val="005448D9"/>
    <w:rsid w:val="00546CE2"/>
    <w:rsid w:val="00566BA7"/>
    <w:rsid w:val="005A3A8E"/>
    <w:rsid w:val="005B6093"/>
    <w:rsid w:val="0063185D"/>
    <w:rsid w:val="00644A5A"/>
    <w:rsid w:val="0064780A"/>
    <w:rsid w:val="00677550"/>
    <w:rsid w:val="006B2BB6"/>
    <w:rsid w:val="006C64AA"/>
    <w:rsid w:val="006D57D9"/>
    <w:rsid w:val="006E6544"/>
    <w:rsid w:val="006F2A44"/>
    <w:rsid w:val="00722C1E"/>
    <w:rsid w:val="00725BE9"/>
    <w:rsid w:val="007377A1"/>
    <w:rsid w:val="00741FAD"/>
    <w:rsid w:val="00746497"/>
    <w:rsid w:val="0076154B"/>
    <w:rsid w:val="007A168E"/>
    <w:rsid w:val="007B3E67"/>
    <w:rsid w:val="007C33BA"/>
    <w:rsid w:val="007D589C"/>
    <w:rsid w:val="007E0E81"/>
    <w:rsid w:val="0082244E"/>
    <w:rsid w:val="00835329"/>
    <w:rsid w:val="00857D27"/>
    <w:rsid w:val="00883904"/>
    <w:rsid w:val="008923C7"/>
    <w:rsid w:val="008A39B4"/>
    <w:rsid w:val="008B3272"/>
    <w:rsid w:val="008D792D"/>
    <w:rsid w:val="009B3A37"/>
    <w:rsid w:val="009E2F98"/>
    <w:rsid w:val="009F045C"/>
    <w:rsid w:val="00A523C6"/>
    <w:rsid w:val="00A73F3E"/>
    <w:rsid w:val="00A7410B"/>
    <w:rsid w:val="00A76283"/>
    <w:rsid w:val="00AA0112"/>
    <w:rsid w:val="00AA722F"/>
    <w:rsid w:val="00AB4133"/>
    <w:rsid w:val="00AB6EE3"/>
    <w:rsid w:val="00AC12EC"/>
    <w:rsid w:val="00AF720B"/>
    <w:rsid w:val="00B03AC9"/>
    <w:rsid w:val="00B36D6B"/>
    <w:rsid w:val="00B73844"/>
    <w:rsid w:val="00BC0902"/>
    <w:rsid w:val="00BE0ADC"/>
    <w:rsid w:val="00C03BCC"/>
    <w:rsid w:val="00C04C9F"/>
    <w:rsid w:val="00C13C32"/>
    <w:rsid w:val="00C24578"/>
    <w:rsid w:val="00C33C6A"/>
    <w:rsid w:val="00C471EC"/>
    <w:rsid w:val="00C50DF7"/>
    <w:rsid w:val="00C52391"/>
    <w:rsid w:val="00C76C8B"/>
    <w:rsid w:val="00C91D20"/>
    <w:rsid w:val="00C97E63"/>
    <w:rsid w:val="00CA430E"/>
    <w:rsid w:val="00CB7A60"/>
    <w:rsid w:val="00CC6036"/>
    <w:rsid w:val="00CD0ADA"/>
    <w:rsid w:val="00CE6A6E"/>
    <w:rsid w:val="00D06315"/>
    <w:rsid w:val="00D14B6E"/>
    <w:rsid w:val="00D32E60"/>
    <w:rsid w:val="00D403D0"/>
    <w:rsid w:val="00D43BBF"/>
    <w:rsid w:val="00D5641C"/>
    <w:rsid w:val="00DB0452"/>
    <w:rsid w:val="00DD68E9"/>
    <w:rsid w:val="00DF7F89"/>
    <w:rsid w:val="00E044EF"/>
    <w:rsid w:val="00E278FA"/>
    <w:rsid w:val="00E30520"/>
    <w:rsid w:val="00E501BF"/>
    <w:rsid w:val="00E67A9C"/>
    <w:rsid w:val="00E77570"/>
    <w:rsid w:val="00E83E69"/>
    <w:rsid w:val="00EB7923"/>
    <w:rsid w:val="00EF26E6"/>
    <w:rsid w:val="00FC1140"/>
    <w:rsid w:val="00FD46EC"/>
    <w:rsid w:val="00FD7C64"/>
    <w:rsid w:val="650FF6EC"/>
    <w:rsid w:val="7CB9E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5FF9"/>
  <w15:chartTrackingRefBased/>
  <w15:docId w15:val="{74C227EC-4D2D-CB47-9E37-043BDA83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98"/>
    <w:pPr>
      <w:spacing w:line="360" w:lineRule="auto"/>
      <w:jc w:val="both"/>
    </w:pPr>
    <w:rPr>
      <w:rFonts w:ascii="Times New Roman" w:eastAsiaTheme="minorEastAsia" w:hAnsi="Times New Roman" w:cs="Times New Roman"/>
      <w:color w:val="000000" w:themeColor="text1"/>
      <w:lang w:val="en-GB" w:eastAsia="de-DE"/>
    </w:rPr>
  </w:style>
  <w:style w:type="paragraph" w:styleId="Heading1">
    <w:name w:val="heading 1"/>
    <w:basedOn w:val="Normal"/>
    <w:next w:val="Normal"/>
    <w:link w:val="Heading1Char"/>
    <w:autoRedefine/>
    <w:uiPriority w:val="9"/>
    <w:qFormat/>
    <w:rsid w:val="009E2F98"/>
    <w:pPr>
      <w:keepNext/>
      <w:keepLines/>
      <w:spacing w:before="360" w:after="120"/>
      <w:outlineLvl w:val="0"/>
    </w:pPr>
    <w:rPr>
      <w:rFonts w:eastAsiaTheme="majorEastAsia" w:cstheme="majorBidi"/>
      <w:sz w:val="26"/>
      <w:szCs w:val="32"/>
    </w:rPr>
  </w:style>
  <w:style w:type="paragraph" w:styleId="Heading2">
    <w:name w:val="heading 2"/>
    <w:basedOn w:val="Normal"/>
    <w:next w:val="Normal"/>
    <w:link w:val="Heading2Char"/>
    <w:autoRedefine/>
    <w:uiPriority w:val="9"/>
    <w:unhideWhenUsed/>
    <w:qFormat/>
    <w:rsid w:val="0050742A"/>
    <w:pPr>
      <w:keepNext/>
      <w:keepLines/>
      <w:spacing w:before="40"/>
      <w:jc w:val="left"/>
      <w:outlineLvl w:val="1"/>
    </w:pPr>
    <w:rPr>
      <w:rFonts w:eastAsiaTheme="majorEastAsia" w:cstheme="majorBidi"/>
      <w:sz w:val="26"/>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98"/>
    <w:rPr>
      <w:rFonts w:ascii="Times New Roman" w:eastAsiaTheme="majorEastAsia" w:hAnsi="Times New Roman" w:cstheme="majorBidi"/>
      <w:color w:val="000000" w:themeColor="text1"/>
      <w:sz w:val="26"/>
      <w:szCs w:val="32"/>
      <w:lang w:val="en-GB" w:eastAsia="de-DE"/>
    </w:rPr>
  </w:style>
  <w:style w:type="paragraph" w:styleId="Title">
    <w:name w:val="Title"/>
    <w:basedOn w:val="Normal"/>
    <w:next w:val="Normal"/>
    <w:link w:val="TitleChar"/>
    <w:autoRedefine/>
    <w:uiPriority w:val="10"/>
    <w:qFormat/>
    <w:rsid w:val="009E2F98"/>
    <w:pPr>
      <w:spacing w:line="240" w:lineRule="auto"/>
      <w:contextualSpacing/>
      <w:jc w:val="center"/>
    </w:pPr>
    <w:rPr>
      <w:rFonts w:eastAsiaTheme="majorEastAsia" w:cstheme="majorBidi"/>
      <w:color w:val="auto"/>
      <w:spacing w:val="-10"/>
      <w:kern w:val="28"/>
      <w:sz w:val="32"/>
      <w:szCs w:val="56"/>
    </w:rPr>
  </w:style>
  <w:style w:type="character" w:customStyle="1" w:styleId="TitleChar">
    <w:name w:val="Title Char"/>
    <w:basedOn w:val="DefaultParagraphFont"/>
    <w:link w:val="Title"/>
    <w:uiPriority w:val="10"/>
    <w:rsid w:val="009E2F98"/>
    <w:rPr>
      <w:rFonts w:ascii="Times New Roman" w:eastAsiaTheme="majorEastAsia" w:hAnsi="Times New Roman" w:cstheme="majorBidi"/>
      <w:spacing w:val="-10"/>
      <w:kern w:val="28"/>
      <w:sz w:val="32"/>
      <w:szCs w:val="56"/>
      <w:lang w:val="en-GB" w:eastAsia="de-DE"/>
    </w:rPr>
  </w:style>
  <w:style w:type="character" w:customStyle="1" w:styleId="Heading2Char">
    <w:name w:val="Heading 2 Char"/>
    <w:basedOn w:val="DefaultParagraphFont"/>
    <w:link w:val="Heading2"/>
    <w:uiPriority w:val="9"/>
    <w:rsid w:val="0050742A"/>
    <w:rPr>
      <w:rFonts w:ascii="Times New Roman" w:eastAsiaTheme="majorEastAsia" w:hAnsi="Times New Roman" w:cstheme="majorBidi"/>
      <w:color w:val="000000" w:themeColor="text1"/>
      <w:sz w:val="26"/>
      <w:szCs w:val="26"/>
      <w:lang w:eastAsia="de-DE"/>
    </w:rPr>
  </w:style>
  <w:style w:type="paragraph" w:styleId="Index1">
    <w:name w:val="index 1"/>
    <w:basedOn w:val="Normal"/>
    <w:next w:val="Normal"/>
    <w:autoRedefine/>
    <w:uiPriority w:val="99"/>
    <w:unhideWhenUsed/>
    <w:rsid w:val="000F3826"/>
    <w:pPr>
      <w:ind w:left="240" w:hanging="240"/>
      <w:jc w:val="left"/>
    </w:pPr>
    <w:rPr>
      <w:rFonts w:cstheme="minorHAnsi"/>
      <w:szCs w:val="20"/>
    </w:rPr>
  </w:style>
  <w:style w:type="paragraph" w:styleId="TOAHeading">
    <w:name w:val="toa heading"/>
    <w:basedOn w:val="Normal"/>
    <w:next w:val="Normal"/>
    <w:autoRedefine/>
    <w:uiPriority w:val="99"/>
    <w:semiHidden/>
    <w:unhideWhenUsed/>
    <w:rsid w:val="000F3826"/>
    <w:pPr>
      <w:spacing w:before="120"/>
    </w:pPr>
    <w:rPr>
      <w:rFonts w:eastAsiaTheme="majorEastAsia" w:cstheme="majorBidi"/>
      <w:b/>
      <w:bCs/>
    </w:rPr>
  </w:style>
  <w:style w:type="paragraph" w:styleId="Header">
    <w:name w:val="header"/>
    <w:basedOn w:val="Normal"/>
    <w:link w:val="HeaderChar"/>
    <w:uiPriority w:val="99"/>
    <w:unhideWhenUsed/>
    <w:rsid w:val="009F045C"/>
    <w:pPr>
      <w:tabs>
        <w:tab w:val="center" w:pos="4536"/>
        <w:tab w:val="right" w:pos="9072"/>
      </w:tabs>
      <w:spacing w:line="240" w:lineRule="auto"/>
    </w:pPr>
  </w:style>
  <w:style w:type="character" w:customStyle="1" w:styleId="HeaderChar">
    <w:name w:val="Header Char"/>
    <w:basedOn w:val="DefaultParagraphFont"/>
    <w:link w:val="Header"/>
    <w:uiPriority w:val="99"/>
    <w:rsid w:val="009F045C"/>
    <w:rPr>
      <w:rFonts w:ascii="Times New Roman" w:eastAsiaTheme="minorEastAsia" w:hAnsi="Times New Roman" w:cs="Times New Roman"/>
      <w:color w:val="000000" w:themeColor="text1"/>
      <w:lang w:val="en-GB" w:eastAsia="de-DE"/>
    </w:rPr>
  </w:style>
  <w:style w:type="paragraph" w:styleId="Footer">
    <w:name w:val="footer"/>
    <w:basedOn w:val="Normal"/>
    <w:link w:val="FooterChar"/>
    <w:uiPriority w:val="99"/>
    <w:unhideWhenUsed/>
    <w:rsid w:val="009F045C"/>
    <w:pPr>
      <w:tabs>
        <w:tab w:val="center" w:pos="4536"/>
        <w:tab w:val="right" w:pos="9072"/>
      </w:tabs>
      <w:spacing w:line="240" w:lineRule="auto"/>
    </w:pPr>
  </w:style>
  <w:style w:type="character" w:customStyle="1" w:styleId="FooterChar">
    <w:name w:val="Footer Char"/>
    <w:basedOn w:val="DefaultParagraphFont"/>
    <w:link w:val="Footer"/>
    <w:uiPriority w:val="99"/>
    <w:rsid w:val="009F045C"/>
    <w:rPr>
      <w:rFonts w:ascii="Times New Roman" w:eastAsiaTheme="minorEastAsia" w:hAnsi="Times New Roman" w:cs="Times New Roman"/>
      <w:color w:val="000000" w:themeColor="text1"/>
      <w:lang w:val="en-GB" w:eastAsia="de-DE"/>
    </w:rPr>
  </w:style>
  <w:style w:type="character" w:styleId="PageNumber">
    <w:name w:val="page number"/>
    <w:basedOn w:val="DefaultParagraphFont"/>
    <w:uiPriority w:val="99"/>
    <w:semiHidden/>
    <w:unhideWhenUsed/>
    <w:rsid w:val="009F045C"/>
  </w:style>
  <w:style w:type="paragraph" w:styleId="FootnoteText">
    <w:name w:val="footnote text"/>
    <w:aliases w:val=" Char,Fußnotentextf,Fußnotentextr,stile 1,Footnote,Footnote1,Footnote2,Footnote3,Footnote4,Footnote5,Footnote6,Footnote7,Footnote8,Footnote9,Footnote10,Footnote11,Footnote21,Footnote31,Footnote41,Footnote51,Footnote61,Footnote71,ft,Char Ch"/>
    <w:basedOn w:val="Normal"/>
    <w:link w:val="FootnoteTextChar"/>
    <w:uiPriority w:val="99"/>
    <w:unhideWhenUsed/>
    <w:qFormat/>
    <w:rsid w:val="001E34A4"/>
    <w:pPr>
      <w:spacing w:line="240" w:lineRule="auto"/>
    </w:pPr>
    <w:rPr>
      <w:sz w:val="20"/>
      <w:szCs w:val="20"/>
    </w:rPr>
  </w:style>
  <w:style w:type="character" w:customStyle="1" w:styleId="FootnoteTextChar">
    <w:name w:val="Footnote Text Char"/>
    <w:aliases w:val=" Char Char,Fußnotentextf Char,Fußnotentextr Char,stile 1 Char,Footnote Char,Footnote1 Char,Footnote2 Char,Footnote3 Char,Footnote4 Char,Footnote5 Char,Footnote6 Char,Footnote7 Char,Footnote8 Char,Footnote9 Char,Footnote10 Char,ft Char"/>
    <w:basedOn w:val="DefaultParagraphFont"/>
    <w:link w:val="FootnoteText"/>
    <w:uiPriority w:val="99"/>
    <w:qFormat/>
    <w:rsid w:val="001E34A4"/>
    <w:rPr>
      <w:rFonts w:ascii="Times New Roman" w:eastAsiaTheme="minorEastAsia" w:hAnsi="Times New Roman" w:cs="Times New Roman"/>
      <w:color w:val="000000" w:themeColor="text1"/>
      <w:sz w:val="20"/>
      <w:szCs w:val="20"/>
      <w:lang w:val="en-GB" w:eastAsia="de-DE"/>
    </w:rPr>
  </w:style>
  <w:style w:type="character" w:styleId="FootnoteReference">
    <w:name w:val="footnote reference"/>
    <w:basedOn w:val="DefaultParagraphFont"/>
    <w:uiPriority w:val="99"/>
    <w:unhideWhenUsed/>
    <w:rsid w:val="001E34A4"/>
    <w:rPr>
      <w:vertAlign w:val="superscript"/>
    </w:rPr>
  </w:style>
  <w:style w:type="character" w:styleId="Hyperlink">
    <w:name w:val="Hyperlink"/>
    <w:basedOn w:val="DefaultParagraphFont"/>
    <w:uiPriority w:val="99"/>
    <w:unhideWhenUsed/>
    <w:rsid w:val="00746497"/>
    <w:rPr>
      <w:color w:val="0563C1" w:themeColor="hyperlink"/>
      <w:u w:val="single"/>
    </w:rPr>
  </w:style>
  <w:style w:type="character" w:styleId="UnresolvedMention">
    <w:name w:val="Unresolved Mention"/>
    <w:basedOn w:val="DefaultParagraphFont"/>
    <w:uiPriority w:val="99"/>
    <w:semiHidden/>
    <w:unhideWhenUsed/>
    <w:rsid w:val="00746497"/>
    <w:rPr>
      <w:color w:val="605E5C"/>
      <w:shd w:val="clear" w:color="auto" w:fill="E1DFDD"/>
    </w:rPr>
  </w:style>
  <w:style w:type="character" w:styleId="FollowedHyperlink">
    <w:name w:val="FollowedHyperlink"/>
    <w:basedOn w:val="DefaultParagraphFont"/>
    <w:uiPriority w:val="99"/>
    <w:semiHidden/>
    <w:unhideWhenUsed/>
    <w:rsid w:val="00285C64"/>
    <w:rPr>
      <w:color w:val="954F72" w:themeColor="followedHyperlink"/>
      <w:u w:val="single"/>
    </w:rPr>
  </w:style>
  <w:style w:type="table" w:styleId="TableGrid">
    <w:name w:val="Table Grid"/>
    <w:basedOn w:val="TableNormal"/>
    <w:uiPriority w:val="39"/>
    <w:rsid w:val="0049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71587">
      <w:bodyDiv w:val="1"/>
      <w:marLeft w:val="0"/>
      <w:marRight w:val="0"/>
      <w:marTop w:val="0"/>
      <w:marBottom w:val="0"/>
      <w:divBdr>
        <w:top w:val="none" w:sz="0" w:space="0" w:color="auto"/>
        <w:left w:val="none" w:sz="0" w:space="0" w:color="auto"/>
        <w:bottom w:val="none" w:sz="0" w:space="0" w:color="auto"/>
        <w:right w:val="none" w:sz="0" w:space="0" w:color="auto"/>
      </w:divBdr>
    </w:div>
    <w:div w:id="1054738436">
      <w:bodyDiv w:val="1"/>
      <w:marLeft w:val="0"/>
      <w:marRight w:val="0"/>
      <w:marTop w:val="0"/>
      <w:marBottom w:val="0"/>
      <w:divBdr>
        <w:top w:val="none" w:sz="0" w:space="0" w:color="auto"/>
        <w:left w:val="none" w:sz="0" w:space="0" w:color="auto"/>
        <w:bottom w:val="none" w:sz="0" w:space="0" w:color="auto"/>
        <w:right w:val="none" w:sz="0" w:space="0" w:color="auto"/>
      </w:divBdr>
    </w:div>
    <w:div w:id="1127815249">
      <w:bodyDiv w:val="1"/>
      <w:marLeft w:val="0"/>
      <w:marRight w:val="0"/>
      <w:marTop w:val="0"/>
      <w:marBottom w:val="0"/>
      <w:divBdr>
        <w:top w:val="none" w:sz="0" w:space="0" w:color="auto"/>
        <w:left w:val="none" w:sz="0" w:space="0" w:color="auto"/>
        <w:bottom w:val="none" w:sz="0" w:space="0" w:color="auto"/>
        <w:right w:val="none" w:sz="0" w:space="0" w:color="auto"/>
      </w:divBdr>
    </w:div>
    <w:div w:id="12677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38BC4-9DBB-4C04-BB23-B4405A8143FA}"/>
</file>

<file path=customXml/itemProps2.xml><?xml version="1.0" encoding="utf-8"?>
<ds:datastoreItem xmlns:ds="http://schemas.openxmlformats.org/officeDocument/2006/customXml" ds:itemID="{F0085B2B-F28C-42D2-9C39-24D301ABD1D6}"/>
</file>

<file path=customXml/itemProps3.xml><?xml version="1.0" encoding="utf-8"?>
<ds:datastoreItem xmlns:ds="http://schemas.openxmlformats.org/officeDocument/2006/customXml" ds:itemID="{80B7AB96-32F9-4B2B-B377-A563D5F33227}"/>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Grundler</dc:creator>
  <cp:keywords/>
  <dc:description/>
  <cp:lastModifiedBy>Isabela Zaleski Mori (OHCHR-Consultant)</cp:lastModifiedBy>
  <cp:revision>103</cp:revision>
  <dcterms:created xsi:type="dcterms:W3CDTF">2023-02-06T19:18:00Z</dcterms:created>
  <dcterms:modified xsi:type="dcterms:W3CDTF">2023-02-24T11:39:00Z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