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270C5" w14:textId="338205D8" w:rsidR="00A032F8" w:rsidRPr="0067568B" w:rsidRDefault="00A032F8" w:rsidP="00FF1649">
      <w:pPr>
        <w:jc w:val="center"/>
        <w:rPr>
          <w:rFonts w:eastAsia="Times New Roman" w:cs="Times New Roman"/>
          <w:b/>
          <w:bCs/>
          <w:color w:val="1A202C"/>
          <w:szCs w:val="24"/>
          <w:lang w:val="en-GB" w:eastAsia="pl-PL"/>
        </w:rPr>
      </w:pPr>
      <w:r w:rsidRPr="006C7464">
        <w:rPr>
          <w:noProof/>
          <w:lang w:val="en-GB"/>
        </w:rPr>
        <w:drawing>
          <wp:inline distT="0" distB="0" distL="0" distR="0" wp14:anchorId="1E26F95A" wp14:editId="5838A8EB">
            <wp:extent cx="3798562" cy="1479550"/>
            <wp:effectExtent l="0" t="0" r="0" b="0"/>
            <wp:docPr id="1" name="Obraz 1" descr="cid:image003.png@01D828A6.25E95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 3" descr="cid:image003.png@01D828A6.25E953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826438" cy="1490408"/>
                    </a:xfrm>
                    <a:prstGeom prst="rect">
                      <a:avLst/>
                    </a:prstGeom>
                    <a:noFill/>
                    <a:ln>
                      <a:noFill/>
                    </a:ln>
                  </pic:spPr>
                </pic:pic>
              </a:graphicData>
            </a:graphic>
          </wp:inline>
        </w:drawing>
      </w:r>
    </w:p>
    <w:p w14:paraId="086E6246" w14:textId="77777777" w:rsidR="00A032F8" w:rsidRPr="0067568B" w:rsidRDefault="00A032F8" w:rsidP="00FF1649">
      <w:pPr>
        <w:jc w:val="center"/>
        <w:rPr>
          <w:rFonts w:eastAsia="Times New Roman" w:cs="Times New Roman"/>
          <w:b/>
          <w:bCs/>
          <w:color w:val="1A202C"/>
          <w:szCs w:val="24"/>
          <w:lang w:val="en-GB" w:eastAsia="pl-PL"/>
        </w:rPr>
      </w:pPr>
    </w:p>
    <w:p w14:paraId="0466EC56" w14:textId="698754E7" w:rsidR="00FF1649" w:rsidRPr="0067568B" w:rsidRDefault="00FF1649" w:rsidP="00996B15">
      <w:pPr>
        <w:rPr>
          <w:b/>
          <w:bCs/>
          <w:sz w:val="28"/>
          <w:szCs w:val="28"/>
          <w:lang w:val="en-GB"/>
        </w:rPr>
      </w:pPr>
      <w:r w:rsidRPr="0067568B">
        <w:rPr>
          <w:rFonts w:eastAsia="Times New Roman" w:cs="Times New Roman"/>
          <w:b/>
          <w:bCs/>
          <w:sz w:val="28"/>
          <w:szCs w:val="28"/>
          <w:lang w:val="en-GB" w:eastAsia="pl-PL"/>
        </w:rPr>
        <w:t xml:space="preserve">Response of the Commissioner for Human Rights of the Republic of Poland to the call for inputs </w:t>
      </w:r>
      <w:r w:rsidR="00FE5549" w:rsidRPr="0067568B">
        <w:rPr>
          <w:rFonts w:eastAsia="Times New Roman" w:cs="Times New Roman"/>
          <w:b/>
          <w:bCs/>
          <w:sz w:val="28"/>
          <w:szCs w:val="28"/>
          <w:lang w:val="en-GB" w:eastAsia="pl-PL"/>
        </w:rPr>
        <w:t>of</w:t>
      </w:r>
      <w:r w:rsidRPr="0067568B">
        <w:rPr>
          <w:rFonts w:eastAsia="Times New Roman" w:cs="Times New Roman"/>
          <w:b/>
          <w:bCs/>
          <w:sz w:val="28"/>
          <w:szCs w:val="28"/>
          <w:lang w:val="en-GB" w:eastAsia="pl-PL"/>
        </w:rPr>
        <w:t xml:space="preserve"> the </w:t>
      </w:r>
      <w:r w:rsidR="00996B15" w:rsidRPr="0067568B">
        <w:rPr>
          <w:rFonts w:cstheme="minorHAnsi"/>
          <w:b/>
          <w:bCs/>
          <w:sz w:val="28"/>
          <w:szCs w:val="28"/>
          <w:lang w:val="en-GB"/>
        </w:rPr>
        <w:t>UN Special Rapporteur</w:t>
      </w:r>
      <w:r w:rsidR="00996B15" w:rsidRPr="0067568B">
        <w:rPr>
          <w:b/>
          <w:bCs/>
          <w:sz w:val="28"/>
          <w:szCs w:val="28"/>
          <w:lang w:val="en-GB"/>
        </w:rPr>
        <w:t xml:space="preserve"> </w:t>
      </w:r>
      <w:r w:rsidR="00996B15" w:rsidRPr="0067568B">
        <w:rPr>
          <w:rFonts w:cstheme="minorHAnsi"/>
          <w:b/>
          <w:bCs/>
          <w:sz w:val="28"/>
          <w:szCs w:val="28"/>
          <w:lang w:val="en-GB"/>
        </w:rPr>
        <w:t>on the human rights of migrants</w:t>
      </w:r>
      <w:r w:rsidR="00FE5549" w:rsidRPr="0067568B">
        <w:rPr>
          <w:rFonts w:cstheme="minorHAnsi"/>
          <w:b/>
          <w:bCs/>
          <w:sz w:val="28"/>
          <w:szCs w:val="28"/>
          <w:lang w:val="en-GB"/>
        </w:rPr>
        <w:t xml:space="preserve"> for the</w:t>
      </w:r>
      <w:r w:rsidR="00996B15" w:rsidRPr="0067568B">
        <w:rPr>
          <w:rFonts w:cstheme="minorHAnsi"/>
          <w:b/>
          <w:bCs/>
          <w:sz w:val="28"/>
          <w:szCs w:val="28"/>
          <w:lang w:val="en-GB"/>
        </w:rPr>
        <w:t xml:space="preserve"> </w:t>
      </w:r>
      <w:r w:rsidR="00996B15" w:rsidRPr="0067568B">
        <w:rPr>
          <w:b/>
          <w:bCs/>
          <w:sz w:val="28"/>
          <w:szCs w:val="28"/>
          <w:lang w:val="en-GB"/>
        </w:rPr>
        <w:t xml:space="preserve">report </w:t>
      </w:r>
      <w:r w:rsidRPr="0067568B">
        <w:rPr>
          <w:b/>
          <w:bCs/>
          <w:sz w:val="28"/>
          <w:szCs w:val="28"/>
          <w:lang w:val="en-GB"/>
        </w:rPr>
        <w:t>on how to expand and diversify regularization mechanisms and programs to enhance the protection of the human rights of migrants</w:t>
      </w:r>
    </w:p>
    <w:p w14:paraId="7F783EFB" w14:textId="77777777" w:rsidR="00A032F8" w:rsidRPr="0067568B" w:rsidRDefault="00A032F8" w:rsidP="00A032F8">
      <w:pPr>
        <w:rPr>
          <w:rFonts w:cstheme="minorHAnsi"/>
          <w:b/>
          <w:bCs/>
          <w:sz w:val="28"/>
          <w:szCs w:val="28"/>
          <w:lang w:val="en-GB"/>
        </w:rPr>
      </w:pPr>
    </w:p>
    <w:p w14:paraId="74F290B8" w14:textId="77777777" w:rsidR="00996B15" w:rsidRPr="0067568B" w:rsidRDefault="00996B15" w:rsidP="00A032F8">
      <w:pPr>
        <w:spacing w:after="240"/>
        <w:rPr>
          <w:rFonts w:cstheme="minorHAnsi"/>
          <w:b/>
          <w:bCs/>
          <w:szCs w:val="24"/>
          <w:lang w:val="en-GB"/>
        </w:rPr>
      </w:pPr>
    </w:p>
    <w:p w14:paraId="523C3951" w14:textId="36ED6F5B" w:rsidR="00996B15" w:rsidRPr="0067568B" w:rsidRDefault="00996B15" w:rsidP="00A032F8">
      <w:pPr>
        <w:spacing w:after="240"/>
        <w:rPr>
          <w:rFonts w:cstheme="minorHAnsi"/>
          <w:b/>
          <w:bCs/>
          <w:szCs w:val="24"/>
          <w:lang w:val="en-GB"/>
        </w:rPr>
      </w:pPr>
    </w:p>
    <w:p w14:paraId="4DD5BBBE" w14:textId="1B903F05" w:rsidR="00996B15" w:rsidRPr="0067568B" w:rsidRDefault="00996B15" w:rsidP="00A032F8">
      <w:pPr>
        <w:spacing w:after="240"/>
        <w:rPr>
          <w:rFonts w:cstheme="minorHAnsi"/>
          <w:b/>
          <w:bCs/>
          <w:szCs w:val="24"/>
          <w:lang w:val="en-GB"/>
        </w:rPr>
      </w:pPr>
    </w:p>
    <w:p w14:paraId="3883BBF4" w14:textId="77777777" w:rsidR="00996B15" w:rsidRPr="0067568B" w:rsidRDefault="00996B15" w:rsidP="00A032F8">
      <w:pPr>
        <w:spacing w:after="240"/>
        <w:rPr>
          <w:rFonts w:cstheme="minorHAnsi"/>
          <w:b/>
          <w:bCs/>
          <w:szCs w:val="24"/>
          <w:lang w:val="en-GB"/>
        </w:rPr>
      </w:pPr>
    </w:p>
    <w:p w14:paraId="1C1848DB" w14:textId="47D87992" w:rsidR="00A032F8" w:rsidRPr="0067568B" w:rsidRDefault="00A032F8" w:rsidP="00A032F8">
      <w:pPr>
        <w:spacing w:after="240"/>
        <w:rPr>
          <w:rFonts w:cstheme="minorHAnsi"/>
          <w:b/>
          <w:bCs/>
          <w:szCs w:val="24"/>
          <w:lang w:val="en-GB"/>
        </w:rPr>
      </w:pPr>
      <w:r w:rsidRPr="0067568B">
        <w:rPr>
          <w:rFonts w:cstheme="minorHAnsi"/>
          <w:b/>
          <w:bCs/>
          <w:szCs w:val="24"/>
          <w:lang w:val="en-GB"/>
        </w:rPr>
        <w:t xml:space="preserve">Date: </w:t>
      </w:r>
      <w:r w:rsidR="00996B15" w:rsidRPr="0067568B">
        <w:rPr>
          <w:rFonts w:cstheme="minorHAnsi"/>
          <w:b/>
          <w:bCs/>
          <w:szCs w:val="24"/>
          <w:lang w:val="en-GB"/>
        </w:rPr>
        <w:t>1</w:t>
      </w:r>
      <w:r w:rsidR="00D163BE">
        <w:rPr>
          <w:rFonts w:cstheme="minorHAnsi"/>
          <w:b/>
          <w:bCs/>
          <w:szCs w:val="24"/>
          <w:lang w:val="en-GB"/>
        </w:rPr>
        <w:t>4</w:t>
      </w:r>
      <w:r w:rsidRPr="0067568B">
        <w:rPr>
          <w:rFonts w:cstheme="minorHAnsi"/>
          <w:b/>
          <w:bCs/>
          <w:szCs w:val="24"/>
          <w:lang w:val="en-GB"/>
        </w:rPr>
        <w:t xml:space="preserve"> February 202</w:t>
      </w:r>
      <w:r w:rsidR="00996B15" w:rsidRPr="0067568B">
        <w:rPr>
          <w:rFonts w:cstheme="minorHAnsi"/>
          <w:b/>
          <w:bCs/>
          <w:szCs w:val="24"/>
          <w:lang w:val="en-GB"/>
        </w:rPr>
        <w:t>3</w:t>
      </w:r>
    </w:p>
    <w:p w14:paraId="6AAFBF3D" w14:textId="55926580" w:rsidR="00A032F8" w:rsidRPr="0067568B" w:rsidRDefault="00A032F8" w:rsidP="00A032F8">
      <w:pPr>
        <w:spacing w:after="240"/>
        <w:rPr>
          <w:rFonts w:cstheme="minorHAnsi"/>
          <w:b/>
          <w:bCs/>
          <w:szCs w:val="24"/>
          <w:lang w:val="en-GB"/>
        </w:rPr>
      </w:pPr>
      <w:r w:rsidRPr="0067568B">
        <w:rPr>
          <w:rFonts w:cstheme="minorHAnsi"/>
          <w:b/>
          <w:bCs/>
          <w:szCs w:val="24"/>
          <w:lang w:val="en-GB"/>
        </w:rPr>
        <w:t xml:space="preserve">To: </w:t>
      </w:r>
      <w:r w:rsidR="00996B15" w:rsidRPr="0067568B">
        <w:rPr>
          <w:rFonts w:cstheme="minorHAnsi"/>
          <w:b/>
          <w:bCs/>
          <w:szCs w:val="24"/>
          <w:shd w:val="clear" w:color="auto" w:fill="FFFFFF"/>
          <w:lang w:val="en-GB"/>
        </w:rPr>
        <w:t>hrc-sr-migrant@un.org</w:t>
      </w:r>
    </w:p>
    <w:p w14:paraId="4010915F" w14:textId="5E85BDA0" w:rsidR="00A032F8" w:rsidRPr="0067568B" w:rsidRDefault="00A032F8" w:rsidP="00A032F8">
      <w:pPr>
        <w:spacing w:after="240"/>
        <w:rPr>
          <w:rFonts w:cstheme="minorHAnsi"/>
          <w:b/>
          <w:bCs/>
          <w:szCs w:val="24"/>
          <w:lang w:val="en-GB"/>
        </w:rPr>
      </w:pPr>
      <w:r w:rsidRPr="0067568B">
        <w:rPr>
          <w:rFonts w:cstheme="minorHAnsi"/>
          <w:b/>
          <w:bCs/>
          <w:szCs w:val="24"/>
          <w:lang w:val="en-GB"/>
        </w:rPr>
        <w:t xml:space="preserve">Contact: </w:t>
      </w:r>
      <w:hyperlink r:id="rId14" w:history="1">
        <w:r w:rsidR="00996B15" w:rsidRPr="0067568B">
          <w:rPr>
            <w:rStyle w:val="Hyperlink"/>
            <w:rFonts w:cstheme="minorHAnsi"/>
            <w:b/>
            <w:bCs/>
            <w:szCs w:val="24"/>
            <w:lang w:val="en-GB"/>
          </w:rPr>
          <w:t>biurorzecznika@brpo.gov.pl</w:t>
        </w:r>
      </w:hyperlink>
      <w:r w:rsidRPr="0067568B">
        <w:rPr>
          <w:rFonts w:cstheme="minorHAnsi"/>
          <w:b/>
          <w:bCs/>
          <w:szCs w:val="24"/>
          <w:lang w:val="en-GB"/>
        </w:rPr>
        <w:t xml:space="preserve"> </w:t>
      </w:r>
    </w:p>
    <w:p w14:paraId="3B464536" w14:textId="77777777" w:rsidR="00996B15" w:rsidRPr="006C7464" w:rsidRDefault="00996B15" w:rsidP="00A032F8">
      <w:pPr>
        <w:rPr>
          <w:b/>
          <w:lang w:val="en"/>
        </w:rPr>
      </w:pPr>
      <w:bookmarkStart w:id="0" w:name="_Hlk96692176"/>
    </w:p>
    <w:p w14:paraId="56A5C60C" w14:textId="1127B48D" w:rsidR="00A032F8" w:rsidRPr="0067568B" w:rsidRDefault="00A032F8" w:rsidP="00A032F8">
      <w:pPr>
        <w:rPr>
          <w:rFonts w:cstheme="minorHAnsi"/>
          <w:b/>
          <w:bCs/>
          <w:szCs w:val="24"/>
          <w:lang w:val="en-GB"/>
        </w:rPr>
      </w:pPr>
      <w:r w:rsidRPr="006C7464">
        <w:rPr>
          <w:b/>
          <w:lang w:val="en"/>
        </w:rPr>
        <w:t>Information on reporting institution</w:t>
      </w:r>
    </w:p>
    <w:p w14:paraId="30ABA0B6" w14:textId="77777777" w:rsidR="00A032F8" w:rsidRPr="00AA1441" w:rsidRDefault="00A032F8" w:rsidP="006C7464">
      <w:pPr>
        <w:jc w:val="both"/>
        <w:rPr>
          <w:rFonts w:cstheme="minorHAnsi"/>
          <w:szCs w:val="24"/>
          <w:lang w:val="en-GB"/>
        </w:rPr>
      </w:pPr>
      <w:bookmarkStart w:id="1" w:name="_Hlk95403318"/>
      <w:bookmarkStart w:id="2" w:name="_Hlk96075783"/>
      <w:bookmarkEnd w:id="0"/>
      <w:r w:rsidRPr="0067568B">
        <w:rPr>
          <w:rFonts w:cstheme="minorHAnsi"/>
          <w:szCs w:val="24"/>
          <w:lang w:val="en-GB"/>
        </w:rPr>
        <w:t xml:space="preserve">The Commissioner for Human Rights </w:t>
      </w:r>
      <w:bookmarkEnd w:id="1"/>
      <w:r w:rsidRPr="0067568B">
        <w:rPr>
          <w:rFonts w:cstheme="minorHAnsi"/>
          <w:szCs w:val="24"/>
          <w:lang w:val="en-GB"/>
        </w:rPr>
        <w:t xml:space="preserve">(Commissioner) is a constitutional body appointed to protect and supervise the observance of human and civil rights. The Commissioner’s role is performed independently of other public authorities and his powers are set out in the Constitution of the </w:t>
      </w:r>
      <w:r w:rsidRPr="00AA1441">
        <w:rPr>
          <w:rFonts w:cstheme="minorHAnsi"/>
          <w:szCs w:val="24"/>
          <w:lang w:val="en-GB"/>
        </w:rPr>
        <w:t xml:space="preserve">Republic of Poland as well as in </w:t>
      </w:r>
      <w:bookmarkStart w:id="3" w:name="_Hlk95839007"/>
      <w:r w:rsidRPr="00AA1441">
        <w:rPr>
          <w:rFonts w:cstheme="minorHAnsi"/>
          <w:szCs w:val="24"/>
          <w:lang w:val="en-GB"/>
        </w:rPr>
        <w:t>the Act of 15 July 1987 on the Commissioner for Human Rights</w:t>
      </w:r>
      <w:bookmarkEnd w:id="3"/>
      <w:r w:rsidRPr="00AA1441">
        <w:rPr>
          <w:rFonts w:cstheme="minorHAnsi"/>
          <w:szCs w:val="24"/>
          <w:lang w:val="en-GB"/>
        </w:rPr>
        <w:t xml:space="preserve">. The Commissioner is appointed by Sejm (lower chamber of the Parliament) with the approval of Senate (higher chamber of the Parliament) for a 5-year term of office. The Commissioner plays the roles of National Human Rights Institution (NHRI) as well as Ombudsman, the National Mechanism for the Prevention of Torture (NMPT – visiting body for the prevention of torture and other cruel, inhuman or degrading treatment or punishment), independent equality body (as referred to in the EU anti-discrimination directives) and independent body monitoring the implementation of the Convention on the rights of persons with disabilities (CRPD). </w:t>
      </w:r>
      <w:bookmarkStart w:id="4" w:name="_Hlk13125836"/>
    </w:p>
    <w:bookmarkEnd w:id="2"/>
    <w:bookmarkEnd w:id="4"/>
    <w:p w14:paraId="5FE910FF" w14:textId="21FC3A13" w:rsidR="00FF1649" w:rsidRPr="00AA1441" w:rsidRDefault="00996B15" w:rsidP="007E6CDF">
      <w:pPr>
        <w:spacing w:before="240"/>
        <w:jc w:val="both"/>
        <w:rPr>
          <w:lang w:val="en-GB"/>
        </w:rPr>
      </w:pPr>
      <w:r w:rsidRPr="00AA1441">
        <w:rPr>
          <w:lang w:val="en-GB"/>
        </w:rPr>
        <w:br w:type="page"/>
      </w:r>
      <w:r w:rsidR="00FF1649" w:rsidRPr="00AA1441">
        <w:rPr>
          <w:lang w:val="en-GB"/>
        </w:rPr>
        <w:lastRenderedPageBreak/>
        <w:t>As NHRI</w:t>
      </w:r>
      <w:r w:rsidR="007F07FE" w:rsidRPr="00AA1441">
        <w:rPr>
          <w:lang w:val="en-GB"/>
        </w:rPr>
        <w:t>,</w:t>
      </w:r>
      <w:r w:rsidR="00FF1649" w:rsidRPr="00AA1441">
        <w:rPr>
          <w:lang w:val="en-GB"/>
        </w:rPr>
        <w:t xml:space="preserve"> the Commissioner </w:t>
      </w:r>
      <w:r w:rsidR="007E6CDF" w:rsidRPr="00AA1441">
        <w:rPr>
          <w:lang w:val="en-GB"/>
        </w:rPr>
        <w:t>may only comment on some success stories and challenges remaining in Poland related to the regularisation of stays of migrants, from the human rights perspective, as well as</w:t>
      </w:r>
      <w:r w:rsidR="00920ADD" w:rsidRPr="00AA1441">
        <w:rPr>
          <w:lang w:val="en-GB"/>
        </w:rPr>
        <w:t xml:space="preserve"> on</w:t>
      </w:r>
      <w:r w:rsidR="007E6CDF" w:rsidRPr="00AA1441">
        <w:rPr>
          <w:lang w:val="en-GB"/>
        </w:rPr>
        <w:t xml:space="preserve"> the cooperation of the government with civil society in this regard.</w:t>
      </w:r>
      <w:r w:rsidR="002F0031" w:rsidRPr="00AA1441">
        <w:rPr>
          <w:lang w:val="en-GB"/>
        </w:rPr>
        <w:t xml:space="preserve"> The present input is thus divided into two sections, reflecting success</w:t>
      </w:r>
      <w:r w:rsidR="00EA6C1C" w:rsidRPr="00AA1441">
        <w:rPr>
          <w:lang w:val="en-GB"/>
        </w:rPr>
        <w:t xml:space="preserve"> </w:t>
      </w:r>
      <w:r w:rsidR="002F0031" w:rsidRPr="00AA1441">
        <w:rPr>
          <w:lang w:val="en-GB"/>
        </w:rPr>
        <w:t>stories and outstanding challenges.</w:t>
      </w:r>
    </w:p>
    <w:p w14:paraId="78789B72" w14:textId="2C8A1063" w:rsidR="005417D1" w:rsidRPr="00AA1441" w:rsidRDefault="003A4D1C" w:rsidP="007E6CDF">
      <w:pPr>
        <w:pStyle w:val="ListParagraph"/>
        <w:numPr>
          <w:ilvl w:val="0"/>
          <w:numId w:val="1"/>
        </w:numPr>
        <w:spacing w:before="240"/>
        <w:jc w:val="both"/>
        <w:rPr>
          <w:b/>
          <w:bCs/>
          <w:lang w:val="en-GB"/>
        </w:rPr>
      </w:pPr>
      <w:r w:rsidRPr="00AA1441">
        <w:rPr>
          <w:b/>
          <w:bCs/>
          <w:lang w:val="en-GB"/>
        </w:rPr>
        <w:t>A s</w:t>
      </w:r>
      <w:r w:rsidR="007E6CDF" w:rsidRPr="00AA1441">
        <w:rPr>
          <w:b/>
          <w:bCs/>
          <w:lang w:val="en-GB"/>
        </w:rPr>
        <w:t xml:space="preserve">uccess </w:t>
      </w:r>
      <w:r w:rsidRPr="00AA1441">
        <w:rPr>
          <w:b/>
          <w:bCs/>
          <w:lang w:val="en-GB"/>
        </w:rPr>
        <w:t>story</w:t>
      </w:r>
      <w:r w:rsidR="002643B0" w:rsidRPr="00AA1441">
        <w:rPr>
          <w:b/>
          <w:bCs/>
          <w:lang w:val="en-GB"/>
        </w:rPr>
        <w:t>:</w:t>
      </w:r>
      <w:r w:rsidRPr="00AA1441">
        <w:rPr>
          <w:b/>
          <w:bCs/>
          <w:lang w:val="en-GB"/>
        </w:rPr>
        <w:t xml:space="preserve"> response of Poland </w:t>
      </w:r>
      <w:r w:rsidR="006C7464" w:rsidRPr="00AA1441">
        <w:rPr>
          <w:b/>
          <w:bCs/>
          <w:lang w:val="en-GB"/>
        </w:rPr>
        <w:t>to</w:t>
      </w:r>
      <w:r w:rsidRPr="00AA1441">
        <w:rPr>
          <w:b/>
          <w:bCs/>
          <w:lang w:val="en-GB"/>
        </w:rPr>
        <w:t xml:space="preserve"> the mass forced displacement of Ukrainian war refugees</w:t>
      </w:r>
    </w:p>
    <w:p w14:paraId="69E91719" w14:textId="6BA2A531" w:rsidR="005417D1" w:rsidRPr="00AA1441" w:rsidRDefault="00844B8F" w:rsidP="005064EB">
      <w:pPr>
        <w:spacing w:before="240" w:line="276" w:lineRule="auto"/>
        <w:jc w:val="both"/>
        <w:rPr>
          <w:lang w:val="en-GB"/>
        </w:rPr>
      </w:pPr>
      <w:r w:rsidRPr="00AA1441">
        <w:rPr>
          <w:lang w:val="en-GB"/>
        </w:rPr>
        <w:t>Following the full-scale Russian invasion of Ukraine</w:t>
      </w:r>
      <w:r w:rsidR="005B3D62" w:rsidRPr="00AA1441">
        <w:rPr>
          <w:lang w:val="en-GB"/>
        </w:rPr>
        <w:t>,</w:t>
      </w:r>
      <w:r w:rsidRPr="00AA1441">
        <w:rPr>
          <w:lang w:val="en-GB"/>
        </w:rPr>
        <w:t xml:space="preserve"> </w:t>
      </w:r>
      <w:r w:rsidR="00B1606D" w:rsidRPr="00AA1441">
        <w:rPr>
          <w:lang w:val="en-GB"/>
        </w:rPr>
        <w:t xml:space="preserve">Poland, </w:t>
      </w:r>
      <w:r w:rsidR="005B3D62" w:rsidRPr="00AA1441">
        <w:rPr>
          <w:lang w:val="en-GB"/>
        </w:rPr>
        <w:t>after 24 February 2022</w:t>
      </w:r>
      <w:r w:rsidR="00B1606D" w:rsidRPr="00AA1441">
        <w:rPr>
          <w:lang w:val="en-GB"/>
        </w:rPr>
        <w:t xml:space="preserve">, </w:t>
      </w:r>
      <w:r w:rsidRPr="00AA1441">
        <w:rPr>
          <w:lang w:val="en-GB"/>
        </w:rPr>
        <w:t xml:space="preserve">admitted, </w:t>
      </w:r>
      <w:r w:rsidR="00B1606D" w:rsidRPr="00AA1441">
        <w:rPr>
          <w:lang w:val="en-GB"/>
        </w:rPr>
        <w:t xml:space="preserve">virtually </w:t>
      </w:r>
      <w:r w:rsidRPr="00AA1441">
        <w:rPr>
          <w:lang w:val="en-GB"/>
        </w:rPr>
        <w:t>unconditionally, millions of war refugees.</w:t>
      </w:r>
      <w:r w:rsidR="00B25760" w:rsidRPr="00AA1441">
        <w:rPr>
          <w:lang w:val="en-GB"/>
        </w:rPr>
        <w:t xml:space="preserve"> At the peak of the influx, </w:t>
      </w:r>
      <w:r w:rsidR="00B1606D" w:rsidRPr="00AA1441">
        <w:rPr>
          <w:lang w:val="en-GB"/>
        </w:rPr>
        <w:t xml:space="preserve">the Border Guard would admit as many as 140 thousand people a day </w:t>
      </w:r>
      <w:r w:rsidR="00B25760" w:rsidRPr="00AA1441">
        <w:rPr>
          <w:lang w:val="en-GB"/>
        </w:rPr>
        <w:t xml:space="preserve">through regular border </w:t>
      </w:r>
      <w:r w:rsidR="00B1606D" w:rsidRPr="00AA1441">
        <w:rPr>
          <w:lang w:val="en-GB"/>
        </w:rPr>
        <w:t>posts</w:t>
      </w:r>
      <w:r w:rsidR="00B25760" w:rsidRPr="00AA1441">
        <w:rPr>
          <w:lang w:val="en-GB"/>
        </w:rPr>
        <w:t>.</w:t>
      </w:r>
      <w:r w:rsidR="00B25760" w:rsidRPr="00AA1441">
        <w:rPr>
          <w:rStyle w:val="FootnoteReference"/>
          <w:lang w:val="en-GB"/>
        </w:rPr>
        <w:footnoteReference w:id="2"/>
      </w:r>
      <w:r w:rsidR="00B25760" w:rsidRPr="00AA1441">
        <w:rPr>
          <w:lang w:val="en-GB"/>
        </w:rPr>
        <w:t xml:space="preserve"> </w:t>
      </w:r>
      <w:r w:rsidR="00E95283" w:rsidRPr="00AA1441">
        <w:rPr>
          <w:lang w:val="en-GB"/>
        </w:rPr>
        <w:t>Most of the Ukrainians were permitted entry on the mere basis of their biometric passports as Poland and Ukraine operated a visa-free movement for nationals of both countries already prior to the invasion</w:t>
      </w:r>
      <w:r w:rsidR="00B25760" w:rsidRPr="00AA1441">
        <w:rPr>
          <w:lang w:val="en-GB"/>
        </w:rPr>
        <w:t xml:space="preserve">. </w:t>
      </w:r>
      <w:r w:rsidR="009369D0" w:rsidRPr="00AA1441">
        <w:rPr>
          <w:lang w:val="en-GB"/>
        </w:rPr>
        <w:t xml:space="preserve">For third-country nationals (TCNs) </w:t>
      </w:r>
      <w:r w:rsidR="00BA440B" w:rsidRPr="00AA1441">
        <w:rPr>
          <w:lang w:val="en-GB"/>
        </w:rPr>
        <w:t>who</w:t>
      </w:r>
      <w:r w:rsidR="009369D0" w:rsidRPr="00AA1441">
        <w:rPr>
          <w:lang w:val="en-GB"/>
        </w:rPr>
        <w:t xml:space="preserve"> did not hold a valid visa</w:t>
      </w:r>
      <w:r w:rsidR="00BA440B" w:rsidRPr="00AA1441">
        <w:rPr>
          <w:lang w:val="en-GB"/>
        </w:rPr>
        <w:t>,</w:t>
      </w:r>
      <w:r w:rsidR="002F0031" w:rsidRPr="00AA1441">
        <w:rPr>
          <w:lang w:val="en-GB"/>
        </w:rPr>
        <w:t xml:space="preserve"> or Ukrainians who could not present a valid passport</w:t>
      </w:r>
      <w:r w:rsidR="009369D0" w:rsidRPr="00AA1441">
        <w:rPr>
          <w:lang w:val="en-GB"/>
        </w:rPr>
        <w:t xml:space="preserve">, </w:t>
      </w:r>
      <w:r w:rsidR="00BD6771" w:rsidRPr="00AA1441">
        <w:rPr>
          <w:lang w:val="en-GB"/>
        </w:rPr>
        <w:t>commandants</w:t>
      </w:r>
      <w:r w:rsidR="009369D0" w:rsidRPr="00AA1441">
        <w:rPr>
          <w:lang w:val="en-GB"/>
        </w:rPr>
        <w:t xml:space="preserve"> of Border Guard </w:t>
      </w:r>
      <w:r w:rsidR="00BA440B" w:rsidRPr="00AA1441">
        <w:rPr>
          <w:lang w:val="en-GB"/>
        </w:rPr>
        <w:t xml:space="preserve">posts </w:t>
      </w:r>
      <w:r w:rsidR="009369D0" w:rsidRPr="00AA1441">
        <w:rPr>
          <w:lang w:val="en-GB"/>
        </w:rPr>
        <w:t xml:space="preserve">would exercise their competence under Article 32 of the </w:t>
      </w:r>
      <w:r w:rsidR="00C50D17" w:rsidRPr="00AA1441">
        <w:rPr>
          <w:lang w:val="en-GB"/>
        </w:rPr>
        <w:t>law</w:t>
      </w:r>
      <w:r w:rsidR="009369D0" w:rsidRPr="00AA1441">
        <w:rPr>
          <w:lang w:val="en-GB"/>
        </w:rPr>
        <w:t xml:space="preserve"> on </w:t>
      </w:r>
      <w:r w:rsidR="00806D36" w:rsidRPr="00AA1441">
        <w:rPr>
          <w:lang w:val="en-GB"/>
        </w:rPr>
        <w:t>f</w:t>
      </w:r>
      <w:r w:rsidR="009369D0" w:rsidRPr="00AA1441">
        <w:rPr>
          <w:lang w:val="en-GB"/>
        </w:rPr>
        <w:t>oreigners that allows them to</w:t>
      </w:r>
      <w:r w:rsidR="00BD6771" w:rsidRPr="00AA1441">
        <w:rPr>
          <w:lang w:val="en-GB"/>
        </w:rPr>
        <w:t xml:space="preserve"> admit anyone on humanitarian grounds for the period of 15 days. </w:t>
      </w:r>
    </w:p>
    <w:p w14:paraId="1041A552" w14:textId="7B785D3D" w:rsidR="00BD6771" w:rsidRPr="00AA1441" w:rsidRDefault="00BA440B" w:rsidP="55805D5F">
      <w:pPr>
        <w:spacing w:before="240"/>
        <w:jc w:val="both"/>
        <w:rPr>
          <w:lang w:val="en-GB"/>
        </w:rPr>
      </w:pPr>
      <w:r w:rsidRPr="00AA1441">
        <w:rPr>
          <w:lang w:val="en-GB"/>
        </w:rPr>
        <w:t>The</w:t>
      </w:r>
      <w:r w:rsidR="00BD6771" w:rsidRPr="00AA1441">
        <w:rPr>
          <w:lang w:val="en-GB"/>
        </w:rPr>
        <w:t xml:space="preserve"> initial confusion whether admitted Ukrainians should apply for international protection </w:t>
      </w:r>
      <w:r w:rsidR="00F67941" w:rsidRPr="00AA1441">
        <w:rPr>
          <w:lang w:val="en-GB"/>
        </w:rPr>
        <w:t>in order to be able to stay</w:t>
      </w:r>
      <w:r w:rsidR="00920ADD" w:rsidRPr="00AA1441">
        <w:rPr>
          <w:lang w:val="en-GB"/>
        </w:rPr>
        <w:t xml:space="preserve"> in Poland</w:t>
      </w:r>
      <w:r w:rsidR="00F67941" w:rsidRPr="00AA1441">
        <w:rPr>
          <w:lang w:val="en-GB"/>
        </w:rPr>
        <w:t xml:space="preserve"> </w:t>
      </w:r>
      <w:r w:rsidRPr="00AA1441">
        <w:rPr>
          <w:lang w:val="en-GB"/>
        </w:rPr>
        <w:t>was</w:t>
      </w:r>
      <w:r w:rsidR="00F67941" w:rsidRPr="00AA1441">
        <w:rPr>
          <w:lang w:val="en-GB"/>
        </w:rPr>
        <w:t xml:space="preserve"> resolved with triggering of the temporary protection</w:t>
      </w:r>
      <w:r w:rsidR="00B904C6" w:rsidRPr="00AA1441">
        <w:rPr>
          <w:lang w:val="en-GB"/>
        </w:rPr>
        <w:t xml:space="preserve"> (TP)</w:t>
      </w:r>
      <w:r w:rsidR="00F67941" w:rsidRPr="00AA1441">
        <w:rPr>
          <w:lang w:val="en-GB"/>
        </w:rPr>
        <w:t xml:space="preserve"> mechanism by the EU</w:t>
      </w:r>
      <w:r w:rsidR="00B904C6" w:rsidRPr="00AA1441">
        <w:rPr>
          <w:lang w:val="en-GB"/>
        </w:rPr>
        <w:t>,</w:t>
      </w:r>
      <w:r w:rsidR="00B904C6" w:rsidRPr="00AA1441">
        <w:rPr>
          <w:rStyle w:val="FootnoteReference"/>
          <w:lang w:val="en-GB"/>
        </w:rPr>
        <w:footnoteReference w:id="3"/>
      </w:r>
      <w:r w:rsidR="00F67941" w:rsidRPr="00AA1441">
        <w:rPr>
          <w:lang w:val="en-GB"/>
        </w:rPr>
        <w:t xml:space="preserve"> and, secondly, with the adoption by the Polish parliament </w:t>
      </w:r>
      <w:r w:rsidR="008F0656" w:rsidRPr="00AA1441">
        <w:rPr>
          <w:lang w:val="en-GB"/>
        </w:rPr>
        <w:t xml:space="preserve">of </w:t>
      </w:r>
      <w:r w:rsidR="00F67941" w:rsidRPr="00AA1441">
        <w:rPr>
          <w:lang w:val="en-GB"/>
        </w:rPr>
        <w:t xml:space="preserve">the </w:t>
      </w:r>
      <w:r w:rsidRPr="00AA1441">
        <w:rPr>
          <w:i/>
          <w:iCs/>
          <w:lang w:val="en-GB"/>
        </w:rPr>
        <w:t>A</w:t>
      </w:r>
      <w:r w:rsidR="00B904C6" w:rsidRPr="00AA1441">
        <w:rPr>
          <w:i/>
          <w:iCs/>
          <w:lang w:val="en-GB"/>
        </w:rPr>
        <w:t>ct</w:t>
      </w:r>
      <w:r w:rsidR="00F67941" w:rsidRPr="00AA1441">
        <w:rPr>
          <w:i/>
          <w:iCs/>
          <w:lang w:val="en-GB"/>
        </w:rPr>
        <w:t xml:space="preserve"> on </w:t>
      </w:r>
      <w:r w:rsidR="00806D36" w:rsidRPr="00AA1441">
        <w:rPr>
          <w:i/>
          <w:iCs/>
          <w:lang w:val="en-GB"/>
        </w:rPr>
        <w:t>a</w:t>
      </w:r>
      <w:r w:rsidR="00F67941" w:rsidRPr="00AA1441">
        <w:rPr>
          <w:i/>
          <w:iCs/>
          <w:lang w:val="en-GB"/>
        </w:rPr>
        <w:t xml:space="preserve">ssistance to Ukrainian </w:t>
      </w:r>
      <w:r w:rsidR="00806D36" w:rsidRPr="00AA1441">
        <w:rPr>
          <w:i/>
          <w:iCs/>
          <w:lang w:val="en-GB"/>
        </w:rPr>
        <w:t>c</w:t>
      </w:r>
      <w:r w:rsidR="00F67941" w:rsidRPr="00AA1441">
        <w:rPr>
          <w:i/>
          <w:iCs/>
          <w:lang w:val="en-GB"/>
        </w:rPr>
        <w:t>itizens</w:t>
      </w:r>
      <w:r w:rsidR="002F0031" w:rsidRPr="00AA1441">
        <w:rPr>
          <w:lang w:val="en-GB"/>
        </w:rPr>
        <w:t xml:space="preserve"> (the Act)</w:t>
      </w:r>
      <w:r w:rsidR="00B904C6" w:rsidRPr="00AA1441">
        <w:rPr>
          <w:lang w:val="en-GB"/>
        </w:rPr>
        <w:t>.</w:t>
      </w:r>
      <w:r w:rsidR="00B904C6" w:rsidRPr="00AA1441">
        <w:rPr>
          <w:rStyle w:val="FootnoteReference"/>
          <w:lang w:val="en-GB"/>
        </w:rPr>
        <w:footnoteReference w:id="4"/>
      </w:r>
      <w:r w:rsidR="00B904C6" w:rsidRPr="00AA1441">
        <w:rPr>
          <w:lang w:val="en-GB"/>
        </w:rPr>
        <w:t xml:space="preserve"> The idea behind the EU’s </w:t>
      </w:r>
      <w:r w:rsidR="002F0031" w:rsidRPr="00AA1441">
        <w:rPr>
          <w:lang w:val="en-GB"/>
        </w:rPr>
        <w:t>TP</w:t>
      </w:r>
      <w:r w:rsidR="00B904C6" w:rsidRPr="00AA1441">
        <w:rPr>
          <w:lang w:val="en-GB"/>
        </w:rPr>
        <w:t xml:space="preserve"> is to provide immediate and collective </w:t>
      </w:r>
      <w:r w:rsidRPr="00AA1441">
        <w:rPr>
          <w:lang w:val="en-GB"/>
        </w:rPr>
        <w:t xml:space="preserve">protection </w:t>
      </w:r>
      <w:r w:rsidR="00B904C6" w:rsidRPr="00AA1441">
        <w:rPr>
          <w:lang w:val="en-GB"/>
        </w:rPr>
        <w:t xml:space="preserve">(without the need of </w:t>
      </w:r>
      <w:r w:rsidRPr="00AA1441">
        <w:rPr>
          <w:lang w:val="en-GB"/>
        </w:rPr>
        <w:t xml:space="preserve">conducting </w:t>
      </w:r>
      <w:r w:rsidR="00B904C6" w:rsidRPr="00AA1441">
        <w:rPr>
          <w:lang w:val="en-GB"/>
        </w:rPr>
        <w:t>individual status assessments</w:t>
      </w:r>
      <w:r w:rsidR="002F0031" w:rsidRPr="00AA1441">
        <w:rPr>
          <w:lang w:val="en-GB"/>
        </w:rPr>
        <w:t xml:space="preserve"> as per regular asylum procedures</w:t>
      </w:r>
      <w:r w:rsidR="00B904C6" w:rsidRPr="00AA1441">
        <w:rPr>
          <w:lang w:val="en-GB"/>
        </w:rPr>
        <w:t xml:space="preserve">) to the displaced persons. TP provides for lawful stay of the war refugees within the EU for an initial period of one year and </w:t>
      </w:r>
      <w:r w:rsidR="00904006" w:rsidRPr="00AA1441">
        <w:rPr>
          <w:lang w:val="en-GB"/>
        </w:rPr>
        <w:t>grants</w:t>
      </w:r>
      <w:r w:rsidR="00B904C6" w:rsidRPr="00AA1441">
        <w:rPr>
          <w:lang w:val="en-GB"/>
        </w:rPr>
        <w:t xml:space="preserve"> them, </w:t>
      </w:r>
      <w:r w:rsidR="00B904C6" w:rsidRPr="00AA1441">
        <w:rPr>
          <w:i/>
          <w:iCs/>
          <w:lang w:val="en-GB"/>
        </w:rPr>
        <w:t>inter alia</w:t>
      </w:r>
      <w:r w:rsidR="00B904C6" w:rsidRPr="00AA1441">
        <w:rPr>
          <w:lang w:val="en-GB"/>
        </w:rPr>
        <w:t xml:space="preserve">, </w:t>
      </w:r>
      <w:r w:rsidR="00904006" w:rsidRPr="00AA1441">
        <w:rPr>
          <w:lang w:val="en-GB"/>
        </w:rPr>
        <w:t xml:space="preserve">the </w:t>
      </w:r>
      <w:r w:rsidR="00B904C6" w:rsidRPr="00AA1441">
        <w:rPr>
          <w:lang w:val="en-GB"/>
        </w:rPr>
        <w:t>right to work</w:t>
      </w:r>
      <w:r w:rsidR="00904006" w:rsidRPr="00AA1441">
        <w:rPr>
          <w:lang w:val="en-GB"/>
        </w:rPr>
        <w:t xml:space="preserve"> and</w:t>
      </w:r>
      <w:r w:rsidR="008F7AB2" w:rsidRPr="00AA1441">
        <w:rPr>
          <w:lang w:val="en-GB"/>
        </w:rPr>
        <w:t xml:space="preserve"> access to healthcare, housing and education. </w:t>
      </w:r>
      <w:r w:rsidR="00904006" w:rsidRPr="00AA1441">
        <w:rPr>
          <w:lang w:val="en-GB"/>
        </w:rPr>
        <w:t xml:space="preserve">The Polish </w:t>
      </w:r>
      <w:r w:rsidR="00904006" w:rsidRPr="00AA1441">
        <w:rPr>
          <w:i/>
          <w:iCs/>
          <w:lang w:val="en-GB"/>
        </w:rPr>
        <w:t>Act on assistance to Ukrainian citizens</w:t>
      </w:r>
      <w:r w:rsidR="00904006" w:rsidRPr="00AA1441">
        <w:rPr>
          <w:lang w:val="en-GB"/>
        </w:rPr>
        <w:t>, which</w:t>
      </w:r>
      <w:r w:rsidR="00904006" w:rsidRPr="00AA1441">
        <w:rPr>
          <w:i/>
          <w:iCs/>
          <w:lang w:val="en-GB"/>
        </w:rPr>
        <w:t xml:space="preserve"> </w:t>
      </w:r>
      <w:r w:rsidR="008F7AB2" w:rsidRPr="00AA1441">
        <w:rPr>
          <w:lang w:val="en-GB"/>
        </w:rPr>
        <w:t>in many respects</w:t>
      </w:r>
      <w:r w:rsidR="00904006" w:rsidRPr="00AA1441">
        <w:rPr>
          <w:lang w:val="en-GB"/>
        </w:rPr>
        <w:t xml:space="preserve"> constitutes</w:t>
      </w:r>
      <w:r w:rsidR="008F7AB2" w:rsidRPr="00AA1441">
        <w:rPr>
          <w:lang w:val="en-GB"/>
        </w:rPr>
        <w:t xml:space="preserve"> </w:t>
      </w:r>
      <w:r w:rsidR="008F7AB2" w:rsidRPr="00AA1441">
        <w:rPr>
          <w:i/>
          <w:iCs/>
          <w:lang w:val="en-GB"/>
        </w:rPr>
        <w:t>lex specialis</w:t>
      </w:r>
      <w:r w:rsidR="008F7AB2" w:rsidRPr="00AA1441">
        <w:rPr>
          <w:lang w:val="en-GB"/>
        </w:rPr>
        <w:t xml:space="preserve"> </w:t>
      </w:r>
      <w:r w:rsidR="00904006" w:rsidRPr="00AA1441">
        <w:rPr>
          <w:lang w:val="en-GB"/>
        </w:rPr>
        <w:t xml:space="preserve">with respect </w:t>
      </w:r>
      <w:r w:rsidR="008F7AB2" w:rsidRPr="00AA1441">
        <w:rPr>
          <w:lang w:val="en-GB"/>
        </w:rPr>
        <w:t xml:space="preserve">to the TP, </w:t>
      </w:r>
      <w:r w:rsidR="00904006" w:rsidRPr="00AA1441">
        <w:rPr>
          <w:lang w:val="en-GB"/>
        </w:rPr>
        <w:t>grants</w:t>
      </w:r>
      <w:r w:rsidR="008F7AB2" w:rsidRPr="00AA1441">
        <w:rPr>
          <w:lang w:val="en-GB"/>
        </w:rPr>
        <w:t xml:space="preserve"> the Ukrainians on the Polish territory even more favourable rights, e.g. lawful stay for the period of 18 months and </w:t>
      </w:r>
      <w:r w:rsidR="00904006" w:rsidRPr="00AA1441">
        <w:rPr>
          <w:lang w:val="en-GB"/>
        </w:rPr>
        <w:t>broad</w:t>
      </w:r>
      <w:r w:rsidR="008F7AB2" w:rsidRPr="00AA1441">
        <w:rPr>
          <w:lang w:val="en-GB"/>
        </w:rPr>
        <w:t xml:space="preserve"> </w:t>
      </w:r>
      <w:r w:rsidR="00920ADD" w:rsidRPr="00AA1441">
        <w:rPr>
          <w:lang w:val="en-GB"/>
        </w:rPr>
        <w:t>entitlements</w:t>
      </w:r>
      <w:r w:rsidR="008F7AB2" w:rsidRPr="00AA1441">
        <w:rPr>
          <w:lang w:val="en-GB"/>
        </w:rPr>
        <w:t xml:space="preserve"> in virtually all areas of public policy. The Act also provides for the extension of lawful stays for Ukrainians who were lawfully present in Poland </w:t>
      </w:r>
      <w:r w:rsidR="00904006" w:rsidRPr="00AA1441">
        <w:rPr>
          <w:lang w:val="en-GB"/>
        </w:rPr>
        <w:t xml:space="preserve">on 24 February 2022 </w:t>
      </w:r>
      <w:r w:rsidR="008F7AB2" w:rsidRPr="00AA1441">
        <w:rPr>
          <w:lang w:val="en-GB"/>
        </w:rPr>
        <w:t>on an unrelated legal basis.</w:t>
      </w:r>
      <w:r w:rsidR="00DB2A40" w:rsidRPr="00AA1441">
        <w:rPr>
          <w:lang w:val="en-GB"/>
        </w:rPr>
        <w:t xml:space="preserve"> However, because the </w:t>
      </w:r>
      <w:r w:rsidR="00904006" w:rsidRPr="00AA1441">
        <w:rPr>
          <w:lang w:val="en-GB"/>
        </w:rPr>
        <w:t>broad</w:t>
      </w:r>
      <w:r w:rsidR="00DB2A40" w:rsidRPr="00AA1441">
        <w:rPr>
          <w:lang w:val="en-GB"/>
        </w:rPr>
        <w:t xml:space="preserve"> entitlements the Act provides for are applicable to those Ukrainians who entered Poland on 24 February or later, those who </w:t>
      </w:r>
      <w:r w:rsidR="00920ADD" w:rsidRPr="00AA1441">
        <w:rPr>
          <w:lang w:val="en-GB"/>
        </w:rPr>
        <w:t>were</w:t>
      </w:r>
      <w:r w:rsidR="00DB2A40" w:rsidRPr="00AA1441">
        <w:rPr>
          <w:lang w:val="en-GB"/>
        </w:rPr>
        <w:t xml:space="preserve"> present in Poland on the day of the invasion may only claim the right to remain in the country</w:t>
      </w:r>
      <w:r w:rsidR="00920ADD" w:rsidRPr="00AA1441">
        <w:rPr>
          <w:lang w:val="en-GB"/>
        </w:rPr>
        <w:t xml:space="preserve"> on the basis of the Act</w:t>
      </w:r>
      <w:r w:rsidR="00DB2A40" w:rsidRPr="00AA1441">
        <w:rPr>
          <w:lang w:val="en-GB"/>
        </w:rPr>
        <w:t>.</w:t>
      </w:r>
    </w:p>
    <w:p w14:paraId="2AACAFA4" w14:textId="1322B6CF" w:rsidR="008F7AB2" w:rsidRPr="00AA1441" w:rsidRDefault="00C50D17" w:rsidP="007E6CDF">
      <w:pPr>
        <w:spacing w:before="240"/>
        <w:jc w:val="both"/>
        <w:rPr>
          <w:lang w:val="en-GB"/>
        </w:rPr>
      </w:pPr>
      <w:r w:rsidRPr="00AA1441">
        <w:rPr>
          <w:lang w:val="en-GB"/>
        </w:rPr>
        <w:t>Being of generally favourable opinion towards the Act</w:t>
      </w:r>
      <w:r w:rsidR="0054787F" w:rsidRPr="00AA1441">
        <w:rPr>
          <w:lang w:val="en-GB"/>
        </w:rPr>
        <w:t xml:space="preserve">, </w:t>
      </w:r>
      <w:r w:rsidRPr="00AA1441">
        <w:rPr>
          <w:lang w:val="en-GB"/>
        </w:rPr>
        <w:t xml:space="preserve">the Commissioner </w:t>
      </w:r>
      <w:r w:rsidR="006C7464" w:rsidRPr="00AA1441">
        <w:rPr>
          <w:lang w:val="en-GB"/>
        </w:rPr>
        <w:t>pointed out</w:t>
      </w:r>
      <w:r w:rsidR="00C64E87" w:rsidRPr="00AA1441">
        <w:rPr>
          <w:lang w:val="en-GB"/>
        </w:rPr>
        <w:t xml:space="preserve"> the shortcomings of the initial draft and subsequent amendments.</w:t>
      </w:r>
      <w:r w:rsidR="00B90C39" w:rsidRPr="00AA1441">
        <w:rPr>
          <w:rStyle w:val="FootnoteReference"/>
          <w:lang w:val="en-GB"/>
        </w:rPr>
        <w:footnoteReference w:id="5"/>
      </w:r>
      <w:r w:rsidR="00C64E87" w:rsidRPr="00AA1441">
        <w:rPr>
          <w:lang w:val="en-GB"/>
        </w:rPr>
        <w:t xml:space="preserve"> The most profound of th</w:t>
      </w:r>
      <w:r w:rsidR="0054787F" w:rsidRPr="00AA1441">
        <w:rPr>
          <w:lang w:val="en-GB"/>
        </w:rPr>
        <w:t>e</w:t>
      </w:r>
      <w:r w:rsidR="00C64E87" w:rsidRPr="00AA1441">
        <w:rPr>
          <w:lang w:val="en-GB"/>
        </w:rPr>
        <w:t xml:space="preserve"> shortcomings was, in the opinion of the Commissioner, </w:t>
      </w:r>
      <w:r w:rsidR="0054787F" w:rsidRPr="00AA1441">
        <w:rPr>
          <w:lang w:val="en-GB"/>
        </w:rPr>
        <w:t>the</w:t>
      </w:r>
      <w:r w:rsidR="00C64E87" w:rsidRPr="00AA1441">
        <w:rPr>
          <w:lang w:val="en-GB"/>
        </w:rPr>
        <w:t xml:space="preserve"> narrow subjective scope of the Act which applies, in principle, only to Ukrainian citizens and their spouses</w:t>
      </w:r>
      <w:r w:rsidR="00DB2A40" w:rsidRPr="00AA1441">
        <w:rPr>
          <w:lang w:val="en-GB"/>
        </w:rPr>
        <w:t xml:space="preserve"> who entered Poland on, </w:t>
      </w:r>
      <w:r w:rsidR="00DB2A40" w:rsidRPr="00AA1441">
        <w:rPr>
          <w:lang w:val="en-GB"/>
        </w:rPr>
        <w:lastRenderedPageBreak/>
        <w:t>or after, 24 February 2022</w:t>
      </w:r>
      <w:r w:rsidR="00C64E87" w:rsidRPr="00AA1441">
        <w:rPr>
          <w:lang w:val="en-GB"/>
        </w:rPr>
        <w:t xml:space="preserve">. Being substantially narrower than the subjective scope of the TP, </w:t>
      </w:r>
      <w:r w:rsidR="0054787F" w:rsidRPr="00AA1441">
        <w:rPr>
          <w:lang w:val="en-GB"/>
        </w:rPr>
        <w:t>it</w:t>
      </w:r>
      <w:r w:rsidR="00C64E87" w:rsidRPr="00AA1441">
        <w:rPr>
          <w:lang w:val="en-GB"/>
        </w:rPr>
        <w:t xml:space="preserve"> m</w:t>
      </w:r>
      <w:r w:rsidR="0054787F" w:rsidRPr="00AA1441">
        <w:rPr>
          <w:lang w:val="en-GB"/>
        </w:rPr>
        <w:t>ay</w:t>
      </w:r>
      <w:r w:rsidR="00C64E87" w:rsidRPr="00AA1441">
        <w:rPr>
          <w:lang w:val="en-GB"/>
        </w:rPr>
        <w:t xml:space="preserve"> lead to situations whereby members of the same family that fled Ukraine are protected on different bases</w:t>
      </w:r>
      <w:r w:rsidR="00DB2A40" w:rsidRPr="00AA1441">
        <w:rPr>
          <w:lang w:val="en-GB"/>
        </w:rPr>
        <w:t xml:space="preserve"> (e.g. parents protected on the basis of the Act, and their child </w:t>
      </w:r>
      <w:r w:rsidR="0054787F" w:rsidRPr="00AA1441">
        <w:rPr>
          <w:lang w:val="en-GB"/>
        </w:rPr>
        <w:t xml:space="preserve">protected </w:t>
      </w:r>
      <w:r w:rsidR="00DB2A40" w:rsidRPr="00AA1441">
        <w:rPr>
          <w:lang w:val="en-GB"/>
        </w:rPr>
        <w:t>on the basis of the TP)</w:t>
      </w:r>
      <w:r w:rsidR="00C64E87" w:rsidRPr="00AA1441">
        <w:rPr>
          <w:lang w:val="en-GB"/>
        </w:rPr>
        <w:t>.</w:t>
      </w:r>
      <w:r w:rsidR="00C466E3" w:rsidRPr="00AA1441">
        <w:rPr>
          <w:lang w:val="en-GB"/>
        </w:rPr>
        <w:t xml:space="preserve"> Poland did not exercise its right to provide more favourable conditions of stay of all those protected by the EU’s TP and hence those benefitting from the Act </w:t>
      </w:r>
      <w:r w:rsidR="0054787F" w:rsidRPr="00AA1441">
        <w:rPr>
          <w:lang w:val="en-GB"/>
        </w:rPr>
        <w:t>have been</w:t>
      </w:r>
      <w:r w:rsidR="00E04FD4" w:rsidRPr="00AA1441">
        <w:rPr>
          <w:lang w:val="en-GB"/>
        </w:rPr>
        <w:t xml:space="preserve"> provided with substantially more generous entitlements than those protected only by the TP</w:t>
      </w:r>
      <w:r w:rsidR="00C466E3" w:rsidRPr="00AA1441">
        <w:rPr>
          <w:lang w:val="en-GB"/>
        </w:rPr>
        <w:t>.</w:t>
      </w:r>
      <w:r w:rsidR="00D60E67" w:rsidRPr="00AA1441">
        <w:rPr>
          <w:lang w:val="en-GB"/>
        </w:rPr>
        <w:t xml:space="preserve"> Additionally, some TCNs who inhabited Ukraine before the invasion (e</w:t>
      </w:r>
      <w:r w:rsidR="00DB2A40" w:rsidRPr="00AA1441">
        <w:rPr>
          <w:lang w:val="en-GB"/>
        </w:rPr>
        <w:t>.</w:t>
      </w:r>
      <w:r w:rsidR="00D60E67" w:rsidRPr="00AA1441">
        <w:rPr>
          <w:lang w:val="en-GB"/>
        </w:rPr>
        <w:t xml:space="preserve">g. those living in Ukraine on the basis of student visas or </w:t>
      </w:r>
      <w:r w:rsidR="0054787F" w:rsidRPr="00AA1441">
        <w:rPr>
          <w:lang w:val="en-GB"/>
        </w:rPr>
        <w:t xml:space="preserve">temporary stay </w:t>
      </w:r>
      <w:r w:rsidR="00D60E67" w:rsidRPr="00AA1441">
        <w:rPr>
          <w:lang w:val="en-GB"/>
        </w:rPr>
        <w:t xml:space="preserve">permits) were left outside of the scope of both instruments. They were generally permitted to enter Poland and to remain </w:t>
      </w:r>
      <w:r w:rsidR="0054787F" w:rsidRPr="00AA1441">
        <w:rPr>
          <w:lang w:val="en-GB"/>
        </w:rPr>
        <w:t xml:space="preserve">in the country </w:t>
      </w:r>
      <w:r w:rsidR="00D60E67" w:rsidRPr="00AA1441">
        <w:rPr>
          <w:lang w:val="en-GB"/>
        </w:rPr>
        <w:t xml:space="preserve">for the period of 15 days on the basis of the said Article of 32 of the </w:t>
      </w:r>
      <w:r w:rsidR="009B5057" w:rsidRPr="00AA1441">
        <w:rPr>
          <w:lang w:val="en-GB"/>
        </w:rPr>
        <w:t>law</w:t>
      </w:r>
      <w:r w:rsidR="00D60E67" w:rsidRPr="00AA1441">
        <w:rPr>
          <w:lang w:val="en-GB"/>
        </w:rPr>
        <w:t xml:space="preserve"> on </w:t>
      </w:r>
      <w:r w:rsidR="00806D36" w:rsidRPr="00AA1441">
        <w:rPr>
          <w:lang w:val="en-GB"/>
        </w:rPr>
        <w:t>f</w:t>
      </w:r>
      <w:r w:rsidR="00D60E67" w:rsidRPr="00AA1441">
        <w:rPr>
          <w:lang w:val="en-GB"/>
        </w:rPr>
        <w:t xml:space="preserve">oreigners, </w:t>
      </w:r>
      <w:r w:rsidR="0054787F" w:rsidRPr="00AA1441">
        <w:rPr>
          <w:lang w:val="en-GB"/>
        </w:rPr>
        <w:t xml:space="preserve">but they were </w:t>
      </w:r>
      <w:r w:rsidR="00D60E67" w:rsidRPr="00AA1441">
        <w:rPr>
          <w:lang w:val="en-GB"/>
        </w:rPr>
        <w:t>left without any legally mandated assistance. The Commissioner did not, however, receive any information o</w:t>
      </w:r>
      <w:r w:rsidR="00010E82" w:rsidRPr="00AA1441">
        <w:rPr>
          <w:lang w:val="en-GB"/>
        </w:rPr>
        <w:t>f</w:t>
      </w:r>
      <w:r w:rsidR="00D60E67" w:rsidRPr="00AA1441">
        <w:rPr>
          <w:lang w:val="en-GB"/>
        </w:rPr>
        <w:t xml:space="preserve"> any cases of </w:t>
      </w:r>
      <w:r w:rsidR="005064EB" w:rsidRPr="00AA1441">
        <w:rPr>
          <w:i/>
          <w:iCs/>
          <w:lang w:val="en-GB"/>
        </w:rPr>
        <w:t>refoulement</w:t>
      </w:r>
      <w:r w:rsidR="005064EB" w:rsidRPr="00AA1441">
        <w:rPr>
          <w:lang w:val="en-GB"/>
        </w:rPr>
        <w:t xml:space="preserve"> with regard to this category of persons.</w:t>
      </w:r>
    </w:p>
    <w:p w14:paraId="1689F626" w14:textId="6787E86D" w:rsidR="00B90C39" w:rsidRPr="00AA1441" w:rsidRDefault="00B90C39" w:rsidP="007E6CDF">
      <w:pPr>
        <w:spacing w:before="240"/>
        <w:jc w:val="both"/>
        <w:rPr>
          <w:lang w:val="en-GB"/>
        </w:rPr>
      </w:pPr>
      <w:r w:rsidRPr="00AA1441">
        <w:rPr>
          <w:lang w:val="en-GB"/>
        </w:rPr>
        <w:t xml:space="preserve">Moreover, </w:t>
      </w:r>
      <w:r w:rsidR="00B14C9F" w:rsidRPr="00AA1441">
        <w:rPr>
          <w:lang w:val="en-GB"/>
        </w:rPr>
        <w:t>from</w:t>
      </w:r>
      <w:r w:rsidRPr="00AA1441">
        <w:rPr>
          <w:lang w:val="en-GB"/>
        </w:rPr>
        <w:t xml:space="preserve"> the first days of the mass</w:t>
      </w:r>
      <w:r w:rsidR="00B14C9F" w:rsidRPr="00AA1441">
        <w:rPr>
          <w:lang w:val="en-GB"/>
        </w:rPr>
        <w:t xml:space="preserve"> </w:t>
      </w:r>
      <w:r w:rsidRPr="00AA1441">
        <w:rPr>
          <w:lang w:val="en-GB"/>
        </w:rPr>
        <w:t xml:space="preserve">influx of war refugees from Ukraine, the Commissioner received worrying information regarding the situation of </w:t>
      </w:r>
      <w:r w:rsidR="005064EB" w:rsidRPr="00AA1441">
        <w:rPr>
          <w:lang w:val="en-GB"/>
        </w:rPr>
        <w:t>some groups of war refugees from Ukraine, particularly those of Roma ethnicity. There were signs of them facing discrimination and hinderances in access to services, for instance in reception centres.</w:t>
      </w:r>
      <w:r w:rsidR="005064EB" w:rsidRPr="00AA1441">
        <w:rPr>
          <w:rStyle w:val="FootnoteReference"/>
          <w:lang w:val="en-GB"/>
        </w:rPr>
        <w:footnoteReference w:id="6"/>
      </w:r>
      <w:r w:rsidRPr="00AA1441">
        <w:rPr>
          <w:lang w:val="en-GB"/>
        </w:rPr>
        <w:t xml:space="preserve"> </w:t>
      </w:r>
    </w:p>
    <w:p w14:paraId="40857336" w14:textId="35BEF87F" w:rsidR="00252F5A" w:rsidRPr="00AA1441" w:rsidRDefault="00252F5A" w:rsidP="007E6CDF">
      <w:pPr>
        <w:spacing w:before="240"/>
        <w:jc w:val="both"/>
        <w:rPr>
          <w:lang w:val="en-GB"/>
        </w:rPr>
      </w:pPr>
      <w:r w:rsidRPr="00AA1441">
        <w:rPr>
          <w:lang w:val="en-GB"/>
        </w:rPr>
        <w:t xml:space="preserve">There was also </w:t>
      </w:r>
      <w:r w:rsidR="00DB2A40" w:rsidRPr="00AA1441">
        <w:rPr>
          <w:lang w:val="en-GB"/>
        </w:rPr>
        <w:t>some</w:t>
      </w:r>
      <w:r w:rsidRPr="00AA1441">
        <w:rPr>
          <w:lang w:val="en-GB"/>
        </w:rPr>
        <w:t xml:space="preserve"> degree of confusion regarding the regularisation of stays of those </w:t>
      </w:r>
      <w:r w:rsidR="00CB2D3E" w:rsidRPr="00AA1441">
        <w:rPr>
          <w:lang w:val="en-GB"/>
        </w:rPr>
        <w:t>war refugees</w:t>
      </w:r>
      <w:r w:rsidR="00920707" w:rsidRPr="00AA1441">
        <w:rPr>
          <w:lang w:val="en-GB"/>
        </w:rPr>
        <w:t xml:space="preserve"> of Ukrainian nationality (or TCNs married to Ukrainian nationals)</w:t>
      </w:r>
      <w:r w:rsidR="00CB2D3E" w:rsidRPr="00AA1441">
        <w:rPr>
          <w:lang w:val="en-GB"/>
        </w:rPr>
        <w:t xml:space="preserve"> who were admitted on the basis of Article 32 of the </w:t>
      </w:r>
      <w:r w:rsidR="009B5057" w:rsidRPr="00AA1441">
        <w:rPr>
          <w:lang w:val="en-GB"/>
        </w:rPr>
        <w:t xml:space="preserve">law </w:t>
      </w:r>
      <w:r w:rsidR="00B14C9F" w:rsidRPr="00AA1441">
        <w:rPr>
          <w:lang w:val="en-GB"/>
        </w:rPr>
        <w:t>o</w:t>
      </w:r>
      <w:r w:rsidR="00CB2D3E" w:rsidRPr="00AA1441">
        <w:rPr>
          <w:lang w:val="en-GB"/>
        </w:rPr>
        <w:t xml:space="preserve">n </w:t>
      </w:r>
      <w:r w:rsidR="00806D36" w:rsidRPr="00AA1441">
        <w:rPr>
          <w:lang w:val="en-GB"/>
        </w:rPr>
        <w:t>f</w:t>
      </w:r>
      <w:r w:rsidR="00CB2D3E" w:rsidRPr="00AA1441">
        <w:rPr>
          <w:lang w:val="en-GB"/>
        </w:rPr>
        <w:t>oreigners. According to th</w:t>
      </w:r>
      <w:r w:rsidR="00B14C9F" w:rsidRPr="00AA1441">
        <w:rPr>
          <w:lang w:val="en-GB"/>
        </w:rPr>
        <w:t>at</w:t>
      </w:r>
      <w:r w:rsidR="00CB2D3E" w:rsidRPr="00AA1441">
        <w:rPr>
          <w:lang w:val="en-GB"/>
        </w:rPr>
        <w:t xml:space="preserve"> article, the period of lawful stay </w:t>
      </w:r>
      <w:r w:rsidR="00920707" w:rsidRPr="00AA1441">
        <w:rPr>
          <w:lang w:val="en-GB"/>
        </w:rPr>
        <w:t>is set at</w:t>
      </w:r>
      <w:r w:rsidR="00CB2D3E" w:rsidRPr="00AA1441">
        <w:rPr>
          <w:lang w:val="en-GB"/>
        </w:rPr>
        <w:t xml:space="preserve"> 15 days. On 12 March 202</w:t>
      </w:r>
      <w:r w:rsidR="000E3845" w:rsidRPr="00AA1441">
        <w:rPr>
          <w:lang w:val="en-GB"/>
        </w:rPr>
        <w:t>2</w:t>
      </w:r>
      <w:r w:rsidR="00CB2D3E" w:rsidRPr="00AA1441">
        <w:rPr>
          <w:lang w:val="en-GB"/>
        </w:rPr>
        <w:t xml:space="preserve">, the </w:t>
      </w:r>
      <w:r w:rsidR="000E3845" w:rsidRPr="00AA1441">
        <w:rPr>
          <w:lang w:val="en-GB"/>
        </w:rPr>
        <w:t>A</w:t>
      </w:r>
      <w:r w:rsidR="00CB2D3E" w:rsidRPr="00AA1441">
        <w:rPr>
          <w:lang w:val="en-GB"/>
        </w:rPr>
        <w:t>ct took effect retroactive</w:t>
      </w:r>
      <w:r w:rsidR="00B14C9F" w:rsidRPr="00AA1441">
        <w:rPr>
          <w:lang w:val="en-GB"/>
        </w:rPr>
        <w:t xml:space="preserve">ly as </w:t>
      </w:r>
      <w:r w:rsidR="00CB2D3E" w:rsidRPr="00AA1441">
        <w:rPr>
          <w:lang w:val="en-GB"/>
        </w:rPr>
        <w:t xml:space="preserve">from 24 February. </w:t>
      </w:r>
      <w:r w:rsidR="00010E82" w:rsidRPr="00AA1441">
        <w:rPr>
          <w:lang w:val="en-GB"/>
        </w:rPr>
        <w:t>A high level of uncertainty prevailed regarding the status of this category of Ukrainian war refugees before the adoption of the Act which eventually prolonged their lawful stays to 18 months.</w:t>
      </w:r>
    </w:p>
    <w:p w14:paraId="763803F0" w14:textId="67BCD26B" w:rsidR="00920707" w:rsidRPr="00AA1441" w:rsidRDefault="00920707" w:rsidP="007E6CDF">
      <w:pPr>
        <w:spacing w:before="240"/>
        <w:jc w:val="both"/>
        <w:rPr>
          <w:lang w:val="en-GB"/>
        </w:rPr>
      </w:pPr>
      <w:r w:rsidRPr="00AA1441">
        <w:rPr>
          <w:lang w:val="en-GB"/>
        </w:rPr>
        <w:t>More</w:t>
      </w:r>
      <w:r w:rsidR="003A4D1C" w:rsidRPr="00AA1441">
        <w:rPr>
          <w:lang w:val="en-GB"/>
        </w:rPr>
        <w:t xml:space="preserve"> detailed</w:t>
      </w:r>
      <w:r w:rsidRPr="00AA1441">
        <w:rPr>
          <w:lang w:val="en-GB"/>
        </w:rPr>
        <w:t xml:space="preserve"> </w:t>
      </w:r>
      <w:r w:rsidR="000E3845" w:rsidRPr="00AA1441">
        <w:rPr>
          <w:lang w:val="en-GB"/>
        </w:rPr>
        <w:t xml:space="preserve">information </w:t>
      </w:r>
      <w:r w:rsidR="00B14C9F" w:rsidRPr="00AA1441">
        <w:rPr>
          <w:lang w:val="en-GB"/>
        </w:rPr>
        <w:t xml:space="preserve">on </w:t>
      </w:r>
      <w:r w:rsidRPr="00AA1441">
        <w:rPr>
          <w:lang w:val="en-GB"/>
        </w:rPr>
        <w:t>the Commissioner</w:t>
      </w:r>
      <w:r w:rsidR="00B14C9F" w:rsidRPr="00AA1441">
        <w:rPr>
          <w:lang w:val="en-GB"/>
        </w:rPr>
        <w:t>’s</w:t>
      </w:r>
      <w:r w:rsidRPr="00AA1441">
        <w:rPr>
          <w:lang w:val="en-GB"/>
        </w:rPr>
        <w:t xml:space="preserve"> activities with regard to the Ukrainian crisis </w:t>
      </w:r>
      <w:r w:rsidR="00B14C9F" w:rsidRPr="00AA1441">
        <w:rPr>
          <w:lang w:val="en-GB"/>
        </w:rPr>
        <w:t>is</w:t>
      </w:r>
      <w:r w:rsidRPr="00AA1441">
        <w:rPr>
          <w:lang w:val="en-GB"/>
        </w:rPr>
        <w:t xml:space="preserve"> available on the Commissioner’s website.</w:t>
      </w:r>
      <w:r w:rsidRPr="00AA1441">
        <w:rPr>
          <w:rStyle w:val="FootnoteReference"/>
          <w:lang w:val="en-GB"/>
        </w:rPr>
        <w:footnoteReference w:id="7"/>
      </w:r>
      <w:r w:rsidRPr="00AA1441">
        <w:rPr>
          <w:lang w:val="en-GB"/>
        </w:rPr>
        <w:t xml:space="preserve"> Despite some challenges and shortcomings in the response (briefly outlined above), the Commissioner is of the opinion that </w:t>
      </w:r>
      <w:r w:rsidR="00F707F4" w:rsidRPr="00AA1441">
        <w:rPr>
          <w:lang w:val="en-GB"/>
        </w:rPr>
        <w:t>efforts</w:t>
      </w:r>
      <w:r w:rsidRPr="00AA1441">
        <w:rPr>
          <w:lang w:val="en-GB"/>
        </w:rPr>
        <w:t xml:space="preserve"> made by the authorities and the generosity towards the Ukrainian war refugees</w:t>
      </w:r>
      <w:r w:rsidR="00F707F4" w:rsidRPr="00AA1441">
        <w:rPr>
          <w:lang w:val="en-GB"/>
        </w:rPr>
        <w:t xml:space="preserve"> displayed</w:t>
      </w:r>
      <w:r w:rsidRPr="00AA1441">
        <w:rPr>
          <w:lang w:val="en-GB"/>
        </w:rPr>
        <w:t xml:space="preserve"> </w:t>
      </w:r>
      <w:r w:rsidR="00F707F4" w:rsidRPr="00AA1441">
        <w:rPr>
          <w:lang w:val="en-GB"/>
        </w:rPr>
        <w:t>by the Polish society are commendable.</w:t>
      </w:r>
    </w:p>
    <w:p w14:paraId="6252DDAA" w14:textId="5D12C742" w:rsidR="003A4D1C" w:rsidRPr="00AA1441" w:rsidRDefault="003A4D1C" w:rsidP="007E6CDF">
      <w:pPr>
        <w:spacing w:before="240"/>
        <w:jc w:val="both"/>
        <w:rPr>
          <w:b/>
          <w:bCs/>
          <w:lang w:val="en-GB"/>
        </w:rPr>
      </w:pPr>
      <w:r w:rsidRPr="00AA1441">
        <w:rPr>
          <w:b/>
          <w:bCs/>
          <w:lang w:val="en-GB"/>
        </w:rPr>
        <w:t>An outstanding challenge: handling of the irregular influx of migrants through Poland-Belarus border</w:t>
      </w:r>
    </w:p>
    <w:p w14:paraId="436247F8" w14:textId="6A1E8179" w:rsidR="00A66FF6" w:rsidRPr="00AA1441" w:rsidRDefault="00F63BBF" w:rsidP="007E6CDF">
      <w:pPr>
        <w:spacing w:before="240"/>
        <w:jc w:val="both"/>
        <w:rPr>
          <w:lang w:val="en-GB"/>
        </w:rPr>
      </w:pPr>
      <w:r w:rsidRPr="00AA1441">
        <w:rPr>
          <w:lang w:val="en-GB"/>
        </w:rPr>
        <w:t>Since August 2021, Poland has been experiencing a humanitarian crisis along its border with Belarus. This crisis was, by all accounts, orchestrated by the Belarusian regime who would instrumentalise migrants from different parts of the world (predominantly the MENA region and Sub-Saharan Africa)</w:t>
      </w:r>
      <w:r w:rsidR="00A66FF6" w:rsidRPr="00AA1441">
        <w:rPr>
          <w:lang w:val="en-GB"/>
        </w:rPr>
        <w:t xml:space="preserve"> to cross the border irregularly, often through a very difficult terrain. Notwithstanding the Belarusian responsibility </w:t>
      </w:r>
      <w:r w:rsidR="00A66FF6" w:rsidRPr="00AA1441">
        <w:rPr>
          <w:rFonts w:cs="Times New Roman"/>
          <w:szCs w:val="24"/>
          <w:lang w:val="en-GB"/>
        </w:rPr>
        <w:t>for the crisis, the Commissioner is of the opinion that Polish handling thereof has been largely unlawful.</w:t>
      </w:r>
      <w:r w:rsidR="00813C44" w:rsidRPr="00AA1441">
        <w:rPr>
          <w:rFonts w:cs="Times New Roman"/>
          <w:szCs w:val="24"/>
          <w:lang w:val="en-GB"/>
        </w:rPr>
        <w:t xml:space="preserve"> The Commissioner has already </w:t>
      </w:r>
      <w:r w:rsidR="00813C44" w:rsidRPr="00AA1441">
        <w:rPr>
          <w:rFonts w:cs="Times New Roman"/>
          <w:szCs w:val="24"/>
          <w:lang w:val="en-GB"/>
        </w:rPr>
        <w:lastRenderedPageBreak/>
        <w:t xml:space="preserve">expressed such an opinion in the submission of 28 February 2022 to the </w:t>
      </w:r>
      <w:r w:rsidR="00813C44" w:rsidRPr="00AA1441">
        <w:rPr>
          <w:i/>
          <w:lang w:val="en-GB"/>
        </w:rPr>
        <w:t>Report on human rights violations at international borders: trends, prevention and accountability</w:t>
      </w:r>
      <w:r w:rsidR="00813C44" w:rsidRPr="00AA1441">
        <w:rPr>
          <w:rFonts w:cs="Times New Roman"/>
          <w:szCs w:val="24"/>
          <w:lang w:val="en-GB"/>
        </w:rPr>
        <w:t>.</w:t>
      </w:r>
      <w:r w:rsidR="00ED64EA" w:rsidRPr="00AA1441">
        <w:rPr>
          <w:rStyle w:val="FootnoteReference"/>
          <w:rFonts w:cs="Times New Roman"/>
          <w:szCs w:val="24"/>
          <w:lang w:val="en-GB"/>
        </w:rPr>
        <w:footnoteReference w:id="8"/>
      </w:r>
    </w:p>
    <w:p w14:paraId="3473103C" w14:textId="2AD00CA1" w:rsidR="00F63BBF" w:rsidRPr="00AA1441" w:rsidRDefault="00A66FF6" w:rsidP="007E6CDF">
      <w:pPr>
        <w:spacing w:before="240"/>
        <w:jc w:val="both"/>
        <w:rPr>
          <w:lang w:val="en-GB"/>
        </w:rPr>
      </w:pPr>
      <w:r w:rsidRPr="00AA1441">
        <w:rPr>
          <w:lang w:val="en-GB"/>
        </w:rPr>
        <w:t>The cor</w:t>
      </w:r>
      <w:r w:rsidR="00834E62" w:rsidRPr="00AA1441">
        <w:rPr>
          <w:lang w:val="en-GB"/>
        </w:rPr>
        <w:t>rect procedure for the regularisation of</w:t>
      </w:r>
      <w:r w:rsidR="00B6134E" w:rsidRPr="00AA1441">
        <w:rPr>
          <w:lang w:val="en-GB"/>
        </w:rPr>
        <w:t xml:space="preserve"> irregular</w:t>
      </w:r>
      <w:r w:rsidR="00834E62" w:rsidRPr="00AA1441">
        <w:rPr>
          <w:lang w:val="en-GB"/>
        </w:rPr>
        <w:t xml:space="preserve"> migrants’ status would be the following. A foreigner who crosses </w:t>
      </w:r>
      <w:r w:rsidR="008116A5" w:rsidRPr="00AA1441">
        <w:rPr>
          <w:lang w:val="en-GB"/>
        </w:rPr>
        <w:t xml:space="preserve">the border </w:t>
      </w:r>
      <w:r w:rsidR="00834E62" w:rsidRPr="00AA1441">
        <w:rPr>
          <w:lang w:val="en-GB"/>
        </w:rPr>
        <w:t xml:space="preserve">irregularly </w:t>
      </w:r>
      <w:r w:rsidR="000A1EF0" w:rsidRPr="00AA1441">
        <w:rPr>
          <w:lang w:val="en-GB"/>
        </w:rPr>
        <w:t xml:space="preserve">in principle commits a minor offense (Article 49a of the Polish </w:t>
      </w:r>
      <w:r w:rsidR="008116A5" w:rsidRPr="00AA1441">
        <w:rPr>
          <w:i/>
          <w:iCs/>
          <w:lang w:val="en-GB"/>
        </w:rPr>
        <w:t>C</w:t>
      </w:r>
      <w:r w:rsidR="000A1EF0" w:rsidRPr="00AA1441">
        <w:rPr>
          <w:i/>
          <w:iCs/>
          <w:lang w:val="en-GB"/>
        </w:rPr>
        <w:t>ode</w:t>
      </w:r>
      <w:r w:rsidR="000A1EF0" w:rsidRPr="00AA1441">
        <w:rPr>
          <w:i/>
          <w:lang w:val="en-GB"/>
        </w:rPr>
        <w:t xml:space="preserve"> of minor offenses</w:t>
      </w:r>
      <w:r w:rsidR="000A1EF0" w:rsidRPr="00AA1441">
        <w:rPr>
          <w:lang w:val="en-GB"/>
        </w:rPr>
        <w:t>). However, according to Article 31</w:t>
      </w:r>
      <w:r w:rsidR="00B6134E" w:rsidRPr="00AA1441">
        <w:rPr>
          <w:lang w:val="en-GB"/>
        </w:rPr>
        <w:t xml:space="preserve"> section 1</w:t>
      </w:r>
      <w:r w:rsidR="000A1EF0" w:rsidRPr="00AA1441">
        <w:rPr>
          <w:lang w:val="en-GB"/>
        </w:rPr>
        <w:t xml:space="preserve"> of the 1951 Convention Relating to the Status of Refugees, upon ascertaining that th</w:t>
      </w:r>
      <w:r w:rsidR="008116A5" w:rsidRPr="00AA1441">
        <w:rPr>
          <w:lang w:val="en-GB"/>
        </w:rPr>
        <w:t>e</w:t>
      </w:r>
      <w:r w:rsidR="000A1EF0" w:rsidRPr="00AA1441">
        <w:rPr>
          <w:lang w:val="en-GB"/>
        </w:rPr>
        <w:t xml:space="preserve"> person </w:t>
      </w:r>
      <w:r w:rsidR="00C50D17" w:rsidRPr="00AA1441">
        <w:rPr>
          <w:lang w:val="en-GB"/>
        </w:rPr>
        <w:t>is</w:t>
      </w:r>
      <w:r w:rsidR="000A1EF0" w:rsidRPr="00AA1441">
        <w:rPr>
          <w:lang w:val="en-GB"/>
        </w:rPr>
        <w:t xml:space="preserve"> a refugee, penalisation becomes impermissible. </w:t>
      </w:r>
      <w:r w:rsidR="00B6134E" w:rsidRPr="00AA1441">
        <w:rPr>
          <w:lang w:val="en-GB"/>
        </w:rPr>
        <w:t>The person encountered upon crossing irregularly</w:t>
      </w:r>
      <w:r w:rsidR="000A1EF0" w:rsidRPr="00AA1441">
        <w:rPr>
          <w:lang w:val="en-GB"/>
        </w:rPr>
        <w:t xml:space="preserve"> ought to be apprehended, and the procedure </w:t>
      </w:r>
      <w:r w:rsidR="002F6B73" w:rsidRPr="00AA1441">
        <w:rPr>
          <w:lang w:val="en-GB"/>
        </w:rPr>
        <w:t>for</w:t>
      </w:r>
      <w:r w:rsidR="000A1EF0" w:rsidRPr="00AA1441">
        <w:rPr>
          <w:lang w:val="en-GB"/>
        </w:rPr>
        <w:t xml:space="preserve"> obliging a foreigner </w:t>
      </w:r>
      <w:r w:rsidR="00C50D17" w:rsidRPr="00AA1441">
        <w:rPr>
          <w:lang w:val="en-GB"/>
        </w:rPr>
        <w:t xml:space="preserve">to </w:t>
      </w:r>
      <w:r w:rsidR="000A1EF0" w:rsidRPr="00AA1441">
        <w:rPr>
          <w:lang w:val="en-GB"/>
        </w:rPr>
        <w:t>return</w:t>
      </w:r>
      <w:r w:rsidR="00C50D17" w:rsidRPr="00AA1441">
        <w:rPr>
          <w:lang w:val="en-GB"/>
        </w:rPr>
        <w:t xml:space="preserve"> </w:t>
      </w:r>
      <w:r w:rsidR="00B6134E" w:rsidRPr="00AA1441">
        <w:rPr>
          <w:lang w:val="en-GB"/>
        </w:rPr>
        <w:t>should</w:t>
      </w:r>
      <w:r w:rsidR="000A1EF0" w:rsidRPr="00AA1441">
        <w:rPr>
          <w:lang w:val="en-GB"/>
        </w:rPr>
        <w:t xml:space="preserve"> be initiated, unless an asylum application </w:t>
      </w:r>
      <w:r w:rsidR="009B5057" w:rsidRPr="00AA1441">
        <w:rPr>
          <w:lang w:val="en-GB"/>
        </w:rPr>
        <w:t>has been</w:t>
      </w:r>
      <w:r w:rsidR="000A1EF0" w:rsidRPr="00AA1441">
        <w:rPr>
          <w:lang w:val="en-GB"/>
        </w:rPr>
        <w:t xml:space="preserve"> lodged (Article 303 section 4 of the </w:t>
      </w:r>
      <w:r w:rsidR="00806D36" w:rsidRPr="00AA1441">
        <w:rPr>
          <w:lang w:val="en-GB"/>
        </w:rPr>
        <w:t>l</w:t>
      </w:r>
      <w:r w:rsidR="000A1EF0" w:rsidRPr="00AA1441">
        <w:rPr>
          <w:lang w:val="en-GB"/>
        </w:rPr>
        <w:t xml:space="preserve">aw on </w:t>
      </w:r>
      <w:r w:rsidR="00806D36" w:rsidRPr="00AA1441">
        <w:rPr>
          <w:lang w:val="en-GB"/>
        </w:rPr>
        <w:t>f</w:t>
      </w:r>
      <w:r w:rsidR="00B6134E" w:rsidRPr="00AA1441">
        <w:rPr>
          <w:lang w:val="en-GB"/>
        </w:rPr>
        <w:t>oreigners</w:t>
      </w:r>
      <w:r w:rsidR="000A1EF0" w:rsidRPr="00AA1441">
        <w:rPr>
          <w:lang w:val="en-GB"/>
        </w:rPr>
        <w:t>).</w:t>
      </w:r>
      <w:r w:rsidR="00CF7ECD" w:rsidRPr="00AA1441">
        <w:rPr>
          <w:lang w:val="en-GB"/>
        </w:rPr>
        <w:t xml:space="preserve"> Moreover, lodging an asylum application after the initiation of the return procedure </w:t>
      </w:r>
      <w:r w:rsidR="00B6134E" w:rsidRPr="00AA1441">
        <w:rPr>
          <w:lang w:val="en-GB"/>
        </w:rPr>
        <w:t>always entails</w:t>
      </w:r>
      <w:r w:rsidR="00CF7ECD" w:rsidRPr="00AA1441">
        <w:rPr>
          <w:lang w:val="en-GB"/>
        </w:rPr>
        <w:t xml:space="preserve"> </w:t>
      </w:r>
      <w:r w:rsidR="002F6B73" w:rsidRPr="00AA1441">
        <w:rPr>
          <w:lang w:val="en-GB"/>
        </w:rPr>
        <w:t>a</w:t>
      </w:r>
      <w:r w:rsidR="00CF7ECD" w:rsidRPr="00AA1441">
        <w:rPr>
          <w:lang w:val="en-GB"/>
        </w:rPr>
        <w:t xml:space="preserve"> suspension thereof (Article 305 section 1 of the </w:t>
      </w:r>
      <w:r w:rsidR="00806D36" w:rsidRPr="00AA1441">
        <w:rPr>
          <w:lang w:val="en-GB"/>
        </w:rPr>
        <w:t>l</w:t>
      </w:r>
      <w:r w:rsidR="00CF7ECD" w:rsidRPr="00AA1441">
        <w:rPr>
          <w:lang w:val="en-GB"/>
        </w:rPr>
        <w:t xml:space="preserve">aw on </w:t>
      </w:r>
      <w:r w:rsidR="00806D36" w:rsidRPr="00AA1441">
        <w:rPr>
          <w:lang w:val="en-GB"/>
        </w:rPr>
        <w:t>f</w:t>
      </w:r>
      <w:r w:rsidR="00B6134E" w:rsidRPr="00AA1441">
        <w:rPr>
          <w:lang w:val="en-GB"/>
        </w:rPr>
        <w:t>oreigners</w:t>
      </w:r>
      <w:r w:rsidR="00CF7ECD" w:rsidRPr="00AA1441">
        <w:rPr>
          <w:lang w:val="en-GB"/>
        </w:rPr>
        <w:t xml:space="preserve">). Before the execution of the return decision, the Border Guard must also determine whether permits for humanitarian stay or for tolerated stay are warranted (Articles 348 and 351 of the </w:t>
      </w:r>
      <w:r w:rsidR="00806D36" w:rsidRPr="00AA1441">
        <w:rPr>
          <w:lang w:val="en-GB"/>
        </w:rPr>
        <w:t>l</w:t>
      </w:r>
      <w:r w:rsidR="00B6134E" w:rsidRPr="00AA1441">
        <w:rPr>
          <w:lang w:val="en-GB"/>
        </w:rPr>
        <w:t xml:space="preserve">aw on </w:t>
      </w:r>
      <w:r w:rsidR="00806D36" w:rsidRPr="00AA1441">
        <w:rPr>
          <w:lang w:val="en-GB"/>
        </w:rPr>
        <w:t>f</w:t>
      </w:r>
      <w:r w:rsidR="00B6134E" w:rsidRPr="00AA1441">
        <w:rPr>
          <w:lang w:val="en-GB"/>
        </w:rPr>
        <w:t>oreigners</w:t>
      </w:r>
      <w:r w:rsidR="00CF7ECD" w:rsidRPr="00AA1441">
        <w:rPr>
          <w:lang w:val="en-GB"/>
        </w:rPr>
        <w:t>, respectively).</w:t>
      </w:r>
      <w:r w:rsidR="00CF7ECD" w:rsidRPr="00AA1441">
        <w:rPr>
          <w:rStyle w:val="FootnoteReference"/>
          <w:lang w:val="en-GB"/>
        </w:rPr>
        <w:footnoteReference w:id="9"/>
      </w:r>
      <w:r w:rsidR="00CF7ECD" w:rsidRPr="00AA1441">
        <w:rPr>
          <w:lang w:val="en-GB"/>
        </w:rPr>
        <w:t xml:space="preserve"> The rationale of these safeguards embedded in the Polish law is to rule out the possibility of </w:t>
      </w:r>
      <w:r w:rsidR="00CF7ECD" w:rsidRPr="00AA1441">
        <w:rPr>
          <w:i/>
          <w:iCs/>
          <w:lang w:val="en-GB"/>
        </w:rPr>
        <w:t xml:space="preserve">refoulement </w:t>
      </w:r>
      <w:r w:rsidR="00CF7ECD" w:rsidRPr="00AA1441">
        <w:rPr>
          <w:lang w:val="en-GB"/>
        </w:rPr>
        <w:t>whenever</w:t>
      </w:r>
      <w:r w:rsidR="006B0335" w:rsidRPr="00AA1441">
        <w:rPr>
          <w:lang w:val="en-GB"/>
        </w:rPr>
        <w:t xml:space="preserve"> the</w:t>
      </w:r>
      <w:r w:rsidR="00CF7ECD" w:rsidRPr="00AA1441">
        <w:rPr>
          <w:lang w:val="en-GB"/>
        </w:rPr>
        <w:t xml:space="preserve"> premises for a refugee status or subsidiary protection are, for whatever reason, not met. T</w:t>
      </w:r>
      <w:r w:rsidR="006B0335" w:rsidRPr="00AA1441">
        <w:rPr>
          <w:lang w:val="en-GB"/>
        </w:rPr>
        <w:t>hese safeguards</w:t>
      </w:r>
      <w:r w:rsidR="00CF7ECD" w:rsidRPr="00AA1441">
        <w:rPr>
          <w:lang w:val="en-GB"/>
        </w:rPr>
        <w:t xml:space="preserve"> were, however, utterly circumvented in the period following August 2021.</w:t>
      </w:r>
    </w:p>
    <w:p w14:paraId="6EF28D4C" w14:textId="5AAFC122" w:rsidR="00CF7ECD" w:rsidRPr="00AA1441" w:rsidRDefault="00CF7ECD" w:rsidP="7332A93E">
      <w:pPr>
        <w:spacing w:before="240"/>
        <w:jc w:val="both"/>
        <w:rPr>
          <w:lang w:val="en-GB"/>
        </w:rPr>
      </w:pPr>
      <w:r w:rsidRPr="00AA1441">
        <w:rPr>
          <w:lang w:val="en-GB"/>
        </w:rPr>
        <w:t xml:space="preserve">The first reaction </w:t>
      </w:r>
      <w:r w:rsidR="009B5057" w:rsidRPr="00AA1441">
        <w:rPr>
          <w:lang w:val="en-GB"/>
        </w:rPr>
        <w:t xml:space="preserve">by the authorities </w:t>
      </w:r>
      <w:r w:rsidRPr="00AA1441">
        <w:rPr>
          <w:lang w:val="en-GB"/>
        </w:rPr>
        <w:t>to the ensuing crisis</w:t>
      </w:r>
      <w:r w:rsidR="00AC25EB" w:rsidRPr="00AA1441">
        <w:rPr>
          <w:lang w:val="en-GB"/>
        </w:rPr>
        <w:t xml:space="preserve"> </w:t>
      </w:r>
      <w:r w:rsidRPr="00AA1441">
        <w:rPr>
          <w:lang w:val="en-GB"/>
        </w:rPr>
        <w:t xml:space="preserve">was to </w:t>
      </w:r>
      <w:r w:rsidR="00AC25EB" w:rsidRPr="00AA1441">
        <w:rPr>
          <w:lang w:val="en-GB"/>
        </w:rPr>
        <w:t>prevent anyone from crossing the border</w:t>
      </w:r>
      <w:r w:rsidR="009B5057" w:rsidRPr="00AA1441">
        <w:rPr>
          <w:lang w:val="en-GB"/>
        </w:rPr>
        <w:t xml:space="preserve"> in an irregular manner </w:t>
      </w:r>
      <w:r w:rsidR="00AC25EB" w:rsidRPr="00AA1441">
        <w:rPr>
          <w:lang w:val="en-GB"/>
        </w:rPr>
        <w:t xml:space="preserve">and immediately expel anyone who was apprehended on the Polish side. These </w:t>
      </w:r>
      <w:r w:rsidR="00806D36" w:rsidRPr="00AA1441">
        <w:rPr>
          <w:lang w:val="en-GB"/>
        </w:rPr>
        <w:t xml:space="preserve">initial </w:t>
      </w:r>
      <w:r w:rsidR="00AC25EB" w:rsidRPr="00AA1441">
        <w:rPr>
          <w:lang w:val="en-GB"/>
        </w:rPr>
        <w:t xml:space="preserve">pushbacks were executed without any basis in the applicable law. Later on, such a conduct was </w:t>
      </w:r>
      <w:r w:rsidR="00806D36" w:rsidRPr="00AA1441">
        <w:rPr>
          <w:lang w:val="en-GB"/>
        </w:rPr>
        <w:t>regularised</w:t>
      </w:r>
      <w:r w:rsidR="00AC25EB" w:rsidRPr="00AA1441">
        <w:rPr>
          <w:lang w:val="en-GB"/>
        </w:rPr>
        <w:t xml:space="preserve"> by two legislations that, according to the Commissioner, are grossly incompatible with the Polish constitution and Poland’s international obligations.</w:t>
      </w:r>
      <w:r w:rsidR="00AC25EB" w:rsidRPr="00AA1441">
        <w:rPr>
          <w:rStyle w:val="FootnoteReference"/>
          <w:lang w:val="en-GB"/>
        </w:rPr>
        <w:footnoteReference w:id="10"/>
      </w:r>
      <w:r w:rsidR="006B0335" w:rsidRPr="00AA1441">
        <w:rPr>
          <w:lang w:val="en-GB"/>
        </w:rPr>
        <w:t xml:space="preserve"> These legislations</w:t>
      </w:r>
      <w:r w:rsidR="00B1606D" w:rsidRPr="00AA1441">
        <w:rPr>
          <w:lang w:val="en-GB"/>
        </w:rPr>
        <w:t xml:space="preserve"> - </w:t>
      </w:r>
      <w:r w:rsidR="006B0335" w:rsidRPr="00AA1441">
        <w:rPr>
          <w:lang w:val="en-GB"/>
        </w:rPr>
        <w:t xml:space="preserve">the executive ordinance of the Minister of </w:t>
      </w:r>
      <w:r w:rsidR="00AC72B4" w:rsidRPr="00AA1441">
        <w:rPr>
          <w:lang w:val="en-GB"/>
        </w:rPr>
        <w:t>Interior</w:t>
      </w:r>
      <w:r w:rsidR="006B0335" w:rsidRPr="00AA1441">
        <w:rPr>
          <w:lang w:val="en-GB"/>
        </w:rPr>
        <w:t xml:space="preserve"> and Administration of 20 August 2021</w:t>
      </w:r>
      <w:r w:rsidR="00220169" w:rsidRPr="00AA1441">
        <w:rPr>
          <w:rStyle w:val="FootnoteReference"/>
          <w:lang w:val="en-GB"/>
        </w:rPr>
        <w:footnoteReference w:id="11"/>
      </w:r>
      <w:r w:rsidR="006B0335" w:rsidRPr="00AA1441">
        <w:rPr>
          <w:lang w:val="en-GB"/>
        </w:rPr>
        <w:t xml:space="preserve"> and the</w:t>
      </w:r>
      <w:r w:rsidR="009B5057" w:rsidRPr="00AA1441">
        <w:rPr>
          <w:lang w:val="en-GB"/>
        </w:rPr>
        <w:t xml:space="preserve"> </w:t>
      </w:r>
      <w:r w:rsidR="00D45E0E" w:rsidRPr="00AA1441">
        <w:rPr>
          <w:lang w:val="en-GB"/>
        </w:rPr>
        <w:t xml:space="preserve">amendment to </w:t>
      </w:r>
      <w:r w:rsidR="009B5057" w:rsidRPr="00AA1441">
        <w:rPr>
          <w:lang w:val="en-GB"/>
        </w:rPr>
        <w:t xml:space="preserve">the </w:t>
      </w:r>
      <w:r w:rsidR="00D45E0E" w:rsidRPr="00AA1441">
        <w:rPr>
          <w:lang w:val="en-GB"/>
        </w:rPr>
        <w:t>Act on Foreigners</w:t>
      </w:r>
      <w:r w:rsidR="006B0335" w:rsidRPr="00AA1441">
        <w:rPr>
          <w:lang w:val="en-GB"/>
        </w:rPr>
        <w:t xml:space="preserve"> of 14 October 2021</w:t>
      </w:r>
      <w:r w:rsidR="009B5057" w:rsidRPr="00AA1441">
        <w:rPr>
          <w:lang w:val="en-GB"/>
        </w:rPr>
        <w:t xml:space="preserve"> - </w:t>
      </w:r>
      <w:r w:rsidR="006B0335" w:rsidRPr="00AA1441">
        <w:rPr>
          <w:lang w:val="en-GB"/>
        </w:rPr>
        <w:t xml:space="preserve">generally </w:t>
      </w:r>
      <w:r w:rsidR="00FD0AD2" w:rsidRPr="00AA1441">
        <w:rPr>
          <w:lang w:val="en-GB"/>
        </w:rPr>
        <w:t>permit the Border Guard to immediately expel an individual upon apprehending them and ascertaining that they</w:t>
      </w:r>
      <w:r w:rsidR="00806D36" w:rsidRPr="00AA1441">
        <w:rPr>
          <w:lang w:val="en-GB"/>
        </w:rPr>
        <w:t xml:space="preserve"> had</w:t>
      </w:r>
      <w:r w:rsidR="00FD0AD2" w:rsidRPr="00AA1441">
        <w:rPr>
          <w:lang w:val="en-GB"/>
        </w:rPr>
        <w:t xml:space="preserve"> recently crossed the border in an irregular manner.</w:t>
      </w:r>
      <w:r w:rsidR="00AC72B4" w:rsidRPr="00AA1441">
        <w:rPr>
          <w:rStyle w:val="FootnoteReference"/>
          <w:lang w:val="en-GB"/>
        </w:rPr>
        <w:footnoteReference w:id="12"/>
      </w:r>
    </w:p>
    <w:p w14:paraId="73702530" w14:textId="450466EB" w:rsidR="00FD0AD2" w:rsidRPr="00AA1441" w:rsidRDefault="00FD0AD2" w:rsidP="007E6CDF">
      <w:pPr>
        <w:spacing w:before="240"/>
        <w:jc w:val="both"/>
        <w:rPr>
          <w:lang w:val="en-GB"/>
        </w:rPr>
      </w:pPr>
      <w:r w:rsidRPr="00AA1441">
        <w:rPr>
          <w:lang w:val="en-GB"/>
        </w:rPr>
        <w:t>The summary effect of the above is that the Border Guard, once they encounter a migrant in the border area, by default immediately expel them, without commencing</w:t>
      </w:r>
      <w:r w:rsidR="00695717" w:rsidRPr="00AA1441">
        <w:rPr>
          <w:lang w:val="en-GB"/>
        </w:rPr>
        <w:t xml:space="preserve"> a</w:t>
      </w:r>
      <w:r w:rsidRPr="00AA1441">
        <w:rPr>
          <w:lang w:val="en-GB"/>
        </w:rPr>
        <w:t xml:space="preserve"> </w:t>
      </w:r>
      <w:r w:rsidR="00DD19B7" w:rsidRPr="00AA1441">
        <w:rPr>
          <w:lang w:val="en-GB"/>
        </w:rPr>
        <w:t>proper</w:t>
      </w:r>
      <w:r w:rsidRPr="00AA1441">
        <w:rPr>
          <w:lang w:val="en-GB"/>
        </w:rPr>
        <w:t xml:space="preserve"> formal procedure as laid down above.</w:t>
      </w:r>
      <w:r w:rsidR="008274DF" w:rsidRPr="00AA1441">
        <w:rPr>
          <w:lang w:val="en-GB"/>
        </w:rPr>
        <w:t xml:space="preserve"> Stays of migrants who have irregularly crossed Poland-Belarus border not only are not regularised but they largely remain outside the protective mechanisms of Polish and international law. Those whose asylum applications were accepted (due to interim measure issued by the ECtHR, intervention of the Commissioner, radically ill health or any other reason) would usually be placed in</w:t>
      </w:r>
      <w:r w:rsidR="00265319" w:rsidRPr="00AA1441">
        <w:rPr>
          <w:lang w:val="en-GB"/>
        </w:rPr>
        <w:t xml:space="preserve"> prolonged</w:t>
      </w:r>
      <w:r w:rsidR="008274DF" w:rsidRPr="00AA1441">
        <w:rPr>
          <w:lang w:val="en-GB"/>
        </w:rPr>
        <w:t xml:space="preserve"> detention, with insufficient regard to clauses </w:t>
      </w:r>
      <w:r w:rsidR="008274DF" w:rsidRPr="00AA1441">
        <w:rPr>
          <w:lang w:val="en-GB"/>
        </w:rPr>
        <w:lastRenderedPageBreak/>
        <w:t xml:space="preserve">that prohibit detaining foreigners who experienced violence or </w:t>
      </w:r>
      <w:r w:rsidR="005052BB" w:rsidRPr="00AA1441">
        <w:rPr>
          <w:lang w:val="en-GB"/>
        </w:rPr>
        <w:t>might experience dangers to their health or life in case of detention</w:t>
      </w:r>
      <w:r w:rsidR="008274DF" w:rsidRPr="00AA1441">
        <w:rPr>
          <w:lang w:val="en-GB"/>
        </w:rPr>
        <w:t>.</w:t>
      </w:r>
      <w:r w:rsidR="00265319" w:rsidRPr="00AA1441">
        <w:rPr>
          <w:lang w:val="en-GB"/>
        </w:rPr>
        <w:t xml:space="preserve"> The Commissioner opposes such a conduct as well.</w:t>
      </w:r>
      <w:r w:rsidR="00265319" w:rsidRPr="00AA1441">
        <w:rPr>
          <w:rStyle w:val="FootnoteReference"/>
          <w:lang w:val="en-GB"/>
        </w:rPr>
        <w:footnoteReference w:id="13"/>
      </w:r>
    </w:p>
    <w:p w14:paraId="77758DB6" w14:textId="2D8698B8" w:rsidR="007762E1" w:rsidRPr="00AA1441" w:rsidRDefault="007762E1" w:rsidP="007E6CDF">
      <w:pPr>
        <w:spacing w:before="240"/>
        <w:jc w:val="both"/>
        <w:rPr>
          <w:lang w:val="en-GB"/>
        </w:rPr>
      </w:pPr>
      <w:r w:rsidRPr="00AA1441">
        <w:rPr>
          <w:lang w:val="en-GB"/>
        </w:rPr>
        <w:t>These actions were complemented by the imposition of the state of emergency in the border zone</w:t>
      </w:r>
      <w:r w:rsidR="00B1606D" w:rsidRPr="00AA1441">
        <w:rPr>
          <w:lang w:val="en-GB"/>
        </w:rPr>
        <w:t xml:space="preserve">, </w:t>
      </w:r>
      <w:r w:rsidRPr="00AA1441">
        <w:rPr>
          <w:lang w:val="en-GB"/>
        </w:rPr>
        <w:t>which effectively barred the access of journalists and activists to the established exclusion zone.</w:t>
      </w:r>
      <w:r w:rsidR="00FA2DCB" w:rsidRPr="00AA1441">
        <w:rPr>
          <w:lang w:val="en-GB"/>
        </w:rPr>
        <w:t xml:space="preserve"> The Commissioner assessed the derogations from human rights obligations</w:t>
      </w:r>
      <w:r w:rsidR="00B1606D" w:rsidRPr="00AA1441">
        <w:rPr>
          <w:lang w:val="en-GB"/>
        </w:rPr>
        <w:t>,</w:t>
      </w:r>
      <w:r w:rsidR="00FA2DCB" w:rsidRPr="00AA1441">
        <w:rPr>
          <w:lang w:val="en-GB"/>
        </w:rPr>
        <w:t xml:space="preserve"> that entered into force along with the state of emergency</w:t>
      </w:r>
      <w:r w:rsidR="00B1606D" w:rsidRPr="00AA1441">
        <w:rPr>
          <w:lang w:val="en-GB"/>
        </w:rPr>
        <w:t>,</w:t>
      </w:r>
      <w:r w:rsidR="00FA2DCB" w:rsidRPr="00AA1441">
        <w:rPr>
          <w:lang w:val="en-GB"/>
        </w:rPr>
        <w:t xml:space="preserve"> as disproportionate.</w:t>
      </w:r>
      <w:r w:rsidR="00FA2DCB" w:rsidRPr="00AA1441">
        <w:rPr>
          <w:rStyle w:val="FootnoteReference"/>
          <w:lang w:val="en-GB"/>
        </w:rPr>
        <w:footnoteReference w:id="14"/>
      </w:r>
      <w:r w:rsidR="00804F6A" w:rsidRPr="00AA1441">
        <w:rPr>
          <w:lang w:val="en-GB"/>
        </w:rPr>
        <w:t xml:space="preserve"> The state of emergency was later </w:t>
      </w:r>
      <w:r w:rsidR="00804F6A" w:rsidRPr="00AA1441">
        <w:rPr>
          <w:i/>
          <w:iCs/>
          <w:lang w:val="en-GB"/>
        </w:rPr>
        <w:t>de facto</w:t>
      </w:r>
      <w:r w:rsidR="00804F6A" w:rsidRPr="00AA1441">
        <w:rPr>
          <w:lang w:val="en-GB"/>
        </w:rPr>
        <w:t xml:space="preserve"> </w:t>
      </w:r>
      <w:r w:rsidR="00FA2DCB" w:rsidRPr="00AA1441">
        <w:rPr>
          <w:lang w:val="en-GB"/>
        </w:rPr>
        <w:t>extended beyond the constitutionally mandated period in a manner that was assessed by the Commissioner as unlawful.</w:t>
      </w:r>
      <w:r w:rsidR="00FA2DCB" w:rsidRPr="00AA1441">
        <w:rPr>
          <w:rStyle w:val="FootnoteReference"/>
          <w:lang w:val="en-GB"/>
        </w:rPr>
        <w:footnoteReference w:id="15"/>
      </w:r>
      <w:r w:rsidRPr="00AA1441">
        <w:rPr>
          <w:lang w:val="en-GB"/>
        </w:rPr>
        <w:t xml:space="preserve"> Additionally, a 5-meter-high wall was constructed along the border which, however, did not result in complete barring of this irregular migration route.</w:t>
      </w:r>
    </w:p>
    <w:p w14:paraId="271E6D77" w14:textId="09FBF9F6" w:rsidR="00A91999" w:rsidRPr="00AA1441" w:rsidRDefault="00265319" w:rsidP="007E6CDF">
      <w:pPr>
        <w:spacing w:before="240"/>
        <w:jc w:val="both"/>
        <w:rPr>
          <w:lang w:val="en-GB"/>
        </w:rPr>
      </w:pPr>
      <w:r w:rsidRPr="00AA1441">
        <w:rPr>
          <w:lang w:val="en-GB"/>
        </w:rPr>
        <w:t>The summary result of the above is that migrants who managed to cross the border predominantly choose to hide in forests</w:t>
      </w:r>
      <w:r w:rsidR="00750676" w:rsidRPr="00AA1441">
        <w:rPr>
          <w:lang w:val="en-GB"/>
        </w:rPr>
        <w:t xml:space="preserve"> </w:t>
      </w:r>
      <w:r w:rsidRPr="00AA1441">
        <w:rPr>
          <w:lang w:val="en-GB"/>
        </w:rPr>
        <w:t>and swamps of eastern Poland</w:t>
      </w:r>
      <w:r w:rsidR="00750676" w:rsidRPr="00AA1441">
        <w:rPr>
          <w:lang w:val="en-GB"/>
        </w:rPr>
        <w:t>, as a</w:t>
      </w:r>
      <w:r w:rsidR="00804F6A" w:rsidRPr="00AA1441">
        <w:rPr>
          <w:lang w:val="en-GB"/>
        </w:rPr>
        <w:t>ny contact with the authorities, even the emergency medical services, usually results in a pushback.</w:t>
      </w:r>
      <w:r w:rsidR="00804F6A" w:rsidRPr="00AA1441">
        <w:rPr>
          <w:rStyle w:val="FootnoteReference"/>
          <w:lang w:val="en-GB"/>
        </w:rPr>
        <w:footnoteReference w:id="16"/>
      </w:r>
      <w:r w:rsidRPr="00AA1441">
        <w:rPr>
          <w:lang w:val="en-GB"/>
        </w:rPr>
        <w:t xml:space="preserve"> </w:t>
      </w:r>
      <w:r w:rsidR="00A91999" w:rsidRPr="00AA1441">
        <w:rPr>
          <w:lang w:val="en-GB"/>
        </w:rPr>
        <w:t>According to activists operating in the area, since the beginning of the crisis, 34 dead bodies were recovered</w:t>
      </w:r>
      <w:r w:rsidR="00E56415" w:rsidRPr="00AA1441">
        <w:rPr>
          <w:lang w:val="en-GB"/>
        </w:rPr>
        <w:t xml:space="preserve"> near the border</w:t>
      </w:r>
      <w:r w:rsidR="00A91999" w:rsidRPr="00AA1441">
        <w:rPr>
          <w:lang w:val="en-GB"/>
        </w:rPr>
        <w:t xml:space="preserve"> and 212 persons remain missing</w:t>
      </w:r>
      <w:r w:rsidR="00487A34" w:rsidRPr="00AA1441">
        <w:rPr>
          <w:lang w:val="en-GB"/>
        </w:rPr>
        <w:t xml:space="preserve"> (as of 24 January 2023)</w:t>
      </w:r>
      <w:r w:rsidR="00FA2DCB" w:rsidRPr="00AA1441">
        <w:rPr>
          <w:lang w:val="en-GB"/>
        </w:rPr>
        <w:t>.</w:t>
      </w:r>
      <w:r w:rsidR="00A91999" w:rsidRPr="00AA1441">
        <w:rPr>
          <w:rStyle w:val="FootnoteReference"/>
          <w:lang w:val="en-GB"/>
        </w:rPr>
        <w:footnoteReference w:id="17"/>
      </w:r>
      <w:r w:rsidR="00FA2DCB" w:rsidRPr="00AA1441">
        <w:rPr>
          <w:lang w:val="en-GB"/>
        </w:rPr>
        <w:t xml:space="preserve"> Given the extremely difficult terrain in the border area (vast forests and swamps, </w:t>
      </w:r>
      <w:r w:rsidR="00E56415" w:rsidRPr="00AA1441">
        <w:rPr>
          <w:lang w:val="en-GB"/>
        </w:rPr>
        <w:t xml:space="preserve">very </w:t>
      </w:r>
      <w:r w:rsidR="00FA2DCB" w:rsidRPr="00AA1441">
        <w:rPr>
          <w:lang w:val="en-GB"/>
        </w:rPr>
        <w:t>low population density)</w:t>
      </w:r>
      <w:r w:rsidR="00A91999" w:rsidRPr="00AA1441">
        <w:rPr>
          <w:lang w:val="en-GB"/>
        </w:rPr>
        <w:t xml:space="preserve"> and lack of official statistics</w:t>
      </w:r>
      <w:r w:rsidR="00FA2DCB" w:rsidRPr="00AA1441">
        <w:rPr>
          <w:lang w:val="en-GB"/>
        </w:rPr>
        <w:t xml:space="preserve">, the total number of deaths </w:t>
      </w:r>
      <w:r w:rsidR="00A91999" w:rsidRPr="00AA1441">
        <w:rPr>
          <w:lang w:val="en-GB"/>
        </w:rPr>
        <w:t>is impossible to ascertain. There is also no available information on the number of deaths on the Belarusian side of the border.</w:t>
      </w:r>
      <w:r w:rsidRPr="00AA1441">
        <w:rPr>
          <w:lang w:val="en-GB"/>
        </w:rPr>
        <w:t xml:space="preserve"> </w:t>
      </w:r>
    </w:p>
    <w:p w14:paraId="2096CA5D" w14:textId="411D4FE5" w:rsidR="00265319" w:rsidRPr="0067568B" w:rsidRDefault="00265319" w:rsidP="007E6CDF">
      <w:pPr>
        <w:spacing w:before="240"/>
        <w:jc w:val="both"/>
        <w:rPr>
          <w:lang w:val="en-GB"/>
        </w:rPr>
      </w:pPr>
      <w:r w:rsidRPr="00AA1441">
        <w:rPr>
          <w:lang w:val="en-GB"/>
        </w:rPr>
        <w:t>No large humanitarian organizations operate in the border area. Grassroots organizations and individual activists</w:t>
      </w:r>
      <w:r w:rsidR="007762E1" w:rsidRPr="00AA1441">
        <w:rPr>
          <w:lang w:val="en-GB"/>
        </w:rPr>
        <w:t xml:space="preserve"> that provide aid to people hiding in the wilderness experience intimidation and, on several occasion</w:t>
      </w:r>
      <w:r w:rsidR="00A91999" w:rsidRPr="00AA1441">
        <w:rPr>
          <w:lang w:val="en-GB"/>
        </w:rPr>
        <w:t>s</w:t>
      </w:r>
      <w:r w:rsidR="007762E1" w:rsidRPr="00AA1441">
        <w:rPr>
          <w:lang w:val="en-GB"/>
        </w:rPr>
        <w:t xml:space="preserve">, attempts to criminalise their conduct. As the Commissioner pointed out in his input to the </w:t>
      </w:r>
      <w:r w:rsidR="00804F6A" w:rsidRPr="00AA1441">
        <w:rPr>
          <w:lang w:val="en-GB"/>
        </w:rPr>
        <w:t>recent report of the Special Rapporteur on the situation of human rights defenders “[the Government of Poland] has done little to support and protect human rights defenders involved in response to this crisis. In fact, legislative and material actions taken by the Government suggest that the aim was to discourage them from involvement in assistance to irregular migrants”.</w:t>
      </w:r>
      <w:r w:rsidR="00804F6A" w:rsidRPr="00AA1441">
        <w:rPr>
          <w:rStyle w:val="FootnoteReference"/>
          <w:lang w:val="en-GB"/>
        </w:rPr>
        <w:footnoteReference w:id="18"/>
      </w:r>
    </w:p>
    <w:p w14:paraId="6781EE5C" w14:textId="77777777" w:rsidR="0057511B" w:rsidRPr="0067568B" w:rsidRDefault="0057511B" w:rsidP="007E6CDF">
      <w:pPr>
        <w:spacing w:before="240"/>
        <w:jc w:val="both"/>
        <w:rPr>
          <w:lang w:val="en-GB"/>
        </w:rPr>
      </w:pPr>
    </w:p>
    <w:p w14:paraId="03B738CB" w14:textId="77777777" w:rsidR="0057511B" w:rsidRPr="0067568B" w:rsidRDefault="0057511B" w:rsidP="007E6CDF">
      <w:pPr>
        <w:spacing w:before="240"/>
        <w:jc w:val="both"/>
        <w:rPr>
          <w:lang w:val="en-GB"/>
        </w:rPr>
      </w:pPr>
    </w:p>
    <w:sectPr w:rsidR="0057511B" w:rsidRPr="0067568B">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2DDAD" w14:textId="77777777" w:rsidR="00516E76" w:rsidRDefault="00516E76" w:rsidP="00B25760">
      <w:pPr>
        <w:spacing w:after="0" w:line="240" w:lineRule="auto"/>
      </w:pPr>
      <w:r>
        <w:separator/>
      </w:r>
    </w:p>
  </w:endnote>
  <w:endnote w:type="continuationSeparator" w:id="0">
    <w:p w14:paraId="5F674744" w14:textId="77777777" w:rsidR="00516E76" w:rsidRDefault="00516E76" w:rsidP="00B25760">
      <w:pPr>
        <w:spacing w:after="0" w:line="240" w:lineRule="auto"/>
      </w:pPr>
      <w:r>
        <w:continuationSeparator/>
      </w:r>
    </w:p>
  </w:endnote>
  <w:endnote w:type="continuationNotice" w:id="1">
    <w:p w14:paraId="02F613B3" w14:textId="77777777" w:rsidR="00516E76" w:rsidRDefault="00516E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A972" w14:textId="77777777" w:rsidR="00E204BA" w:rsidRDefault="00E20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7A84A" w14:textId="77777777" w:rsidR="00516E76" w:rsidRDefault="00516E76" w:rsidP="00B25760">
      <w:pPr>
        <w:spacing w:after="0" w:line="240" w:lineRule="auto"/>
      </w:pPr>
      <w:r>
        <w:separator/>
      </w:r>
    </w:p>
  </w:footnote>
  <w:footnote w:type="continuationSeparator" w:id="0">
    <w:p w14:paraId="2A4A6E31" w14:textId="77777777" w:rsidR="00516E76" w:rsidRDefault="00516E76" w:rsidP="00B25760">
      <w:pPr>
        <w:spacing w:after="0" w:line="240" w:lineRule="auto"/>
      </w:pPr>
      <w:r>
        <w:continuationSeparator/>
      </w:r>
    </w:p>
  </w:footnote>
  <w:footnote w:type="continuationNotice" w:id="1">
    <w:p w14:paraId="26A1BBB5" w14:textId="77777777" w:rsidR="00516E76" w:rsidRDefault="00516E76">
      <w:pPr>
        <w:spacing w:after="0" w:line="240" w:lineRule="auto"/>
      </w:pPr>
    </w:p>
  </w:footnote>
  <w:footnote w:id="2">
    <w:p w14:paraId="125B1C9E" w14:textId="2E9D50B9" w:rsidR="00B25760" w:rsidRPr="00B25760" w:rsidRDefault="00B25760" w:rsidP="00E56415">
      <w:pPr>
        <w:pStyle w:val="FootnoteText"/>
        <w:jc w:val="both"/>
        <w:rPr>
          <w:lang w:val="en-GB"/>
        </w:rPr>
      </w:pPr>
      <w:r>
        <w:rPr>
          <w:rStyle w:val="FootnoteReference"/>
        </w:rPr>
        <w:footnoteRef/>
      </w:r>
      <w:r w:rsidRPr="00B25760">
        <w:rPr>
          <w:lang w:val="en-GB"/>
        </w:rPr>
        <w:t xml:space="preserve"> </w:t>
      </w:r>
      <w:hyperlink r:id="rId1" w:history="1">
        <w:r w:rsidRPr="00B25760">
          <w:rPr>
            <w:rStyle w:val="Hyperlink"/>
            <w:lang w:val="en-GB"/>
          </w:rPr>
          <w:t>https://www.strazgraniczna.pl/pl/aktualnosci/11135,Rok-2022-w-Strazy-Granicznej.html</w:t>
        </w:r>
      </w:hyperlink>
      <w:r w:rsidRPr="00B25760">
        <w:rPr>
          <w:lang w:val="en-GB"/>
        </w:rPr>
        <w:t xml:space="preserve"> (a</w:t>
      </w:r>
      <w:r>
        <w:rPr>
          <w:lang w:val="en-GB"/>
        </w:rPr>
        <w:t>ccessed 24/01/2023).</w:t>
      </w:r>
    </w:p>
  </w:footnote>
  <w:footnote w:id="3">
    <w:p w14:paraId="2AE5B494" w14:textId="4FFCDC3D" w:rsidR="00B904C6" w:rsidRPr="00B904C6" w:rsidRDefault="00B904C6" w:rsidP="00E56415">
      <w:pPr>
        <w:pStyle w:val="FootnoteText"/>
        <w:jc w:val="both"/>
        <w:rPr>
          <w:lang w:val="en-GB"/>
        </w:rPr>
      </w:pPr>
      <w:r>
        <w:rPr>
          <w:rStyle w:val="FootnoteReference"/>
        </w:rPr>
        <w:footnoteRef/>
      </w:r>
      <w:r w:rsidRPr="00B904C6">
        <w:rPr>
          <w:lang w:val="en-GB"/>
        </w:rPr>
        <w:t xml:space="preserve"> </w:t>
      </w:r>
      <w:hyperlink r:id="rId2" w:history="1">
        <w:r w:rsidRPr="0070033D">
          <w:rPr>
            <w:rStyle w:val="Hyperlink"/>
            <w:lang w:val="en-GB"/>
          </w:rPr>
          <w:t>https://www.consilium.europa.eu/en/press/press-releases/2022/03/04/ukraine-council-introduces-temporary-protection-for-persons-fleeing-the-war/</w:t>
        </w:r>
      </w:hyperlink>
      <w:r>
        <w:rPr>
          <w:lang w:val="en-GB"/>
        </w:rPr>
        <w:t xml:space="preserve"> (accessed 24/01/2023).</w:t>
      </w:r>
    </w:p>
  </w:footnote>
  <w:footnote w:id="4">
    <w:p w14:paraId="1854AE9D" w14:textId="0580673D" w:rsidR="00B904C6" w:rsidRPr="00B904C6" w:rsidRDefault="00B904C6" w:rsidP="00E56415">
      <w:pPr>
        <w:pStyle w:val="FootnoteText"/>
        <w:jc w:val="both"/>
        <w:rPr>
          <w:lang w:val="en-GB"/>
        </w:rPr>
      </w:pPr>
      <w:r>
        <w:rPr>
          <w:rStyle w:val="FootnoteReference"/>
        </w:rPr>
        <w:footnoteRef/>
      </w:r>
      <w:r w:rsidRPr="00B904C6">
        <w:rPr>
          <w:lang w:val="en-GB"/>
        </w:rPr>
        <w:t xml:space="preserve"> </w:t>
      </w:r>
      <w:hyperlink r:id="rId3" w:history="1">
        <w:r w:rsidRPr="0070033D">
          <w:rPr>
            <w:rStyle w:val="Hyperlink"/>
            <w:lang w:val="en-GB"/>
          </w:rPr>
          <w:t>https://isap.sejm.gov.pl/isap.nsf/DocDetails.xsp?id=WDU20220000583</w:t>
        </w:r>
      </w:hyperlink>
      <w:r>
        <w:rPr>
          <w:lang w:val="en-GB"/>
        </w:rPr>
        <w:t xml:space="preserve"> (accessed 24/01/2023).</w:t>
      </w:r>
    </w:p>
  </w:footnote>
  <w:footnote w:id="5">
    <w:p w14:paraId="368E472B" w14:textId="2FAEE030" w:rsidR="00B90C39" w:rsidRPr="00B90C39" w:rsidRDefault="00B90C39" w:rsidP="00E56415">
      <w:pPr>
        <w:pStyle w:val="FootnoteText"/>
        <w:jc w:val="both"/>
        <w:rPr>
          <w:lang w:val="en-GB"/>
        </w:rPr>
      </w:pPr>
      <w:r>
        <w:rPr>
          <w:rStyle w:val="FootnoteReference"/>
        </w:rPr>
        <w:footnoteRef/>
      </w:r>
      <w:r w:rsidRPr="00B90C39">
        <w:rPr>
          <w:lang w:val="en-GB"/>
        </w:rPr>
        <w:t xml:space="preserve"> </w:t>
      </w:r>
      <w:hyperlink r:id="rId4" w:history="1">
        <w:r w:rsidRPr="0070033D">
          <w:rPr>
            <w:rStyle w:val="Hyperlink"/>
            <w:lang w:val="en-GB"/>
          </w:rPr>
          <w:t>https://bip.brpo.gov.pl/pl/content/rpo-uwagi-doustawy-o-pomocy-obywatelom-ukrainy-marcin-wiacek-senat</w:t>
        </w:r>
      </w:hyperlink>
      <w:r>
        <w:rPr>
          <w:lang w:val="en-GB"/>
        </w:rPr>
        <w:t xml:space="preserve"> (accessed 24/01/2023); </w:t>
      </w:r>
      <w:hyperlink r:id="rId5" w:history="1">
        <w:r w:rsidRPr="0070033D">
          <w:rPr>
            <w:rStyle w:val="Hyperlink"/>
            <w:lang w:val="en-GB"/>
          </w:rPr>
          <w:t>https://bip.brpo.gov.pl/pl/content/rpo-ukraina-uchodzcy-ustawa-zmiana-opinia-mswia-odpowiedz</w:t>
        </w:r>
      </w:hyperlink>
      <w:r>
        <w:rPr>
          <w:lang w:val="en-GB"/>
        </w:rPr>
        <w:t xml:space="preserve"> (accessed 24/01/2023).</w:t>
      </w:r>
    </w:p>
  </w:footnote>
  <w:footnote w:id="6">
    <w:p w14:paraId="128FEB3F" w14:textId="64E00778" w:rsidR="005064EB" w:rsidRPr="005064EB" w:rsidRDefault="005064EB" w:rsidP="00E56415">
      <w:pPr>
        <w:pStyle w:val="FootnoteText"/>
        <w:jc w:val="both"/>
        <w:rPr>
          <w:lang w:val="en-GB"/>
        </w:rPr>
      </w:pPr>
      <w:r>
        <w:rPr>
          <w:rStyle w:val="FootnoteReference"/>
        </w:rPr>
        <w:footnoteRef/>
      </w:r>
      <w:r w:rsidRPr="005064EB">
        <w:rPr>
          <w:lang w:val="en-GB"/>
        </w:rPr>
        <w:t xml:space="preserve"> </w:t>
      </w:r>
      <w:hyperlink r:id="rId6" w:history="1">
        <w:r w:rsidRPr="0070033D">
          <w:rPr>
            <w:rStyle w:val="Hyperlink"/>
            <w:lang w:val="en-GB"/>
          </w:rPr>
          <w:t>https://bip.brpo.gov.pl/pl/content/rpo-przemysl-dworzec-uchodzcy-ukraina-romowie-wojewoda-odpowiedz</w:t>
        </w:r>
      </w:hyperlink>
      <w:r>
        <w:rPr>
          <w:lang w:val="en-GB"/>
        </w:rPr>
        <w:t xml:space="preserve"> (accessed 24/01/2023); </w:t>
      </w:r>
      <w:hyperlink r:id="rId7" w:history="1">
        <w:r w:rsidRPr="0070033D">
          <w:rPr>
            <w:rStyle w:val="Hyperlink"/>
            <w:lang w:val="en-GB"/>
          </w:rPr>
          <w:t>https://bip.brpo.gov.pl/pl/content/rpo-ukraina-uchodzcy-systemowa-ochrona-grup-wrazliwych-mswia-odpowiedz</w:t>
        </w:r>
      </w:hyperlink>
      <w:r>
        <w:rPr>
          <w:lang w:val="en-GB"/>
        </w:rPr>
        <w:t xml:space="preserve"> (accessed 24/01/2023).</w:t>
      </w:r>
    </w:p>
  </w:footnote>
  <w:footnote w:id="7">
    <w:p w14:paraId="6AA848BD" w14:textId="02A60435" w:rsidR="00920707" w:rsidRPr="00920707" w:rsidRDefault="00920707" w:rsidP="00E56415">
      <w:pPr>
        <w:pStyle w:val="FootnoteText"/>
        <w:jc w:val="both"/>
        <w:rPr>
          <w:lang w:val="en-GB"/>
        </w:rPr>
      </w:pPr>
      <w:r>
        <w:rPr>
          <w:rStyle w:val="FootnoteReference"/>
        </w:rPr>
        <w:footnoteRef/>
      </w:r>
      <w:r w:rsidRPr="00920707">
        <w:rPr>
          <w:lang w:val="en-GB"/>
        </w:rPr>
        <w:t xml:space="preserve"> </w:t>
      </w:r>
      <w:hyperlink r:id="rId8" w:history="1">
        <w:r w:rsidRPr="00DE6EC5">
          <w:rPr>
            <w:rStyle w:val="Hyperlink"/>
            <w:lang w:val="en-GB"/>
          </w:rPr>
          <w:t>https://bip.brpo.gov.pl/pl</w:t>
        </w:r>
      </w:hyperlink>
      <w:r>
        <w:rPr>
          <w:lang w:val="en-GB"/>
        </w:rPr>
        <w:t xml:space="preserve"> (accessed 24/01/2023).</w:t>
      </w:r>
    </w:p>
  </w:footnote>
  <w:footnote w:id="8">
    <w:p w14:paraId="2F59ED41" w14:textId="32490778" w:rsidR="00ED64EA" w:rsidRPr="00ED64EA" w:rsidRDefault="00ED64EA">
      <w:pPr>
        <w:pStyle w:val="FootnoteText"/>
        <w:rPr>
          <w:lang w:val="en-GB"/>
        </w:rPr>
      </w:pPr>
      <w:r>
        <w:rPr>
          <w:rStyle w:val="FootnoteReference"/>
        </w:rPr>
        <w:footnoteRef/>
      </w:r>
      <w:r w:rsidRPr="00ED64EA">
        <w:rPr>
          <w:lang w:val="en-GB"/>
        </w:rPr>
        <w:t xml:space="preserve"> </w:t>
      </w:r>
      <w:hyperlink r:id="rId9" w:history="1">
        <w:r w:rsidRPr="00700FCF">
          <w:rPr>
            <w:rStyle w:val="Hyperlink"/>
            <w:lang w:val="en-GB"/>
          </w:rPr>
          <w:t>https://www.ohchr.org/sites/default/files/2022-04/PolandNHRISubmission.pdf</w:t>
        </w:r>
      </w:hyperlink>
      <w:r>
        <w:rPr>
          <w:lang w:val="en-GB"/>
        </w:rPr>
        <w:t xml:space="preserve"> (accessed 24/01/2023).</w:t>
      </w:r>
    </w:p>
  </w:footnote>
  <w:footnote w:id="9">
    <w:p w14:paraId="03031FCF" w14:textId="3ADE837E" w:rsidR="00CF7ECD" w:rsidRPr="00CF7ECD" w:rsidRDefault="00CF7ECD" w:rsidP="00E56415">
      <w:pPr>
        <w:pStyle w:val="FootnoteText"/>
        <w:jc w:val="both"/>
        <w:rPr>
          <w:lang w:val="en-GB"/>
        </w:rPr>
      </w:pPr>
      <w:r>
        <w:rPr>
          <w:rStyle w:val="FootnoteReference"/>
        </w:rPr>
        <w:footnoteRef/>
      </w:r>
      <w:r w:rsidRPr="00CF7ECD">
        <w:rPr>
          <w:lang w:val="en-GB"/>
        </w:rPr>
        <w:t xml:space="preserve"> </w:t>
      </w:r>
      <w:hyperlink r:id="rId10" w:history="1">
        <w:r w:rsidRPr="00DE6EC5">
          <w:rPr>
            <w:rStyle w:val="Hyperlink"/>
            <w:lang w:val="en-GB"/>
          </w:rPr>
          <w:t>https://academic.oup.com/rsq/advance-article/doi/10.1093/rsq/hdac025/6662333</w:t>
        </w:r>
      </w:hyperlink>
      <w:r>
        <w:rPr>
          <w:lang w:val="en-GB"/>
        </w:rPr>
        <w:t xml:space="preserve"> (accessed 24/01/2023).</w:t>
      </w:r>
    </w:p>
  </w:footnote>
  <w:footnote w:id="10">
    <w:p w14:paraId="4AEB39B3" w14:textId="044A4BFF" w:rsidR="00AC25EB" w:rsidRPr="00AC25EB" w:rsidRDefault="00AC25EB" w:rsidP="00E56415">
      <w:pPr>
        <w:pStyle w:val="FootnoteText"/>
        <w:jc w:val="both"/>
        <w:rPr>
          <w:lang w:val="en-GB"/>
        </w:rPr>
      </w:pPr>
      <w:r>
        <w:rPr>
          <w:rStyle w:val="FootnoteReference"/>
        </w:rPr>
        <w:footnoteRef/>
      </w:r>
      <w:r w:rsidRPr="00AC25EB">
        <w:rPr>
          <w:lang w:val="en-GB"/>
        </w:rPr>
        <w:t xml:space="preserve"> </w:t>
      </w:r>
      <w:hyperlink r:id="rId11" w:history="1">
        <w:r w:rsidRPr="00DE6EC5">
          <w:rPr>
            <w:rStyle w:val="Hyperlink"/>
            <w:lang w:val="en-GB"/>
          </w:rPr>
          <w:t>https://bip.brpo.gov.pl/pl/content/RPO-wstrzymac-stosowanie-push-backow-granica-bialorus</w:t>
        </w:r>
      </w:hyperlink>
      <w:r>
        <w:rPr>
          <w:lang w:val="en-GB"/>
        </w:rPr>
        <w:t xml:space="preserve"> (accessed 24/01/2023).</w:t>
      </w:r>
    </w:p>
  </w:footnote>
  <w:footnote w:id="11">
    <w:p w14:paraId="7CF19BA4" w14:textId="7EE06F66" w:rsidR="00220169" w:rsidRPr="00220169" w:rsidRDefault="00220169" w:rsidP="00220169">
      <w:pPr>
        <w:pStyle w:val="FootnoteText"/>
        <w:jc w:val="both"/>
        <w:rPr>
          <w:lang w:val="en-GB"/>
        </w:rPr>
      </w:pPr>
      <w:r>
        <w:rPr>
          <w:rStyle w:val="FootnoteReference"/>
        </w:rPr>
        <w:footnoteRef/>
      </w:r>
      <w:r w:rsidRPr="00220169">
        <w:rPr>
          <w:lang w:val="en-GB"/>
        </w:rPr>
        <w:t xml:space="preserve"> </w:t>
      </w:r>
      <w:r>
        <w:rPr>
          <w:lang w:val="en-GB"/>
        </w:rPr>
        <w:t xml:space="preserve">The ordinance has already been deemed unconstitutional by the court: as a result of the Commissioner’s application, the Białystok Administrative Court has found the pushback procedure under the ordinance unlawful: </w:t>
      </w:r>
      <w:hyperlink r:id="rId12" w:history="1">
        <w:r w:rsidRPr="00700FCF">
          <w:rPr>
            <w:rStyle w:val="Hyperlink"/>
            <w:lang w:val="en-GB"/>
          </w:rPr>
          <w:t>https://bip.brpo.gov.pl/pl/content/wsa-rpo-pushbacki-sprzecznosc-prawo-polskie-miedzynarodowe-uzasadnienie</w:t>
        </w:r>
      </w:hyperlink>
      <w:r>
        <w:rPr>
          <w:lang w:val="en-GB"/>
        </w:rPr>
        <w:t xml:space="preserve"> (accessed 24/01/2023).</w:t>
      </w:r>
    </w:p>
  </w:footnote>
  <w:footnote w:id="12">
    <w:p w14:paraId="27257D90" w14:textId="4E06B6D8" w:rsidR="00AC72B4" w:rsidRPr="00ED64EA" w:rsidRDefault="00AC72B4" w:rsidP="00ED64EA">
      <w:pPr>
        <w:pStyle w:val="FootnoteText"/>
        <w:jc w:val="both"/>
        <w:rPr>
          <w:lang w:val="en-GB"/>
        </w:rPr>
      </w:pPr>
      <w:r>
        <w:rPr>
          <w:rStyle w:val="FootnoteReference"/>
        </w:rPr>
        <w:footnoteRef/>
      </w:r>
      <w:r w:rsidRPr="00ED64EA">
        <w:rPr>
          <w:lang w:val="en-GB"/>
        </w:rPr>
        <w:t xml:space="preserve"> </w:t>
      </w:r>
      <w:r>
        <w:rPr>
          <w:lang w:val="en-GB"/>
        </w:rPr>
        <w:t xml:space="preserve">A more detailed analysis of both laws in question is contained in the Commissioner’s submission of 28 February 2022 </w:t>
      </w:r>
      <w:r w:rsidRPr="003226CA">
        <w:rPr>
          <w:i/>
          <w:lang w:val="en-GB"/>
        </w:rPr>
        <w:t>Report on human rights violations at international borders: trends, prevention and accountability</w:t>
      </w:r>
      <w:r>
        <w:rPr>
          <w:rFonts w:cs="Times New Roman"/>
          <w:lang w:val="en-GB"/>
        </w:rPr>
        <w:t>.</w:t>
      </w:r>
    </w:p>
  </w:footnote>
  <w:footnote w:id="13">
    <w:p w14:paraId="0ACBBA8E" w14:textId="443E6D66" w:rsidR="00265319" w:rsidRPr="00265319" w:rsidRDefault="00265319" w:rsidP="00E56415">
      <w:pPr>
        <w:pStyle w:val="FootnoteText"/>
        <w:jc w:val="both"/>
        <w:rPr>
          <w:lang w:val="en-GB"/>
        </w:rPr>
      </w:pPr>
      <w:r>
        <w:rPr>
          <w:rStyle w:val="FootnoteReference"/>
        </w:rPr>
        <w:footnoteRef/>
      </w:r>
      <w:r w:rsidRPr="00265319">
        <w:rPr>
          <w:lang w:val="en-GB"/>
        </w:rPr>
        <w:t xml:space="preserve"> </w:t>
      </w:r>
      <w:hyperlink r:id="rId13" w:history="1">
        <w:r w:rsidRPr="00DE6EC5">
          <w:rPr>
            <w:rStyle w:val="Hyperlink"/>
            <w:lang w:val="en-GB"/>
          </w:rPr>
          <w:t>https://bip.brpo.gov.pl/pl/content/rpo-sady-migranci-strzezone-osrodki-rodziny-dzieci</w:t>
        </w:r>
      </w:hyperlink>
      <w:r>
        <w:rPr>
          <w:lang w:val="en-GB"/>
        </w:rPr>
        <w:t xml:space="preserve"> (accessed 24/01/2023).</w:t>
      </w:r>
    </w:p>
  </w:footnote>
  <w:footnote w:id="14">
    <w:p w14:paraId="4D6D6D7C" w14:textId="2CEC405A" w:rsidR="00FA2DCB" w:rsidRPr="00FA2DCB" w:rsidRDefault="00FA2DCB" w:rsidP="00E56415">
      <w:pPr>
        <w:pStyle w:val="FootnoteText"/>
        <w:jc w:val="both"/>
        <w:rPr>
          <w:lang w:val="en-GB"/>
        </w:rPr>
      </w:pPr>
      <w:r>
        <w:rPr>
          <w:rStyle w:val="FootnoteReference"/>
        </w:rPr>
        <w:footnoteRef/>
      </w:r>
      <w:r w:rsidRPr="00FA2DCB">
        <w:rPr>
          <w:lang w:val="en-GB"/>
        </w:rPr>
        <w:t xml:space="preserve"> </w:t>
      </w:r>
      <w:hyperlink r:id="rId14" w:history="1">
        <w:r w:rsidRPr="00DE6EC5">
          <w:rPr>
            <w:rStyle w:val="Hyperlink"/>
            <w:lang w:val="en-GB"/>
          </w:rPr>
          <w:t>https://bip.brpo.gov.pl/pl/content/stan-wyjatkowy-rpo-ma-watpliwosci-ws-ograniczen-pracy-dziennikarzy-oraz-dostepu-do</w:t>
        </w:r>
      </w:hyperlink>
      <w:r>
        <w:rPr>
          <w:lang w:val="en-GB"/>
        </w:rPr>
        <w:t xml:space="preserve"> (accessed 24/01/2023).</w:t>
      </w:r>
    </w:p>
  </w:footnote>
  <w:footnote w:id="15">
    <w:p w14:paraId="486C4E89" w14:textId="2C469D41" w:rsidR="00FA2DCB" w:rsidRPr="00FA2DCB" w:rsidRDefault="00FA2DCB" w:rsidP="00E56415">
      <w:pPr>
        <w:pStyle w:val="FootnoteText"/>
        <w:jc w:val="both"/>
        <w:rPr>
          <w:lang w:val="en-GB"/>
        </w:rPr>
      </w:pPr>
      <w:r>
        <w:rPr>
          <w:rStyle w:val="FootnoteReference"/>
        </w:rPr>
        <w:footnoteRef/>
      </w:r>
      <w:r w:rsidRPr="00FA2DCB">
        <w:rPr>
          <w:lang w:val="en-GB"/>
        </w:rPr>
        <w:t xml:space="preserve"> </w:t>
      </w:r>
      <w:hyperlink r:id="rId15" w:history="1">
        <w:r w:rsidRPr="00DE6EC5">
          <w:rPr>
            <w:rStyle w:val="Hyperlink"/>
            <w:lang w:val="en-GB"/>
          </w:rPr>
          <w:t>https://bip.brpo.gov.pl/pl/content/rpo-senat-ustawa-granica-panstwowa-uwagi</w:t>
        </w:r>
      </w:hyperlink>
      <w:r>
        <w:rPr>
          <w:lang w:val="en-GB"/>
        </w:rPr>
        <w:t xml:space="preserve"> (accessed 24/01/2023).</w:t>
      </w:r>
    </w:p>
  </w:footnote>
  <w:footnote w:id="16">
    <w:p w14:paraId="6D22C59B" w14:textId="7DFEDD47" w:rsidR="00804F6A" w:rsidRPr="00804F6A" w:rsidRDefault="00804F6A" w:rsidP="00E56415">
      <w:pPr>
        <w:pStyle w:val="FootnoteText"/>
        <w:jc w:val="both"/>
        <w:rPr>
          <w:lang w:val="en-GB"/>
        </w:rPr>
      </w:pPr>
      <w:r>
        <w:rPr>
          <w:rStyle w:val="FootnoteReference"/>
        </w:rPr>
        <w:footnoteRef/>
      </w:r>
      <w:r w:rsidRPr="00804F6A">
        <w:rPr>
          <w:lang w:val="en-GB"/>
        </w:rPr>
        <w:t xml:space="preserve"> </w:t>
      </w:r>
      <w:hyperlink r:id="rId16" w:history="1">
        <w:r w:rsidRPr="00DE6EC5">
          <w:rPr>
            <w:rStyle w:val="Hyperlink"/>
            <w:lang w:val="en-GB"/>
          </w:rPr>
          <w:t>https://academic.oup.com/rsq/advance-article/doi/10.1093/rsq/hdac025/6662333</w:t>
        </w:r>
      </w:hyperlink>
      <w:r>
        <w:rPr>
          <w:lang w:val="en-GB"/>
        </w:rPr>
        <w:t xml:space="preserve"> (accessed 24/01/2023).</w:t>
      </w:r>
    </w:p>
  </w:footnote>
  <w:footnote w:id="17">
    <w:p w14:paraId="73FB55BE" w14:textId="7585D3B2" w:rsidR="00A91999" w:rsidRPr="00A91999" w:rsidRDefault="00A91999" w:rsidP="00E56415">
      <w:pPr>
        <w:pStyle w:val="FootnoteText"/>
        <w:jc w:val="both"/>
        <w:rPr>
          <w:lang w:val="en-GB"/>
        </w:rPr>
      </w:pPr>
      <w:r>
        <w:rPr>
          <w:rStyle w:val="FootnoteReference"/>
        </w:rPr>
        <w:footnoteRef/>
      </w:r>
      <w:r w:rsidRPr="00A91999">
        <w:rPr>
          <w:lang w:val="en-GB"/>
        </w:rPr>
        <w:t xml:space="preserve"> </w:t>
      </w:r>
      <w:hyperlink r:id="rId17" w:history="1">
        <w:r w:rsidRPr="00DE6EC5">
          <w:rPr>
            <w:rStyle w:val="Hyperlink"/>
            <w:lang w:val="en-GB"/>
          </w:rPr>
          <w:t>https://oko.press/smiertelne-zniwo-push-backow-na-granicy-z-bialorusia-znaleziono-ciala-az-4-migrantow</w:t>
        </w:r>
      </w:hyperlink>
      <w:r>
        <w:rPr>
          <w:lang w:val="en-GB"/>
        </w:rPr>
        <w:t xml:space="preserve"> (accessed 24/01/2023).</w:t>
      </w:r>
    </w:p>
  </w:footnote>
  <w:footnote w:id="18">
    <w:p w14:paraId="34D4B0D0" w14:textId="69BAD5B1" w:rsidR="00804F6A" w:rsidRPr="00804F6A" w:rsidRDefault="00804F6A" w:rsidP="00E56415">
      <w:pPr>
        <w:pStyle w:val="FootnoteText"/>
        <w:jc w:val="both"/>
        <w:rPr>
          <w:lang w:val="en-GB"/>
        </w:rPr>
      </w:pPr>
      <w:r>
        <w:rPr>
          <w:rStyle w:val="FootnoteReference"/>
        </w:rPr>
        <w:footnoteRef/>
      </w:r>
      <w:r w:rsidRPr="00804F6A">
        <w:rPr>
          <w:lang w:val="en-GB"/>
        </w:rPr>
        <w:t xml:space="preserve"> Situation of human rights defenders,</w:t>
      </w:r>
      <w:r>
        <w:rPr>
          <w:lang w:val="en-GB"/>
        </w:rPr>
        <w:t xml:space="preserve"> UNGA doc. </w:t>
      </w:r>
      <w:r w:rsidRPr="00804F6A">
        <w:rPr>
          <w:lang w:val="en-GB"/>
        </w:rPr>
        <w:t xml:space="preserve">A/77/178, </w:t>
      </w:r>
      <w:hyperlink r:id="rId18" w:history="1">
        <w:r w:rsidRPr="00DE6EC5">
          <w:rPr>
            <w:rStyle w:val="Hyperlink"/>
            <w:lang w:val="en-GB"/>
          </w:rPr>
          <w:t>https://documents-dds-ny.un.org/doc/UNDOC/GEN/N22/428/94/PDF/N2242894.pdf?OpenElement</w:t>
        </w:r>
      </w:hyperlink>
      <w:r>
        <w:rPr>
          <w:lang w:val="en-GB"/>
        </w:rPr>
        <w:t xml:space="preserve"> (accessed 24/01/2023).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CA014" w14:textId="77777777" w:rsidR="00E204BA" w:rsidRDefault="00E20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037C8"/>
    <w:multiLevelType w:val="hybridMultilevel"/>
    <w:tmpl w:val="1A1CE4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1922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85840E79-371F-46D0-8107-747FF4D73D06}"/>
  </w:docVars>
  <w:rsids>
    <w:rsidRoot w:val="00E451DB"/>
    <w:rsid w:val="000026FA"/>
    <w:rsid w:val="00010E82"/>
    <w:rsid w:val="00021E0B"/>
    <w:rsid w:val="00030D72"/>
    <w:rsid w:val="00044E99"/>
    <w:rsid w:val="0005701C"/>
    <w:rsid w:val="000A1EF0"/>
    <w:rsid w:val="000A4C2A"/>
    <w:rsid w:val="000E3845"/>
    <w:rsid w:val="000F270F"/>
    <w:rsid w:val="001005FB"/>
    <w:rsid w:val="00137F46"/>
    <w:rsid w:val="001B4ED3"/>
    <w:rsid w:val="00220169"/>
    <w:rsid w:val="00252F5A"/>
    <w:rsid w:val="002643B0"/>
    <w:rsid w:val="00265319"/>
    <w:rsid w:val="002F0031"/>
    <w:rsid w:val="002F6B73"/>
    <w:rsid w:val="003226CA"/>
    <w:rsid w:val="003449B7"/>
    <w:rsid w:val="003919F3"/>
    <w:rsid w:val="00397E90"/>
    <w:rsid w:val="003A4D1C"/>
    <w:rsid w:val="003E7341"/>
    <w:rsid w:val="00487A34"/>
    <w:rsid w:val="005052BB"/>
    <w:rsid w:val="005064EB"/>
    <w:rsid w:val="00516E76"/>
    <w:rsid w:val="005417D1"/>
    <w:rsid w:val="0054787F"/>
    <w:rsid w:val="0057511B"/>
    <w:rsid w:val="005863B2"/>
    <w:rsid w:val="005B3D62"/>
    <w:rsid w:val="005E758D"/>
    <w:rsid w:val="0067568B"/>
    <w:rsid w:val="00695717"/>
    <w:rsid w:val="006B0335"/>
    <w:rsid w:val="006C7464"/>
    <w:rsid w:val="00750676"/>
    <w:rsid w:val="00767AF9"/>
    <w:rsid w:val="007762E1"/>
    <w:rsid w:val="007E6CDF"/>
    <w:rsid w:val="007F07FE"/>
    <w:rsid w:val="007F0BB9"/>
    <w:rsid w:val="00804F6A"/>
    <w:rsid w:val="00806D36"/>
    <w:rsid w:val="008116A5"/>
    <w:rsid w:val="00813C44"/>
    <w:rsid w:val="008274DF"/>
    <w:rsid w:val="00834E62"/>
    <w:rsid w:val="00844B8F"/>
    <w:rsid w:val="00897814"/>
    <w:rsid w:val="008F0656"/>
    <w:rsid w:val="008F7AB2"/>
    <w:rsid w:val="00904006"/>
    <w:rsid w:val="00920707"/>
    <w:rsid w:val="00920ADD"/>
    <w:rsid w:val="009369D0"/>
    <w:rsid w:val="00967574"/>
    <w:rsid w:val="00984966"/>
    <w:rsid w:val="00996B15"/>
    <w:rsid w:val="009B5057"/>
    <w:rsid w:val="00A032F8"/>
    <w:rsid w:val="00A66FF6"/>
    <w:rsid w:val="00A91999"/>
    <w:rsid w:val="00AA1441"/>
    <w:rsid w:val="00AA2474"/>
    <w:rsid w:val="00AC25EB"/>
    <w:rsid w:val="00AC6F9F"/>
    <w:rsid w:val="00AC72B4"/>
    <w:rsid w:val="00B14C9F"/>
    <w:rsid w:val="00B1606D"/>
    <w:rsid w:val="00B25760"/>
    <w:rsid w:val="00B6134E"/>
    <w:rsid w:val="00B904C6"/>
    <w:rsid w:val="00B90C39"/>
    <w:rsid w:val="00BA440B"/>
    <w:rsid w:val="00BD5666"/>
    <w:rsid w:val="00BD6771"/>
    <w:rsid w:val="00C14BD5"/>
    <w:rsid w:val="00C466E3"/>
    <w:rsid w:val="00C50D17"/>
    <w:rsid w:val="00C64E87"/>
    <w:rsid w:val="00C9294A"/>
    <w:rsid w:val="00C9671B"/>
    <w:rsid w:val="00CB2D3E"/>
    <w:rsid w:val="00CF7ECD"/>
    <w:rsid w:val="00D163BE"/>
    <w:rsid w:val="00D45E0E"/>
    <w:rsid w:val="00D60E67"/>
    <w:rsid w:val="00DB2A40"/>
    <w:rsid w:val="00DB2C67"/>
    <w:rsid w:val="00DD19B7"/>
    <w:rsid w:val="00DD3341"/>
    <w:rsid w:val="00E016C2"/>
    <w:rsid w:val="00E04FD4"/>
    <w:rsid w:val="00E12B14"/>
    <w:rsid w:val="00E204BA"/>
    <w:rsid w:val="00E451DB"/>
    <w:rsid w:val="00E56415"/>
    <w:rsid w:val="00E95283"/>
    <w:rsid w:val="00EA6C1C"/>
    <w:rsid w:val="00ED64EA"/>
    <w:rsid w:val="00F63BBF"/>
    <w:rsid w:val="00F67941"/>
    <w:rsid w:val="00F707F4"/>
    <w:rsid w:val="00FA1C5C"/>
    <w:rsid w:val="00FA2DCB"/>
    <w:rsid w:val="00FD0AD2"/>
    <w:rsid w:val="00FE5549"/>
    <w:rsid w:val="00FF1649"/>
    <w:rsid w:val="1FDDF8B2"/>
    <w:rsid w:val="23C59468"/>
    <w:rsid w:val="4C2F7B09"/>
    <w:rsid w:val="55805D5F"/>
    <w:rsid w:val="7332A9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1C8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F1649"/>
    <w:pPr>
      <w:spacing w:before="100" w:beforeAutospacing="1" w:after="100" w:afterAutospacing="1" w:line="240" w:lineRule="auto"/>
      <w:outlineLvl w:val="1"/>
    </w:pPr>
    <w:rPr>
      <w:rFonts w:eastAsia="Times New Roman" w:cs="Times New Roman"/>
      <w:b/>
      <w:bCs/>
      <w:sz w:val="36"/>
      <w:szCs w:val="36"/>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1649"/>
    <w:rPr>
      <w:rFonts w:eastAsia="Times New Roman" w:cs="Times New Roman"/>
      <w:b/>
      <w:bCs/>
      <w:sz w:val="36"/>
      <w:szCs w:val="36"/>
      <w:lang w:eastAsia="pl-PL"/>
    </w:rPr>
  </w:style>
  <w:style w:type="paragraph" w:styleId="FootnoteText">
    <w:name w:val="footnote text"/>
    <w:basedOn w:val="Normal"/>
    <w:link w:val="FootnoteTextChar"/>
    <w:uiPriority w:val="99"/>
    <w:semiHidden/>
    <w:unhideWhenUsed/>
    <w:rsid w:val="00B257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5760"/>
    <w:rPr>
      <w:sz w:val="20"/>
      <w:szCs w:val="20"/>
    </w:rPr>
  </w:style>
  <w:style w:type="character" w:styleId="FootnoteReference">
    <w:name w:val="footnote reference"/>
    <w:basedOn w:val="DefaultParagraphFont"/>
    <w:uiPriority w:val="99"/>
    <w:semiHidden/>
    <w:unhideWhenUsed/>
    <w:rsid w:val="00B25760"/>
    <w:rPr>
      <w:vertAlign w:val="superscript"/>
    </w:rPr>
  </w:style>
  <w:style w:type="character" w:styleId="Hyperlink">
    <w:name w:val="Hyperlink"/>
    <w:basedOn w:val="DefaultParagraphFont"/>
    <w:uiPriority w:val="99"/>
    <w:unhideWhenUsed/>
    <w:rsid w:val="00B25760"/>
    <w:rPr>
      <w:color w:val="0563C1" w:themeColor="hyperlink"/>
      <w:u w:val="single"/>
    </w:rPr>
  </w:style>
  <w:style w:type="character" w:styleId="UnresolvedMention">
    <w:name w:val="Unresolved Mention"/>
    <w:basedOn w:val="DefaultParagraphFont"/>
    <w:uiPriority w:val="99"/>
    <w:semiHidden/>
    <w:unhideWhenUsed/>
    <w:rsid w:val="00B25760"/>
    <w:rPr>
      <w:color w:val="605E5C"/>
      <w:shd w:val="clear" w:color="auto" w:fill="E1DFDD"/>
    </w:rPr>
  </w:style>
  <w:style w:type="paragraph" w:styleId="ListParagraph">
    <w:name w:val="List Paragraph"/>
    <w:basedOn w:val="Normal"/>
    <w:uiPriority w:val="34"/>
    <w:qFormat/>
    <w:rsid w:val="00920ADD"/>
    <w:pPr>
      <w:ind w:left="720"/>
      <w:contextualSpacing/>
    </w:pPr>
  </w:style>
  <w:style w:type="character" w:styleId="CommentReference">
    <w:name w:val="annotation reference"/>
    <w:basedOn w:val="DefaultParagraphFont"/>
    <w:uiPriority w:val="99"/>
    <w:semiHidden/>
    <w:unhideWhenUsed/>
    <w:rsid w:val="00FA1C5C"/>
    <w:rPr>
      <w:sz w:val="16"/>
      <w:szCs w:val="16"/>
    </w:rPr>
  </w:style>
  <w:style w:type="paragraph" w:styleId="CommentText">
    <w:name w:val="annotation text"/>
    <w:basedOn w:val="Normal"/>
    <w:link w:val="CommentTextChar"/>
    <w:uiPriority w:val="99"/>
    <w:unhideWhenUsed/>
    <w:rsid w:val="00FA1C5C"/>
    <w:pPr>
      <w:spacing w:line="240" w:lineRule="auto"/>
    </w:pPr>
    <w:rPr>
      <w:sz w:val="20"/>
      <w:szCs w:val="20"/>
    </w:rPr>
  </w:style>
  <w:style w:type="character" w:customStyle="1" w:styleId="CommentTextChar">
    <w:name w:val="Comment Text Char"/>
    <w:basedOn w:val="DefaultParagraphFont"/>
    <w:link w:val="CommentText"/>
    <w:uiPriority w:val="99"/>
    <w:rsid w:val="00FA1C5C"/>
    <w:rPr>
      <w:sz w:val="20"/>
      <w:szCs w:val="20"/>
    </w:rPr>
  </w:style>
  <w:style w:type="paragraph" w:styleId="CommentSubject">
    <w:name w:val="annotation subject"/>
    <w:basedOn w:val="CommentText"/>
    <w:next w:val="CommentText"/>
    <w:link w:val="CommentSubjectChar"/>
    <w:uiPriority w:val="99"/>
    <w:semiHidden/>
    <w:unhideWhenUsed/>
    <w:rsid w:val="00FA1C5C"/>
    <w:rPr>
      <w:b/>
      <w:bCs/>
    </w:rPr>
  </w:style>
  <w:style w:type="character" w:customStyle="1" w:styleId="CommentSubjectChar">
    <w:name w:val="Comment Subject Char"/>
    <w:basedOn w:val="CommentTextChar"/>
    <w:link w:val="CommentSubject"/>
    <w:uiPriority w:val="99"/>
    <w:semiHidden/>
    <w:rsid w:val="00FA1C5C"/>
    <w:rPr>
      <w:b/>
      <w:bCs/>
      <w:sz w:val="20"/>
      <w:szCs w:val="20"/>
    </w:rPr>
  </w:style>
  <w:style w:type="paragraph" w:styleId="Revision">
    <w:name w:val="Revision"/>
    <w:hidden/>
    <w:uiPriority w:val="99"/>
    <w:semiHidden/>
    <w:rsid w:val="00FE5549"/>
    <w:pPr>
      <w:spacing w:after="0" w:line="240" w:lineRule="auto"/>
    </w:pPr>
  </w:style>
  <w:style w:type="paragraph" w:styleId="Header">
    <w:name w:val="header"/>
    <w:basedOn w:val="Normal"/>
    <w:link w:val="HeaderChar"/>
    <w:uiPriority w:val="99"/>
    <w:unhideWhenUsed/>
    <w:rsid w:val="000F270F"/>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270F"/>
  </w:style>
  <w:style w:type="paragraph" w:styleId="Footer">
    <w:name w:val="footer"/>
    <w:basedOn w:val="Normal"/>
    <w:link w:val="FooterChar"/>
    <w:uiPriority w:val="99"/>
    <w:unhideWhenUsed/>
    <w:rsid w:val="000F270F"/>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2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7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3.png@01D828A6.25E9534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iurorzecznika@brpo.gov.p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bip.brpo.gov.pl/pl" TargetMode="External"/><Relationship Id="rId13" Type="http://schemas.openxmlformats.org/officeDocument/2006/relationships/hyperlink" Target="https://bip.brpo.gov.pl/pl/content/rpo-sady-migranci-strzezone-osrodki-rodziny-dzieci" TargetMode="External"/><Relationship Id="rId18" Type="http://schemas.openxmlformats.org/officeDocument/2006/relationships/hyperlink" Target="https://documents-dds-ny.un.org/doc/UNDOC/GEN/N22/428/94/PDF/N2242894.pdf?OpenElement" TargetMode="External"/><Relationship Id="rId3" Type="http://schemas.openxmlformats.org/officeDocument/2006/relationships/hyperlink" Target="https://isap.sejm.gov.pl/isap.nsf/DocDetails.xsp?id=WDU20220000583" TargetMode="External"/><Relationship Id="rId7" Type="http://schemas.openxmlformats.org/officeDocument/2006/relationships/hyperlink" Target="https://bip.brpo.gov.pl/pl/content/rpo-ukraina-uchodzcy-systemowa-ochrona-grup-wrazliwych-mswia-odpowiedz" TargetMode="External"/><Relationship Id="rId12" Type="http://schemas.openxmlformats.org/officeDocument/2006/relationships/hyperlink" Target="https://bip.brpo.gov.pl/pl/content/wsa-rpo-pushbacki-sprzecznosc-prawo-polskie-miedzynarodowe-uzasadnienie" TargetMode="External"/><Relationship Id="rId17" Type="http://schemas.openxmlformats.org/officeDocument/2006/relationships/hyperlink" Target="https://oko.press/smiertelne-zniwo-push-backow-na-granicy-z-bialorusia-znaleziono-ciala-az-4-migrantow" TargetMode="External"/><Relationship Id="rId2" Type="http://schemas.openxmlformats.org/officeDocument/2006/relationships/hyperlink" Target="https://www.consilium.europa.eu/en/press/press-releases/2022/03/04/ukraine-council-introduces-temporary-protection-for-persons-fleeing-the-war/" TargetMode="External"/><Relationship Id="rId16" Type="http://schemas.openxmlformats.org/officeDocument/2006/relationships/hyperlink" Target="https://academic.oup.com/rsq/advance-article/doi/10.1093/rsq/hdac025/6662333" TargetMode="External"/><Relationship Id="rId1" Type="http://schemas.openxmlformats.org/officeDocument/2006/relationships/hyperlink" Target="https://www.strazgraniczna.pl/pl/aktualnosci/11135,Rok-2022-w-Strazy-Granicznej.html" TargetMode="External"/><Relationship Id="rId6" Type="http://schemas.openxmlformats.org/officeDocument/2006/relationships/hyperlink" Target="https://bip.brpo.gov.pl/pl/content/rpo-przemysl-dworzec-uchodzcy-ukraina-romowie-wojewoda-odpowiedz" TargetMode="External"/><Relationship Id="rId11" Type="http://schemas.openxmlformats.org/officeDocument/2006/relationships/hyperlink" Target="https://bip.brpo.gov.pl/pl/content/RPO-wstrzymac-stosowanie-push-backow-granica-bialorus" TargetMode="External"/><Relationship Id="rId5" Type="http://schemas.openxmlformats.org/officeDocument/2006/relationships/hyperlink" Target="https://bip.brpo.gov.pl/pl/content/rpo-ukraina-uchodzcy-ustawa-zmiana-opinia-mswia-odpowiedz" TargetMode="External"/><Relationship Id="rId15" Type="http://schemas.openxmlformats.org/officeDocument/2006/relationships/hyperlink" Target="https://bip.brpo.gov.pl/pl/content/rpo-senat-ustawa-granica-panstwowa-uwagi" TargetMode="External"/><Relationship Id="rId10" Type="http://schemas.openxmlformats.org/officeDocument/2006/relationships/hyperlink" Target="https://academic.oup.com/rsq/advance-article/doi/10.1093/rsq/hdac025/6662333" TargetMode="External"/><Relationship Id="rId4" Type="http://schemas.openxmlformats.org/officeDocument/2006/relationships/hyperlink" Target="https://bip.brpo.gov.pl/pl/content/rpo-uwagi-doustawy-o-pomocy-obywatelom-ukrainy-marcin-wiacek-senat" TargetMode="External"/><Relationship Id="rId9" Type="http://schemas.openxmlformats.org/officeDocument/2006/relationships/hyperlink" Target="https://www.ohchr.org/sites/default/files/2022-04/PolandNHRISubmission.pdf" TargetMode="External"/><Relationship Id="rId14" Type="http://schemas.openxmlformats.org/officeDocument/2006/relationships/hyperlink" Target="https://bip.brpo.gov.pl/pl/content/stan-wyjatkowy-rpo-ma-watpliwosci-ws-ograniczen-pracy-dziennikarzy-oraz-dostepu-d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A r r a y O f D o c u m e n t L i n k   x m l n s : x s d = " h t t p : / / w w w . w 3 . o r g / 2 0 0 1 / X M L S c h e m a "   x m l n s : x s i = " h t t p : / / w w w . w 3 . o r g / 2 0 0 1 / X M L S c h e m a - i n s t a n c e " / > 
</file>

<file path=customXml/item4.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252D8-F55B-4009-AF26-1D388BCDA8C0}"/>
</file>

<file path=customXml/itemProps2.xml><?xml version="1.0" encoding="utf-8"?>
<ds:datastoreItem xmlns:ds="http://schemas.openxmlformats.org/officeDocument/2006/customXml" ds:itemID="{6A95CBFD-2A17-4E03-86E5-091E30418F04}"/>
</file>

<file path=customXml/itemProps3.xml><?xml version="1.0" encoding="utf-8"?>
<ds:datastoreItem xmlns:ds="http://schemas.openxmlformats.org/officeDocument/2006/customXml" ds:itemID="{85840E79-371F-46D0-8107-747FF4D73D06}"/>
</file>

<file path=customXml/itemProps4.xml><?xml version="1.0" encoding="utf-8"?>
<ds:datastoreItem xmlns:ds="http://schemas.openxmlformats.org/officeDocument/2006/customXml" ds:itemID="{29C8779E-E161-4BC3-A41A-ED29C96A531E}"/>
</file>

<file path=customXml/itemProps5.xml><?xml version="1.0" encoding="utf-8"?>
<ds:datastoreItem xmlns:ds="http://schemas.openxmlformats.org/officeDocument/2006/customXml" ds:itemID="{9E17E04E-EA58-4D7A-AA9D-6648FF29DA4F}"/>
</file>

<file path=docProps/app.xml><?xml version="1.0" encoding="utf-8"?>
<Properties xmlns="http://schemas.openxmlformats.org/officeDocument/2006/extended-properties" xmlns:vt="http://schemas.openxmlformats.org/officeDocument/2006/docPropsVTypes">
  <Template>Normal.dotm</Template>
  <TotalTime>0</TotalTime>
  <Pages>5</Pages>
  <Words>1935</Words>
  <Characters>11036</Characters>
  <Application>Microsoft Office Word</Application>
  <DocSecurity>0</DocSecurity>
  <Lines>91</Lines>
  <Paragraphs>25</Paragraphs>
  <ScaleCrop>false</ScaleCrop>
  <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2023-02-14T12:14:00Z</dcterms:created>
  <dcterms:modified xsi:type="dcterms:W3CDTF">2023-02-24T11:42:00Z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