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1149" w14:textId="4776ED9E" w:rsidR="005F7CB8" w:rsidRPr="007B2F27" w:rsidRDefault="005F7CB8" w:rsidP="005F7CB8">
      <w:pPr>
        <w:jc w:val="center"/>
        <w:rPr>
          <w:rFonts w:ascii="Calibri" w:eastAsia="Calibri" w:hAnsi="Calibri" w:cs="Calibri"/>
          <w:color w:val="000000" w:themeColor="text1"/>
        </w:rPr>
      </w:pPr>
      <w:r w:rsidRPr="007B2F27">
        <w:rPr>
          <w:rFonts w:ascii="Calibri" w:eastAsia="Calibri" w:hAnsi="Calibri" w:cs="Calibri"/>
          <w:b/>
          <w:bCs/>
          <w:color w:val="000000" w:themeColor="text1"/>
        </w:rPr>
        <w:t>H</w:t>
      </w:r>
      <w:r w:rsidR="572BE54F" w:rsidRPr="007B2F27">
        <w:rPr>
          <w:rFonts w:ascii="Calibri" w:eastAsia="Calibri" w:hAnsi="Calibri" w:cs="Calibri"/>
          <w:b/>
          <w:bCs/>
          <w:color w:val="000000" w:themeColor="text1"/>
        </w:rPr>
        <w:t>ow to expand and diversify regularization mechanisms and programs to enhance the protection of the human rights of migrants in irregular situations</w:t>
      </w:r>
    </w:p>
    <w:p w14:paraId="50B31D6A" w14:textId="6CC90D55" w:rsidR="572BE54F" w:rsidRDefault="005F7CB8" w:rsidP="005F7CB8">
      <w:pPr>
        <w:jc w:val="center"/>
        <w:rPr>
          <w:rFonts w:ascii="Calibri" w:eastAsia="Calibri" w:hAnsi="Calibri" w:cs="Calibri"/>
          <w:color w:val="000000" w:themeColor="text1"/>
        </w:rPr>
      </w:pPr>
      <w:r w:rsidRPr="007B2F27">
        <w:rPr>
          <w:rFonts w:ascii="Calibri" w:eastAsia="Calibri" w:hAnsi="Calibri" w:cs="Calibri"/>
          <w:b/>
          <w:bCs/>
          <w:color w:val="00B0F0"/>
        </w:rPr>
        <w:t>UNICEF submission to the report of the Special Rapporteur on the Human Rights of Migrants</w:t>
      </w:r>
      <w:r w:rsidRPr="007B2F27">
        <w:rPr>
          <w:rFonts w:ascii="Calibri" w:eastAsia="Calibri" w:hAnsi="Calibri" w:cs="Calibri"/>
          <w:color w:val="00B0F0"/>
        </w:rPr>
        <w:t xml:space="preserve"> </w:t>
      </w:r>
      <w:r w:rsidR="007B2F27">
        <w:rPr>
          <w:rFonts w:ascii="Calibri" w:eastAsia="Calibri" w:hAnsi="Calibri" w:cs="Calibri"/>
          <w:color w:val="000000" w:themeColor="text1"/>
        </w:rPr>
        <w:br/>
      </w:r>
      <w:r w:rsidR="00F31880">
        <w:rPr>
          <w:rFonts w:ascii="Calibri" w:eastAsia="Calibri" w:hAnsi="Calibri" w:cs="Calibri"/>
          <w:color w:val="000000" w:themeColor="text1"/>
        </w:rPr>
        <w:br/>
      </w:r>
      <w:r w:rsidR="00356B8F">
        <w:rPr>
          <w:rFonts w:ascii="Calibri" w:eastAsia="Calibri" w:hAnsi="Calibri" w:cs="Calibri"/>
          <w:color w:val="000000" w:themeColor="text1"/>
        </w:rPr>
        <w:t xml:space="preserve">15 </w:t>
      </w:r>
      <w:r>
        <w:rPr>
          <w:rFonts w:ascii="Calibri" w:eastAsia="Calibri" w:hAnsi="Calibri" w:cs="Calibri"/>
          <w:color w:val="000000" w:themeColor="text1"/>
        </w:rPr>
        <w:t>February 2023</w:t>
      </w:r>
      <w:r w:rsidR="572BE54F">
        <w:br/>
      </w:r>
    </w:p>
    <w:tbl>
      <w:tblPr>
        <w:tblStyle w:val="TableGrid"/>
        <w:tblW w:w="0" w:type="auto"/>
        <w:tblLayout w:type="fixed"/>
        <w:tblLook w:val="06A0" w:firstRow="1" w:lastRow="0" w:firstColumn="1" w:lastColumn="0" w:noHBand="1" w:noVBand="1"/>
      </w:tblPr>
      <w:tblGrid>
        <w:gridCol w:w="9360"/>
      </w:tblGrid>
      <w:tr w:rsidR="57194874" w14:paraId="56279328" w14:textId="77777777" w:rsidTr="57194874">
        <w:trPr>
          <w:trHeight w:val="300"/>
        </w:trPr>
        <w:tc>
          <w:tcPr>
            <w:tcW w:w="9360" w:type="dxa"/>
            <w:shd w:val="clear" w:color="auto" w:fill="DEEAF6" w:themeFill="accent5" w:themeFillTint="33"/>
          </w:tcPr>
          <w:p w14:paraId="21F1FDC1" w14:textId="23577BC7" w:rsidR="141B4958" w:rsidRDefault="141B4958" w:rsidP="57194874">
            <w:pPr>
              <w:rPr>
                <w:rFonts w:ascii="Calibri" w:eastAsia="Calibri" w:hAnsi="Calibri" w:cs="Calibri"/>
                <w:color w:val="000000" w:themeColor="text1"/>
              </w:rPr>
            </w:pPr>
            <w:r w:rsidRPr="57194874">
              <w:rPr>
                <w:rFonts w:ascii="Calibri" w:eastAsia="Calibri" w:hAnsi="Calibri" w:cs="Calibri"/>
                <w:color w:val="000000" w:themeColor="text1"/>
              </w:rPr>
              <w:t xml:space="preserve">1. Please indicate </w:t>
            </w:r>
            <w:r w:rsidRPr="002B03D0">
              <w:rPr>
                <w:rFonts w:ascii="Calibri" w:eastAsia="Calibri" w:hAnsi="Calibri" w:cs="Calibri"/>
                <w:color w:val="000000" w:themeColor="text1"/>
              </w:rPr>
              <w:t>how can regularization processes facilitate the enjoyment of human rights by migrants as well as their cultural, social and economic integration into the host communities</w:t>
            </w:r>
          </w:p>
        </w:tc>
      </w:tr>
    </w:tbl>
    <w:p w14:paraId="425C78ED" w14:textId="77777777" w:rsidR="00ED181D" w:rsidRDefault="002F07C3" w:rsidP="74E5CDFF">
      <w:pPr>
        <w:rPr>
          <w:rFonts w:ascii="Calibri" w:eastAsia="Calibri" w:hAnsi="Calibri" w:cs="Calibri"/>
          <w:color w:val="000000" w:themeColor="text1"/>
        </w:rPr>
      </w:pPr>
      <w:r>
        <w:rPr>
          <w:rFonts w:ascii="Calibri" w:eastAsia="Calibri" w:hAnsi="Calibri" w:cs="Calibri"/>
          <w:color w:val="000000" w:themeColor="text1"/>
        </w:rPr>
        <w:br/>
      </w:r>
      <w:r w:rsidR="006D79D5">
        <w:rPr>
          <w:rFonts w:ascii="Calibri" w:eastAsia="Calibri" w:hAnsi="Calibri" w:cs="Calibri"/>
          <w:color w:val="000000" w:themeColor="text1"/>
        </w:rPr>
        <w:t xml:space="preserve">UNICEF emphasizes that migrant children – irrespective of what caused or motivated their migration and irrespective of their legal status or nationality – are, first and foremost, children. </w:t>
      </w:r>
      <w:r w:rsidR="00437293">
        <w:rPr>
          <w:rFonts w:ascii="Calibri" w:eastAsia="Calibri" w:hAnsi="Calibri" w:cs="Calibri"/>
          <w:color w:val="000000" w:themeColor="text1"/>
        </w:rPr>
        <w:t>As children and as migrants, they face serious risks at every stage of the migration process – poverty, discrimination, language barriers, social marginalization, violence, abuse, and exploitation</w:t>
      </w:r>
      <w:r w:rsidR="00271C37">
        <w:rPr>
          <w:rFonts w:ascii="Calibri" w:eastAsia="Calibri" w:hAnsi="Calibri" w:cs="Calibri"/>
          <w:color w:val="000000" w:themeColor="text1"/>
        </w:rPr>
        <w:t>, among others</w:t>
      </w:r>
      <w:r w:rsidR="00437293">
        <w:rPr>
          <w:rFonts w:ascii="Calibri" w:eastAsia="Calibri" w:hAnsi="Calibri" w:cs="Calibri"/>
          <w:color w:val="000000" w:themeColor="text1"/>
        </w:rPr>
        <w:t>.</w:t>
      </w:r>
      <w:r w:rsidR="00106DCE">
        <w:rPr>
          <w:rStyle w:val="EndnoteReference"/>
          <w:rFonts w:ascii="Calibri" w:eastAsia="Calibri" w:hAnsi="Calibri" w:cs="Calibri"/>
          <w:color w:val="000000" w:themeColor="text1"/>
        </w:rPr>
        <w:endnoteReference w:id="1"/>
      </w:r>
      <w:r w:rsidR="00437293">
        <w:rPr>
          <w:rFonts w:ascii="Calibri" w:eastAsia="Calibri" w:hAnsi="Calibri" w:cs="Calibri"/>
          <w:color w:val="000000" w:themeColor="text1"/>
        </w:rPr>
        <w:t xml:space="preserve"> </w:t>
      </w:r>
    </w:p>
    <w:p w14:paraId="5E58B3B8" w14:textId="692DFA97" w:rsidR="004A7BCA" w:rsidRPr="0049084C" w:rsidRDefault="00A13170" w:rsidP="74E5CDFF">
      <w:pPr>
        <w:rPr>
          <w:rFonts w:ascii="Calibri" w:eastAsia="Calibri" w:hAnsi="Calibri" w:cs="Calibri"/>
          <w:color w:val="000000" w:themeColor="text1"/>
        </w:rPr>
      </w:pPr>
      <w:r w:rsidRPr="0049084C">
        <w:rPr>
          <w:rFonts w:ascii="Calibri" w:eastAsia="Calibri" w:hAnsi="Calibri" w:cs="Calibri"/>
          <w:b/>
          <w:bCs/>
          <w:color w:val="000000" w:themeColor="text1"/>
        </w:rPr>
        <w:t>L</w:t>
      </w:r>
      <w:r w:rsidR="00C966DB" w:rsidRPr="0049084C">
        <w:rPr>
          <w:rFonts w:ascii="Calibri" w:eastAsia="Calibri" w:hAnsi="Calibri" w:cs="Calibri"/>
          <w:b/>
          <w:bCs/>
          <w:color w:val="000000" w:themeColor="text1"/>
        </w:rPr>
        <w:t xml:space="preserve">iving </w:t>
      </w:r>
      <w:r w:rsidRPr="0049084C">
        <w:rPr>
          <w:rFonts w:ascii="Calibri" w:eastAsia="Calibri" w:hAnsi="Calibri" w:cs="Calibri"/>
          <w:b/>
          <w:bCs/>
          <w:color w:val="000000" w:themeColor="text1"/>
        </w:rPr>
        <w:t>without regular migration status</w:t>
      </w:r>
      <w:r w:rsidR="00F31359" w:rsidRPr="0049084C">
        <w:rPr>
          <w:rFonts w:ascii="Calibri" w:eastAsia="Calibri" w:hAnsi="Calibri" w:cs="Calibri"/>
          <w:b/>
          <w:bCs/>
          <w:color w:val="000000" w:themeColor="text1"/>
        </w:rPr>
        <w:t xml:space="preserve"> exacerbates these risks</w:t>
      </w:r>
      <w:r w:rsidR="00271C37" w:rsidRPr="0049084C">
        <w:rPr>
          <w:rFonts w:ascii="Calibri" w:eastAsia="Calibri" w:hAnsi="Calibri" w:cs="Calibri"/>
          <w:b/>
          <w:bCs/>
          <w:color w:val="000000" w:themeColor="text1"/>
        </w:rPr>
        <w:t xml:space="preserve"> and leaves</w:t>
      </w:r>
      <w:r w:rsidR="00F31359" w:rsidRPr="0049084C">
        <w:rPr>
          <w:rFonts w:ascii="Calibri" w:eastAsia="Calibri" w:hAnsi="Calibri" w:cs="Calibri"/>
          <w:b/>
          <w:bCs/>
          <w:color w:val="000000" w:themeColor="text1"/>
        </w:rPr>
        <w:t xml:space="preserve"> </w:t>
      </w:r>
      <w:r w:rsidR="004A7BCA" w:rsidRPr="0049084C">
        <w:rPr>
          <w:rFonts w:ascii="Calibri" w:eastAsia="Calibri" w:hAnsi="Calibri" w:cs="Calibri"/>
          <w:b/>
          <w:bCs/>
          <w:color w:val="000000" w:themeColor="text1"/>
        </w:rPr>
        <w:t>migrant</w:t>
      </w:r>
      <w:r w:rsidRPr="0049084C">
        <w:rPr>
          <w:rFonts w:ascii="Calibri" w:eastAsia="Calibri" w:hAnsi="Calibri" w:cs="Calibri"/>
          <w:b/>
          <w:bCs/>
          <w:color w:val="000000" w:themeColor="text1"/>
        </w:rPr>
        <w:t xml:space="preserve"> children </w:t>
      </w:r>
      <w:r w:rsidR="004A7BCA" w:rsidRPr="0049084C">
        <w:rPr>
          <w:rFonts w:ascii="Calibri" w:eastAsia="Calibri" w:hAnsi="Calibri" w:cs="Calibri"/>
          <w:b/>
          <w:bCs/>
          <w:color w:val="000000" w:themeColor="text1"/>
        </w:rPr>
        <w:t xml:space="preserve">and their families </w:t>
      </w:r>
      <w:r w:rsidR="00C966DB" w:rsidRPr="0049084C">
        <w:rPr>
          <w:rFonts w:ascii="Calibri" w:eastAsia="Calibri" w:hAnsi="Calibri" w:cs="Calibri"/>
          <w:b/>
          <w:bCs/>
          <w:color w:val="000000" w:themeColor="text1"/>
        </w:rPr>
        <w:t xml:space="preserve">in </w:t>
      </w:r>
      <w:r w:rsidRPr="0049084C">
        <w:rPr>
          <w:rFonts w:ascii="Calibri" w:eastAsia="Calibri" w:hAnsi="Calibri" w:cs="Calibri"/>
          <w:b/>
          <w:bCs/>
          <w:color w:val="000000" w:themeColor="text1"/>
        </w:rPr>
        <w:t xml:space="preserve">a </w:t>
      </w:r>
      <w:r w:rsidR="00D617B1" w:rsidRPr="0049084C">
        <w:rPr>
          <w:rFonts w:ascii="Calibri" w:eastAsia="Calibri" w:hAnsi="Calibri" w:cs="Calibri"/>
          <w:b/>
          <w:bCs/>
          <w:color w:val="000000" w:themeColor="text1"/>
        </w:rPr>
        <w:t xml:space="preserve">legal </w:t>
      </w:r>
      <w:r w:rsidR="00C966DB" w:rsidRPr="0049084C">
        <w:rPr>
          <w:rFonts w:ascii="Calibri" w:eastAsia="Calibri" w:hAnsi="Calibri" w:cs="Calibri"/>
          <w:b/>
          <w:bCs/>
          <w:color w:val="000000" w:themeColor="text1"/>
        </w:rPr>
        <w:t xml:space="preserve">limbo </w:t>
      </w:r>
      <w:r w:rsidRPr="0049084C">
        <w:rPr>
          <w:rFonts w:ascii="Calibri" w:eastAsia="Calibri" w:hAnsi="Calibri" w:cs="Calibri"/>
          <w:b/>
          <w:bCs/>
          <w:color w:val="000000" w:themeColor="text1"/>
        </w:rPr>
        <w:t xml:space="preserve">that affects every dimension of </w:t>
      </w:r>
      <w:r w:rsidR="004A7BCA" w:rsidRPr="0049084C">
        <w:rPr>
          <w:rFonts w:ascii="Calibri" w:eastAsia="Calibri" w:hAnsi="Calibri" w:cs="Calibri"/>
          <w:b/>
          <w:bCs/>
          <w:color w:val="000000" w:themeColor="text1"/>
        </w:rPr>
        <w:t>their</w:t>
      </w:r>
      <w:r w:rsidRPr="0049084C">
        <w:rPr>
          <w:rFonts w:ascii="Calibri" w:eastAsia="Calibri" w:hAnsi="Calibri" w:cs="Calibri"/>
          <w:b/>
          <w:bCs/>
          <w:color w:val="000000" w:themeColor="text1"/>
        </w:rPr>
        <w:t xml:space="preserve"> lives</w:t>
      </w:r>
      <w:r w:rsidR="00271C37" w:rsidRPr="0049084C">
        <w:rPr>
          <w:rFonts w:ascii="Calibri" w:eastAsia="Calibri" w:hAnsi="Calibri" w:cs="Calibri"/>
          <w:color w:val="000000" w:themeColor="text1"/>
        </w:rPr>
        <w:t xml:space="preserve">: </w:t>
      </w:r>
      <w:r w:rsidR="00E804AD" w:rsidRPr="0049084C">
        <w:rPr>
          <w:rFonts w:ascii="Calibri" w:eastAsia="Calibri" w:hAnsi="Calibri" w:cs="Calibri"/>
          <w:b/>
          <w:bCs/>
          <w:color w:val="000000" w:themeColor="text1"/>
        </w:rPr>
        <w:t>Legally</w:t>
      </w:r>
      <w:r w:rsidR="00F775C9" w:rsidRPr="0049084C">
        <w:rPr>
          <w:rFonts w:ascii="Calibri" w:eastAsia="Calibri" w:hAnsi="Calibri" w:cs="Calibri"/>
          <w:color w:val="000000" w:themeColor="text1"/>
        </w:rPr>
        <w:t xml:space="preserve">, </w:t>
      </w:r>
      <w:r w:rsidR="00D617B1" w:rsidRPr="0049084C">
        <w:rPr>
          <w:rFonts w:ascii="Calibri" w:eastAsia="Calibri" w:hAnsi="Calibri" w:cs="Calibri"/>
          <w:color w:val="000000" w:themeColor="text1"/>
        </w:rPr>
        <w:t>it</w:t>
      </w:r>
      <w:r w:rsidR="00F775C9" w:rsidRPr="0049084C">
        <w:rPr>
          <w:rFonts w:ascii="Calibri" w:eastAsia="Calibri" w:hAnsi="Calibri" w:cs="Calibri"/>
          <w:color w:val="000000" w:themeColor="text1"/>
        </w:rPr>
        <w:t xml:space="preserve"> leaves them </w:t>
      </w:r>
      <w:r w:rsidR="00745481" w:rsidRPr="0049084C">
        <w:rPr>
          <w:rFonts w:ascii="Calibri" w:eastAsia="Calibri" w:hAnsi="Calibri" w:cs="Calibri"/>
          <w:color w:val="000000" w:themeColor="text1"/>
        </w:rPr>
        <w:t xml:space="preserve">vulnerable to deportation or detention possibly leading to family separation, </w:t>
      </w:r>
      <w:r w:rsidR="007C6259" w:rsidRPr="0049084C">
        <w:rPr>
          <w:rFonts w:ascii="Calibri" w:eastAsia="Calibri" w:hAnsi="Calibri" w:cs="Calibri"/>
          <w:color w:val="000000" w:themeColor="text1"/>
        </w:rPr>
        <w:t>in fear of</w:t>
      </w:r>
      <w:r w:rsidR="00745481" w:rsidRPr="0049084C">
        <w:rPr>
          <w:rFonts w:ascii="Calibri" w:eastAsia="Calibri" w:hAnsi="Calibri" w:cs="Calibri"/>
          <w:color w:val="000000" w:themeColor="text1"/>
        </w:rPr>
        <w:t xml:space="preserve"> law enforcement and the justice system</w:t>
      </w:r>
      <w:r w:rsidR="007C6259" w:rsidRPr="0049084C">
        <w:rPr>
          <w:rFonts w:ascii="Calibri" w:eastAsia="Calibri" w:hAnsi="Calibri" w:cs="Calibri"/>
          <w:color w:val="000000" w:themeColor="text1"/>
        </w:rPr>
        <w:t xml:space="preserve"> </w:t>
      </w:r>
      <w:r w:rsidR="00137649" w:rsidRPr="0049084C">
        <w:rPr>
          <w:rFonts w:ascii="Calibri" w:eastAsia="Calibri" w:hAnsi="Calibri" w:cs="Calibri"/>
          <w:color w:val="000000" w:themeColor="text1"/>
        </w:rPr>
        <w:t>(</w:t>
      </w:r>
      <w:r w:rsidR="007C6259" w:rsidRPr="0049084C">
        <w:rPr>
          <w:rFonts w:ascii="Calibri" w:eastAsia="Calibri" w:hAnsi="Calibri" w:cs="Calibri"/>
          <w:color w:val="000000" w:themeColor="text1"/>
        </w:rPr>
        <w:t>and therefore less protected</w:t>
      </w:r>
      <w:r w:rsidR="00137649" w:rsidRPr="0049084C">
        <w:rPr>
          <w:rFonts w:ascii="Calibri" w:eastAsia="Calibri" w:hAnsi="Calibri" w:cs="Calibri"/>
          <w:color w:val="000000" w:themeColor="text1"/>
        </w:rPr>
        <w:t>)</w:t>
      </w:r>
      <w:r w:rsidR="00745481" w:rsidRPr="0049084C">
        <w:rPr>
          <w:rFonts w:ascii="Calibri" w:eastAsia="Calibri" w:hAnsi="Calibri" w:cs="Calibri"/>
          <w:color w:val="000000" w:themeColor="text1"/>
        </w:rPr>
        <w:t xml:space="preserve">, and more </w:t>
      </w:r>
      <w:r w:rsidR="00B36C20" w:rsidRPr="0049084C">
        <w:rPr>
          <w:rFonts w:ascii="Calibri" w:eastAsia="Calibri" w:hAnsi="Calibri" w:cs="Calibri"/>
          <w:color w:val="000000" w:themeColor="text1"/>
        </w:rPr>
        <w:t>likely to be informally</w:t>
      </w:r>
      <w:r w:rsidR="00745481" w:rsidRPr="0049084C">
        <w:rPr>
          <w:rFonts w:ascii="Calibri" w:eastAsia="Calibri" w:hAnsi="Calibri" w:cs="Calibri"/>
          <w:color w:val="000000" w:themeColor="text1"/>
        </w:rPr>
        <w:t xml:space="preserve"> employ</w:t>
      </w:r>
      <w:r w:rsidR="00B36C20" w:rsidRPr="0049084C">
        <w:rPr>
          <w:rFonts w:ascii="Calibri" w:eastAsia="Calibri" w:hAnsi="Calibri" w:cs="Calibri"/>
          <w:color w:val="000000" w:themeColor="text1"/>
        </w:rPr>
        <w:t>ed</w:t>
      </w:r>
      <w:r w:rsidR="00745481" w:rsidRPr="0049084C">
        <w:rPr>
          <w:rFonts w:ascii="Calibri" w:eastAsia="Calibri" w:hAnsi="Calibri" w:cs="Calibri"/>
          <w:color w:val="000000" w:themeColor="text1"/>
        </w:rPr>
        <w:t xml:space="preserve"> – all of which push them into the shadows of society; </w:t>
      </w:r>
      <w:r w:rsidR="00271C37" w:rsidRPr="0049084C">
        <w:rPr>
          <w:rFonts w:ascii="Calibri" w:eastAsia="Calibri" w:hAnsi="Calibri" w:cs="Calibri"/>
          <w:b/>
          <w:bCs/>
          <w:color w:val="000000" w:themeColor="text1"/>
        </w:rPr>
        <w:t>p</w:t>
      </w:r>
      <w:r w:rsidR="00E804AD" w:rsidRPr="0049084C">
        <w:rPr>
          <w:rFonts w:ascii="Calibri" w:eastAsia="Calibri" w:hAnsi="Calibri" w:cs="Calibri"/>
          <w:b/>
          <w:bCs/>
          <w:color w:val="000000" w:themeColor="text1"/>
        </w:rPr>
        <w:t>hysicall</w:t>
      </w:r>
      <w:r w:rsidR="00271C37" w:rsidRPr="0049084C">
        <w:rPr>
          <w:rFonts w:ascii="Calibri" w:eastAsia="Calibri" w:hAnsi="Calibri" w:cs="Calibri"/>
          <w:b/>
          <w:bCs/>
          <w:color w:val="000000" w:themeColor="text1"/>
        </w:rPr>
        <w:t>y</w:t>
      </w:r>
      <w:r w:rsidR="00271C37" w:rsidRPr="0049084C">
        <w:rPr>
          <w:rFonts w:ascii="Calibri" w:eastAsia="Calibri" w:hAnsi="Calibri" w:cs="Calibri"/>
          <w:color w:val="000000" w:themeColor="text1"/>
        </w:rPr>
        <w:t xml:space="preserve">, </w:t>
      </w:r>
      <w:r w:rsidR="00F775C9" w:rsidRPr="0049084C">
        <w:rPr>
          <w:rFonts w:ascii="Calibri" w:eastAsia="Calibri" w:hAnsi="Calibri" w:cs="Calibri"/>
          <w:color w:val="000000" w:themeColor="text1"/>
        </w:rPr>
        <w:t>it</w:t>
      </w:r>
      <w:r w:rsidR="00271C37" w:rsidRPr="0049084C">
        <w:rPr>
          <w:rFonts w:ascii="Calibri" w:eastAsia="Calibri" w:hAnsi="Calibri" w:cs="Calibri"/>
          <w:color w:val="000000" w:themeColor="text1"/>
        </w:rPr>
        <w:t xml:space="preserve"> limits </w:t>
      </w:r>
      <w:r w:rsidR="00F775C9" w:rsidRPr="0049084C">
        <w:rPr>
          <w:rFonts w:ascii="Calibri" w:eastAsia="Calibri" w:hAnsi="Calibri" w:cs="Calibri"/>
          <w:color w:val="000000" w:themeColor="text1"/>
        </w:rPr>
        <w:t xml:space="preserve">their </w:t>
      </w:r>
      <w:r w:rsidR="00271C37" w:rsidRPr="0049084C">
        <w:rPr>
          <w:rFonts w:ascii="Calibri" w:eastAsia="Calibri" w:hAnsi="Calibri" w:cs="Calibri"/>
          <w:color w:val="000000" w:themeColor="text1"/>
        </w:rPr>
        <w:t xml:space="preserve">access to health services and adequate living conditions; </w:t>
      </w:r>
      <w:r w:rsidR="00271C37" w:rsidRPr="0049084C">
        <w:rPr>
          <w:rFonts w:ascii="Calibri" w:eastAsia="Calibri" w:hAnsi="Calibri" w:cs="Calibri"/>
          <w:b/>
          <w:bCs/>
          <w:color w:val="000000" w:themeColor="text1"/>
        </w:rPr>
        <w:t>p</w:t>
      </w:r>
      <w:r w:rsidR="00E804AD" w:rsidRPr="0049084C">
        <w:rPr>
          <w:rFonts w:ascii="Calibri" w:eastAsia="Calibri" w:hAnsi="Calibri" w:cs="Calibri"/>
          <w:b/>
          <w:bCs/>
          <w:color w:val="000000" w:themeColor="text1"/>
        </w:rPr>
        <w:t>sychologically</w:t>
      </w:r>
      <w:r w:rsidR="00E804AD" w:rsidRPr="0049084C">
        <w:rPr>
          <w:rFonts w:ascii="Calibri" w:eastAsia="Calibri" w:hAnsi="Calibri" w:cs="Calibri"/>
          <w:color w:val="000000" w:themeColor="text1"/>
        </w:rPr>
        <w:t>,</w:t>
      </w:r>
      <w:r w:rsidR="00C966DB" w:rsidRPr="0049084C">
        <w:rPr>
          <w:rFonts w:ascii="Calibri" w:eastAsia="Calibri" w:hAnsi="Calibri" w:cs="Calibri"/>
          <w:color w:val="000000" w:themeColor="text1"/>
        </w:rPr>
        <w:t xml:space="preserve"> </w:t>
      </w:r>
      <w:r w:rsidR="00F775C9" w:rsidRPr="0049084C">
        <w:rPr>
          <w:rFonts w:ascii="Calibri" w:eastAsia="Calibri" w:hAnsi="Calibri" w:cs="Calibri"/>
          <w:color w:val="000000" w:themeColor="text1"/>
        </w:rPr>
        <w:t>it keeps</w:t>
      </w:r>
      <w:r w:rsidR="00271C37" w:rsidRPr="0049084C">
        <w:rPr>
          <w:rFonts w:ascii="Calibri" w:eastAsia="Calibri" w:hAnsi="Calibri" w:cs="Calibri"/>
          <w:color w:val="000000" w:themeColor="text1"/>
        </w:rPr>
        <w:t xml:space="preserve"> them in a </w:t>
      </w:r>
      <w:r w:rsidR="0010211F" w:rsidRPr="0049084C">
        <w:rPr>
          <w:rFonts w:ascii="Calibri" w:eastAsia="Calibri" w:hAnsi="Calibri" w:cs="Calibri"/>
          <w:color w:val="000000" w:themeColor="text1"/>
        </w:rPr>
        <w:t xml:space="preserve">constant </w:t>
      </w:r>
      <w:r w:rsidR="00271C37" w:rsidRPr="0049084C">
        <w:rPr>
          <w:rFonts w:ascii="Calibri" w:eastAsia="Calibri" w:hAnsi="Calibri" w:cs="Calibri"/>
          <w:color w:val="000000" w:themeColor="text1"/>
        </w:rPr>
        <w:t>state of</w:t>
      </w:r>
      <w:r w:rsidR="0005343F" w:rsidRPr="0049084C">
        <w:rPr>
          <w:rFonts w:ascii="Calibri" w:eastAsia="Calibri" w:hAnsi="Calibri" w:cs="Calibri"/>
          <w:color w:val="000000" w:themeColor="text1"/>
        </w:rPr>
        <w:t xml:space="preserve"> </w:t>
      </w:r>
      <w:r w:rsidR="0010211F" w:rsidRPr="0049084C">
        <w:rPr>
          <w:rFonts w:ascii="Calibri" w:eastAsia="Calibri" w:hAnsi="Calibri" w:cs="Calibri"/>
          <w:color w:val="000000" w:themeColor="text1"/>
        </w:rPr>
        <w:t xml:space="preserve">worry about </w:t>
      </w:r>
      <w:r w:rsidR="00FC023D" w:rsidRPr="0049084C">
        <w:rPr>
          <w:rFonts w:ascii="Calibri" w:eastAsia="Calibri" w:hAnsi="Calibri" w:cs="Calibri"/>
          <w:color w:val="000000" w:themeColor="text1"/>
        </w:rPr>
        <w:t>immigration enforcemen</w:t>
      </w:r>
      <w:r w:rsidR="003337B8" w:rsidRPr="0049084C">
        <w:rPr>
          <w:rFonts w:ascii="Calibri" w:eastAsia="Calibri" w:hAnsi="Calibri" w:cs="Calibri"/>
          <w:color w:val="000000" w:themeColor="text1"/>
        </w:rPr>
        <w:t xml:space="preserve">t </w:t>
      </w:r>
      <w:r w:rsidR="00F775C9" w:rsidRPr="0049084C">
        <w:rPr>
          <w:rFonts w:ascii="Calibri" w:eastAsia="Calibri" w:hAnsi="Calibri" w:cs="Calibri"/>
          <w:color w:val="000000" w:themeColor="text1"/>
        </w:rPr>
        <w:t>and/</w:t>
      </w:r>
      <w:r w:rsidR="003337B8" w:rsidRPr="0049084C">
        <w:rPr>
          <w:rFonts w:ascii="Calibri" w:eastAsia="Calibri" w:hAnsi="Calibri" w:cs="Calibri"/>
          <w:color w:val="000000" w:themeColor="text1"/>
        </w:rPr>
        <w:t>or family separation and suspended in</w:t>
      </w:r>
      <w:r w:rsidR="00FC023D" w:rsidRPr="0049084C">
        <w:rPr>
          <w:rFonts w:ascii="Calibri" w:eastAsia="Calibri" w:hAnsi="Calibri" w:cs="Calibri"/>
          <w:color w:val="000000" w:themeColor="text1"/>
        </w:rPr>
        <w:t xml:space="preserve"> uncertainty about the future</w:t>
      </w:r>
      <w:r w:rsidR="00271C37" w:rsidRPr="0049084C">
        <w:rPr>
          <w:rFonts w:ascii="Calibri" w:eastAsia="Calibri" w:hAnsi="Calibri" w:cs="Calibri"/>
          <w:color w:val="000000" w:themeColor="text1"/>
        </w:rPr>
        <w:t xml:space="preserve">; and </w:t>
      </w:r>
      <w:r w:rsidR="00271C37" w:rsidRPr="0049084C">
        <w:rPr>
          <w:rFonts w:ascii="Calibri" w:eastAsia="Calibri" w:hAnsi="Calibri" w:cs="Calibri"/>
          <w:b/>
          <w:bCs/>
          <w:color w:val="000000" w:themeColor="text1"/>
        </w:rPr>
        <w:t>practically</w:t>
      </w:r>
      <w:r w:rsidR="00271C37" w:rsidRPr="0049084C">
        <w:rPr>
          <w:rFonts w:ascii="Calibri" w:eastAsia="Calibri" w:hAnsi="Calibri" w:cs="Calibri"/>
          <w:color w:val="000000" w:themeColor="text1"/>
        </w:rPr>
        <w:t xml:space="preserve">, </w:t>
      </w:r>
      <w:r w:rsidR="006B3EFD" w:rsidRPr="0049084C">
        <w:rPr>
          <w:rFonts w:ascii="Calibri" w:eastAsia="Calibri" w:hAnsi="Calibri" w:cs="Calibri"/>
          <w:color w:val="000000" w:themeColor="text1"/>
        </w:rPr>
        <w:t>it creates</w:t>
      </w:r>
      <w:r w:rsidR="00271C37" w:rsidRPr="0049084C">
        <w:rPr>
          <w:rFonts w:ascii="Calibri" w:eastAsia="Calibri" w:hAnsi="Calibri" w:cs="Calibri"/>
          <w:color w:val="000000" w:themeColor="text1"/>
        </w:rPr>
        <w:t xml:space="preserve"> barriers to accessing education, employment</w:t>
      </w:r>
      <w:r w:rsidR="008F1274" w:rsidRPr="0049084C">
        <w:rPr>
          <w:rFonts w:ascii="Calibri" w:eastAsia="Calibri" w:hAnsi="Calibri" w:cs="Calibri"/>
          <w:color w:val="000000" w:themeColor="text1"/>
        </w:rPr>
        <w:t xml:space="preserve"> opportunities</w:t>
      </w:r>
      <w:r w:rsidR="00271C37" w:rsidRPr="0049084C">
        <w:rPr>
          <w:rFonts w:ascii="Calibri" w:eastAsia="Calibri" w:hAnsi="Calibri" w:cs="Calibri"/>
          <w:color w:val="000000" w:themeColor="text1"/>
        </w:rPr>
        <w:t xml:space="preserve">, and basics like </w:t>
      </w:r>
      <w:r w:rsidR="008F1274" w:rsidRPr="0049084C">
        <w:rPr>
          <w:rFonts w:ascii="Calibri" w:eastAsia="Calibri" w:hAnsi="Calibri" w:cs="Calibri"/>
          <w:color w:val="000000" w:themeColor="text1"/>
        </w:rPr>
        <w:t xml:space="preserve">bank accounts and </w:t>
      </w:r>
      <w:r w:rsidR="00271C37" w:rsidRPr="0049084C">
        <w:rPr>
          <w:rFonts w:ascii="Calibri" w:eastAsia="Calibri" w:hAnsi="Calibri" w:cs="Calibri"/>
          <w:color w:val="000000" w:themeColor="text1"/>
        </w:rPr>
        <w:t>transportation.</w:t>
      </w:r>
      <w:r w:rsidR="00EA4070" w:rsidRPr="0049084C">
        <w:rPr>
          <w:rFonts w:ascii="Calibri" w:eastAsia="Calibri" w:hAnsi="Calibri" w:cs="Calibri"/>
          <w:color w:val="000000" w:themeColor="text1"/>
        </w:rPr>
        <w:t xml:space="preserve"> In this limbo, a child </w:t>
      </w:r>
      <w:r w:rsidR="00E8380A" w:rsidRPr="0049084C">
        <w:rPr>
          <w:rFonts w:ascii="Calibri" w:eastAsia="Calibri" w:hAnsi="Calibri" w:cs="Calibri"/>
          <w:color w:val="000000" w:themeColor="text1"/>
        </w:rPr>
        <w:t xml:space="preserve">is not positioned to reach their optimal </w:t>
      </w:r>
      <w:r w:rsidR="00112861" w:rsidRPr="0049084C">
        <w:rPr>
          <w:rFonts w:ascii="Calibri" w:eastAsia="Calibri" w:hAnsi="Calibri" w:cs="Calibri"/>
          <w:color w:val="000000" w:themeColor="text1"/>
        </w:rPr>
        <w:t xml:space="preserve">wellbeing, </w:t>
      </w:r>
      <w:r w:rsidR="00E8380A" w:rsidRPr="0049084C">
        <w:rPr>
          <w:rFonts w:ascii="Calibri" w:eastAsia="Calibri" w:hAnsi="Calibri" w:cs="Calibri"/>
          <w:color w:val="000000" w:themeColor="text1"/>
        </w:rPr>
        <w:t xml:space="preserve">development, and </w:t>
      </w:r>
      <w:r w:rsidR="00EA4070" w:rsidRPr="0049084C">
        <w:rPr>
          <w:rFonts w:ascii="Calibri" w:eastAsia="Calibri" w:hAnsi="Calibri" w:cs="Calibri"/>
          <w:color w:val="000000" w:themeColor="text1"/>
        </w:rPr>
        <w:t xml:space="preserve">potential. </w:t>
      </w:r>
      <w:r w:rsidR="00271C37" w:rsidRPr="0049084C">
        <w:rPr>
          <w:rFonts w:ascii="Calibri" w:eastAsia="Calibri" w:hAnsi="Calibri" w:cs="Calibri"/>
          <w:color w:val="000000" w:themeColor="text1"/>
        </w:rPr>
        <w:t xml:space="preserve"> </w:t>
      </w:r>
    </w:p>
    <w:p w14:paraId="61250848" w14:textId="06995C9F" w:rsidR="00352352" w:rsidRPr="0049084C" w:rsidRDefault="004A7BCA" w:rsidP="00352352">
      <w:pPr>
        <w:rPr>
          <w:rFonts w:ascii="Calibri" w:eastAsia="Calibri" w:hAnsi="Calibri" w:cs="Calibri"/>
          <w:color w:val="000000" w:themeColor="text1"/>
        </w:rPr>
      </w:pPr>
      <w:r w:rsidRPr="0049084C">
        <w:rPr>
          <w:rFonts w:ascii="Calibri" w:eastAsia="Calibri" w:hAnsi="Calibri" w:cs="Calibri"/>
          <w:color w:val="000000" w:themeColor="text1"/>
        </w:rPr>
        <w:t>The Committee on the Rights of the Child and the Committee on the Rights of Migrant Workers and their Families have recognized the many negative impacts on children’s well-being of having an insecure and precarious migration status</w:t>
      </w:r>
      <w:r w:rsidR="00D617B1" w:rsidRPr="0049084C">
        <w:rPr>
          <w:rStyle w:val="EndnoteReference"/>
          <w:rFonts w:ascii="Calibri" w:eastAsia="Calibri" w:hAnsi="Calibri" w:cs="Calibri"/>
          <w:color w:val="000000" w:themeColor="text1"/>
        </w:rPr>
        <w:endnoteReference w:id="2"/>
      </w:r>
      <w:r w:rsidR="00352352" w:rsidRPr="0049084C">
        <w:rPr>
          <w:rFonts w:ascii="Calibri" w:eastAsia="Calibri" w:hAnsi="Calibri" w:cs="Calibri"/>
          <w:color w:val="000000" w:themeColor="text1"/>
        </w:rPr>
        <w:t>, including but not limited to:</w:t>
      </w:r>
      <w:r w:rsidR="00FC023D" w:rsidRPr="0049084C">
        <w:rPr>
          <w:rFonts w:ascii="Calibri" w:eastAsia="Calibri" w:hAnsi="Calibri" w:cs="Calibri"/>
          <w:color w:val="000000" w:themeColor="text1"/>
        </w:rPr>
        <w:t xml:space="preserve"> </w:t>
      </w:r>
    </w:p>
    <w:p w14:paraId="60298D9E" w14:textId="231A4FD6" w:rsidR="00352352" w:rsidRPr="0049084C" w:rsidRDefault="00352352" w:rsidP="00352352">
      <w:pPr>
        <w:pStyle w:val="ListParagraph"/>
        <w:numPr>
          <w:ilvl w:val="0"/>
          <w:numId w:val="14"/>
        </w:numPr>
        <w:rPr>
          <w:rFonts w:ascii="Calibri" w:eastAsia="Calibri" w:hAnsi="Calibri" w:cs="Calibri"/>
          <w:color w:val="000000" w:themeColor="text1"/>
        </w:rPr>
      </w:pPr>
      <w:r w:rsidRPr="0049084C">
        <w:rPr>
          <w:rFonts w:ascii="Calibri" w:eastAsia="Calibri" w:hAnsi="Calibri" w:cs="Calibri"/>
          <w:color w:val="000000" w:themeColor="text1"/>
        </w:rPr>
        <w:t>The risk of “physical harm, psychological trauma, marginalization, discrimination, xenophobia and sexual and economic exploitation...raids against migration and detention”</w:t>
      </w:r>
      <w:r w:rsidRPr="0049084C">
        <w:rPr>
          <w:rStyle w:val="EndnoteReference"/>
          <w:rFonts w:ascii="Calibri" w:eastAsia="Calibri" w:hAnsi="Calibri" w:cs="Calibri"/>
          <w:color w:val="000000" w:themeColor="text1"/>
        </w:rPr>
        <w:endnoteReference w:id="3"/>
      </w:r>
      <w:r w:rsidRPr="0049084C">
        <w:rPr>
          <w:rFonts w:ascii="Calibri" w:eastAsia="Calibri" w:hAnsi="Calibri" w:cs="Calibri"/>
          <w:color w:val="000000" w:themeColor="text1"/>
        </w:rPr>
        <w:t xml:space="preserve"> </w:t>
      </w:r>
      <w:r w:rsidR="00332215" w:rsidRPr="0049084C">
        <w:rPr>
          <w:rFonts w:ascii="Calibri" w:eastAsia="Calibri" w:hAnsi="Calibri" w:cs="Calibri"/>
          <w:color w:val="000000" w:themeColor="text1"/>
        </w:rPr>
        <w:t xml:space="preserve">as well as different forms of violence </w:t>
      </w:r>
      <w:r w:rsidR="00FA246B" w:rsidRPr="0049084C">
        <w:rPr>
          <w:rFonts w:ascii="Calibri" w:eastAsia="Calibri" w:hAnsi="Calibri" w:cs="Calibri"/>
          <w:color w:val="000000" w:themeColor="text1"/>
        </w:rPr>
        <w:t>on irregular migration journeys or in irregular situations in countries of destination</w:t>
      </w:r>
      <w:r w:rsidR="00FA246B" w:rsidRPr="0049084C">
        <w:rPr>
          <w:rStyle w:val="EndnoteReference"/>
          <w:rFonts w:ascii="Calibri" w:eastAsia="Calibri" w:hAnsi="Calibri" w:cs="Calibri"/>
          <w:color w:val="000000" w:themeColor="text1"/>
        </w:rPr>
        <w:endnoteReference w:id="4"/>
      </w:r>
      <w:r w:rsidR="00FA246B" w:rsidRPr="0049084C">
        <w:rPr>
          <w:rFonts w:ascii="Calibri" w:eastAsia="Calibri" w:hAnsi="Calibri" w:cs="Calibri"/>
          <w:color w:val="000000" w:themeColor="text1"/>
        </w:rPr>
        <w:t xml:space="preserve"> </w:t>
      </w:r>
    </w:p>
    <w:p w14:paraId="3D6FC84A" w14:textId="551A3346" w:rsidR="00352352" w:rsidRPr="0049084C" w:rsidRDefault="009B54EC" w:rsidP="00352352">
      <w:pPr>
        <w:pStyle w:val="ListParagraph"/>
        <w:numPr>
          <w:ilvl w:val="0"/>
          <w:numId w:val="14"/>
        </w:numPr>
        <w:rPr>
          <w:rFonts w:ascii="Calibri" w:eastAsia="Calibri" w:hAnsi="Calibri" w:cs="Calibri"/>
          <w:color w:val="000000" w:themeColor="text1"/>
        </w:rPr>
      </w:pPr>
      <w:r w:rsidRPr="0049084C">
        <w:rPr>
          <w:rFonts w:ascii="Calibri" w:eastAsia="Calibri" w:hAnsi="Calibri" w:cs="Calibri"/>
          <w:color w:val="000000" w:themeColor="text1"/>
        </w:rPr>
        <w:t>The risk of being d</w:t>
      </w:r>
      <w:r w:rsidR="006D50B0" w:rsidRPr="0049084C">
        <w:rPr>
          <w:rFonts w:ascii="Calibri" w:eastAsia="Calibri" w:hAnsi="Calibri" w:cs="Calibri"/>
          <w:color w:val="000000" w:themeColor="text1"/>
        </w:rPr>
        <w:t>e</w:t>
      </w:r>
      <w:r w:rsidRPr="0049084C">
        <w:rPr>
          <w:rFonts w:ascii="Calibri" w:eastAsia="Calibri" w:hAnsi="Calibri" w:cs="Calibri"/>
          <w:color w:val="000000" w:themeColor="text1"/>
        </w:rPr>
        <w:t>nied access to education, housing, health, recreational activities, participation, protection, social security</w:t>
      </w:r>
      <w:r w:rsidR="00B827B1" w:rsidRPr="0049084C">
        <w:rPr>
          <w:rStyle w:val="EndnoteReference"/>
          <w:rFonts w:ascii="Calibri" w:eastAsia="Calibri" w:hAnsi="Calibri" w:cs="Calibri"/>
          <w:color w:val="000000" w:themeColor="text1"/>
        </w:rPr>
        <w:endnoteReference w:id="5"/>
      </w:r>
      <w:r w:rsidR="002126FB" w:rsidRPr="0049084C">
        <w:rPr>
          <w:rFonts w:ascii="Calibri" w:eastAsia="Calibri" w:hAnsi="Calibri" w:cs="Calibri"/>
          <w:color w:val="000000" w:themeColor="text1"/>
        </w:rPr>
        <w:t xml:space="preserve"> and justice. </w:t>
      </w:r>
    </w:p>
    <w:p w14:paraId="534614C7" w14:textId="39D3A615" w:rsidR="00FF6128" w:rsidRPr="0049084C" w:rsidRDefault="00FF6128" w:rsidP="00352352">
      <w:pPr>
        <w:pStyle w:val="ListParagraph"/>
        <w:numPr>
          <w:ilvl w:val="0"/>
          <w:numId w:val="14"/>
        </w:numPr>
        <w:rPr>
          <w:rFonts w:ascii="Calibri" w:eastAsia="Calibri" w:hAnsi="Calibri" w:cs="Calibri"/>
          <w:color w:val="000000" w:themeColor="text1"/>
        </w:rPr>
      </w:pPr>
      <w:r w:rsidRPr="0049084C">
        <w:rPr>
          <w:rFonts w:ascii="Calibri" w:eastAsia="Calibri" w:hAnsi="Calibri" w:cs="Calibri"/>
          <w:color w:val="000000" w:themeColor="text1"/>
        </w:rPr>
        <w:t>The risk of family separation</w:t>
      </w:r>
      <w:r w:rsidR="0025305A" w:rsidRPr="0049084C">
        <w:rPr>
          <w:rStyle w:val="EndnoteReference"/>
          <w:rFonts w:ascii="Calibri" w:eastAsia="Calibri" w:hAnsi="Calibri" w:cs="Calibri"/>
          <w:color w:val="000000" w:themeColor="text1"/>
        </w:rPr>
        <w:endnoteReference w:id="6"/>
      </w:r>
      <w:r w:rsidRPr="0049084C">
        <w:rPr>
          <w:rFonts w:ascii="Calibri" w:eastAsia="Calibri" w:hAnsi="Calibri" w:cs="Calibri"/>
          <w:color w:val="000000" w:themeColor="text1"/>
        </w:rPr>
        <w:t xml:space="preserve"> </w:t>
      </w:r>
      <w:r w:rsidR="0025305A" w:rsidRPr="0049084C">
        <w:rPr>
          <w:rFonts w:ascii="Calibri" w:eastAsia="Calibri" w:hAnsi="Calibri" w:cs="Calibri"/>
          <w:color w:val="000000" w:themeColor="text1"/>
        </w:rPr>
        <w:t>(</w:t>
      </w:r>
      <w:r w:rsidRPr="0049084C">
        <w:rPr>
          <w:rFonts w:ascii="Calibri" w:eastAsia="Calibri" w:hAnsi="Calibri" w:cs="Calibri"/>
          <w:color w:val="000000" w:themeColor="text1"/>
        </w:rPr>
        <w:t>if a family member is deported, removed, or detained</w:t>
      </w:r>
      <w:r w:rsidR="0025305A" w:rsidRPr="0049084C">
        <w:rPr>
          <w:rFonts w:ascii="Calibri" w:eastAsia="Calibri" w:hAnsi="Calibri" w:cs="Calibri"/>
          <w:color w:val="000000" w:themeColor="text1"/>
        </w:rPr>
        <w:t>)</w:t>
      </w:r>
    </w:p>
    <w:p w14:paraId="1EEA9F33" w14:textId="0DDD9A36" w:rsidR="00D43C79" w:rsidRPr="0049084C" w:rsidRDefault="009B54EC" w:rsidP="00332215">
      <w:pPr>
        <w:pStyle w:val="ListParagraph"/>
        <w:numPr>
          <w:ilvl w:val="0"/>
          <w:numId w:val="14"/>
        </w:numPr>
        <w:rPr>
          <w:rFonts w:ascii="Calibri" w:eastAsia="Calibri" w:hAnsi="Calibri" w:cs="Calibri"/>
          <w:color w:val="000000" w:themeColor="text1"/>
        </w:rPr>
      </w:pPr>
      <w:r w:rsidRPr="0049084C">
        <w:rPr>
          <w:rFonts w:ascii="Calibri" w:eastAsia="Calibri" w:hAnsi="Calibri" w:cs="Calibri"/>
          <w:color w:val="000000" w:themeColor="text1"/>
        </w:rPr>
        <w:t xml:space="preserve">The </w:t>
      </w:r>
      <w:r w:rsidR="00F5175D" w:rsidRPr="0049084C">
        <w:rPr>
          <w:rFonts w:ascii="Calibri" w:eastAsia="Calibri" w:hAnsi="Calibri" w:cs="Calibri"/>
          <w:color w:val="000000" w:themeColor="text1"/>
        </w:rPr>
        <w:t>risk of</w:t>
      </w:r>
      <w:r w:rsidR="004A7BCA" w:rsidRPr="0049084C">
        <w:rPr>
          <w:rFonts w:ascii="Calibri" w:eastAsia="Calibri" w:hAnsi="Calibri" w:cs="Calibri"/>
          <w:color w:val="000000" w:themeColor="text1"/>
        </w:rPr>
        <w:t xml:space="preserve"> child marriage, </w:t>
      </w:r>
      <w:r w:rsidR="00962B70" w:rsidRPr="0049084C">
        <w:rPr>
          <w:rFonts w:ascii="Calibri" w:eastAsia="Calibri" w:hAnsi="Calibri" w:cs="Calibri"/>
          <w:color w:val="000000" w:themeColor="text1"/>
        </w:rPr>
        <w:t xml:space="preserve">violence, </w:t>
      </w:r>
      <w:r w:rsidR="004A7BCA" w:rsidRPr="0049084C">
        <w:rPr>
          <w:rFonts w:ascii="Calibri" w:eastAsia="Calibri" w:hAnsi="Calibri" w:cs="Calibri"/>
          <w:color w:val="000000" w:themeColor="text1"/>
        </w:rPr>
        <w:t>trafficking, forced recruitment</w:t>
      </w:r>
      <w:r w:rsidR="00F5175D" w:rsidRPr="0049084C">
        <w:rPr>
          <w:rFonts w:ascii="Calibri" w:eastAsia="Calibri" w:hAnsi="Calibri" w:cs="Calibri"/>
          <w:color w:val="000000" w:themeColor="text1"/>
        </w:rPr>
        <w:t xml:space="preserve">, </w:t>
      </w:r>
      <w:r w:rsidR="00962B70" w:rsidRPr="0049084C">
        <w:rPr>
          <w:rFonts w:ascii="Calibri" w:eastAsia="Calibri" w:hAnsi="Calibri" w:cs="Calibri"/>
          <w:color w:val="000000" w:themeColor="text1"/>
        </w:rPr>
        <w:t xml:space="preserve">exploitation, </w:t>
      </w:r>
      <w:r w:rsidRPr="0049084C">
        <w:rPr>
          <w:rFonts w:ascii="Calibri" w:eastAsia="Calibri" w:hAnsi="Calibri" w:cs="Calibri"/>
          <w:color w:val="000000" w:themeColor="text1"/>
        </w:rPr>
        <w:t xml:space="preserve">and </w:t>
      </w:r>
      <w:r w:rsidR="004A7BCA" w:rsidRPr="0049084C">
        <w:rPr>
          <w:rFonts w:ascii="Calibri" w:eastAsia="Calibri" w:hAnsi="Calibri" w:cs="Calibri"/>
          <w:color w:val="000000" w:themeColor="text1"/>
        </w:rPr>
        <w:t>child labo</w:t>
      </w:r>
      <w:r w:rsidR="008806FC" w:rsidRPr="0049084C">
        <w:rPr>
          <w:rFonts w:ascii="Calibri" w:eastAsia="Calibri" w:hAnsi="Calibri" w:cs="Calibri"/>
          <w:color w:val="000000" w:themeColor="text1"/>
        </w:rPr>
        <w:t>u</w:t>
      </w:r>
      <w:r w:rsidR="004A7BCA" w:rsidRPr="0049084C">
        <w:rPr>
          <w:rFonts w:ascii="Calibri" w:eastAsia="Calibri" w:hAnsi="Calibri" w:cs="Calibri"/>
          <w:color w:val="000000" w:themeColor="text1"/>
        </w:rPr>
        <w:t>r</w:t>
      </w:r>
      <w:r w:rsidR="00F5175D" w:rsidRPr="0049084C">
        <w:rPr>
          <w:rFonts w:ascii="Calibri" w:eastAsia="Calibri" w:hAnsi="Calibri" w:cs="Calibri"/>
          <w:color w:val="000000" w:themeColor="text1"/>
        </w:rPr>
        <w:t xml:space="preserve">, </w:t>
      </w:r>
      <w:r w:rsidRPr="0049084C">
        <w:rPr>
          <w:rFonts w:ascii="Calibri" w:eastAsia="Calibri" w:hAnsi="Calibri" w:cs="Calibri"/>
          <w:color w:val="000000" w:themeColor="text1"/>
        </w:rPr>
        <w:t>which are exacerbated by lack of birth registration and childhood statelessness</w:t>
      </w:r>
      <w:r w:rsidR="004A7BCA" w:rsidRPr="0049084C">
        <w:rPr>
          <w:rFonts w:ascii="Calibri" w:eastAsia="Calibri" w:hAnsi="Calibri" w:cs="Calibri"/>
          <w:color w:val="000000" w:themeColor="text1"/>
        </w:rPr>
        <w:t xml:space="preserve">. </w:t>
      </w:r>
      <w:r w:rsidR="00332215" w:rsidRPr="0049084C">
        <w:rPr>
          <w:rFonts w:ascii="Calibri" w:eastAsia="Calibri" w:hAnsi="Calibri" w:cs="Calibri"/>
          <w:color w:val="000000" w:themeColor="text1"/>
        </w:rPr>
        <w:t>Unregistered children are at particular risk of becoming stateless when born to parents in an irregular migration situation</w:t>
      </w:r>
      <w:r w:rsidR="00D7569B" w:rsidRPr="0049084C">
        <w:rPr>
          <w:rFonts w:ascii="Calibri" w:eastAsia="Calibri" w:hAnsi="Calibri" w:cs="Calibri"/>
          <w:color w:val="000000" w:themeColor="text1"/>
        </w:rPr>
        <w:t>.</w:t>
      </w:r>
      <w:r w:rsidR="00D7569B" w:rsidRPr="0049084C">
        <w:rPr>
          <w:rStyle w:val="EndnoteReference"/>
          <w:rFonts w:ascii="Calibri" w:eastAsia="Calibri" w:hAnsi="Calibri" w:cs="Calibri"/>
          <w:color w:val="000000" w:themeColor="text1"/>
        </w:rPr>
        <w:endnoteReference w:id="7"/>
      </w:r>
      <w:r w:rsidR="00D7569B" w:rsidRPr="0049084C">
        <w:rPr>
          <w:rFonts w:ascii="Calibri" w:eastAsia="Calibri" w:hAnsi="Calibri" w:cs="Calibri"/>
          <w:color w:val="000000" w:themeColor="text1"/>
        </w:rPr>
        <w:t xml:space="preserve"> </w:t>
      </w:r>
      <w:r w:rsidR="00332215" w:rsidRPr="0049084C">
        <w:rPr>
          <w:rFonts w:ascii="Calibri" w:eastAsia="Calibri" w:hAnsi="Calibri" w:cs="Calibri"/>
          <w:color w:val="000000" w:themeColor="text1"/>
        </w:rPr>
        <w:t xml:space="preserve">Stateless </w:t>
      </w:r>
      <w:r w:rsidR="00962B70" w:rsidRPr="0049084C">
        <w:rPr>
          <w:rFonts w:ascii="Calibri" w:eastAsia="Calibri" w:hAnsi="Calibri" w:cs="Calibri"/>
          <w:color w:val="000000" w:themeColor="text1"/>
        </w:rPr>
        <w:t xml:space="preserve">children are uniquely vulnerable to poverty, limited access to education, healthcare, and social protection. </w:t>
      </w:r>
    </w:p>
    <w:p w14:paraId="0C2CE228" w14:textId="5B40D92F" w:rsidR="00F5175D" w:rsidRPr="0049084C" w:rsidRDefault="00D43C79" w:rsidP="00D43C79">
      <w:pPr>
        <w:pStyle w:val="ListParagraph"/>
        <w:numPr>
          <w:ilvl w:val="0"/>
          <w:numId w:val="14"/>
        </w:numPr>
        <w:rPr>
          <w:rFonts w:ascii="Calibri" w:eastAsia="Calibri" w:hAnsi="Calibri" w:cs="Calibri"/>
          <w:color w:val="000000" w:themeColor="text1"/>
        </w:rPr>
      </w:pPr>
      <w:r w:rsidRPr="0049084C">
        <w:rPr>
          <w:rFonts w:ascii="Calibri" w:eastAsia="Calibri" w:hAnsi="Calibri" w:cs="Calibri"/>
          <w:color w:val="000000" w:themeColor="text1"/>
        </w:rPr>
        <w:t xml:space="preserve">The risk of inadequate living standards, including nutrition, clothing, and housing, which impact </w:t>
      </w:r>
      <w:r w:rsidR="00332215" w:rsidRPr="0049084C">
        <w:rPr>
          <w:rFonts w:ascii="Calibri" w:eastAsia="Calibri" w:hAnsi="Calibri" w:cs="Calibri"/>
          <w:color w:val="000000" w:themeColor="text1"/>
        </w:rPr>
        <w:t xml:space="preserve">children’s </w:t>
      </w:r>
      <w:r w:rsidRPr="0049084C">
        <w:rPr>
          <w:rFonts w:ascii="Calibri" w:eastAsia="Calibri" w:hAnsi="Calibri" w:cs="Calibri"/>
          <w:color w:val="000000" w:themeColor="text1"/>
        </w:rPr>
        <w:t>physical, mental, spiritual and moral development</w:t>
      </w:r>
      <w:r w:rsidR="00137649" w:rsidRPr="0049084C">
        <w:rPr>
          <w:rStyle w:val="EndnoteReference"/>
          <w:rFonts w:ascii="Calibri" w:eastAsia="Calibri" w:hAnsi="Calibri" w:cs="Calibri"/>
          <w:color w:val="000000" w:themeColor="text1"/>
        </w:rPr>
        <w:endnoteReference w:id="8"/>
      </w:r>
    </w:p>
    <w:p w14:paraId="39AA8FCB" w14:textId="5CB9ACDC" w:rsidR="000B32B1" w:rsidRPr="0049084C" w:rsidRDefault="000B32B1" w:rsidP="00D43C79">
      <w:pPr>
        <w:pStyle w:val="ListParagraph"/>
        <w:numPr>
          <w:ilvl w:val="0"/>
          <w:numId w:val="14"/>
        </w:numPr>
        <w:rPr>
          <w:rFonts w:ascii="Calibri" w:eastAsia="Calibri" w:hAnsi="Calibri" w:cs="Calibri"/>
          <w:color w:val="000000" w:themeColor="text1"/>
        </w:rPr>
      </w:pPr>
      <w:r w:rsidRPr="0049084C">
        <w:rPr>
          <w:rFonts w:ascii="Calibri" w:eastAsia="Calibri" w:hAnsi="Calibri" w:cs="Calibri"/>
          <w:color w:val="000000" w:themeColor="text1"/>
        </w:rPr>
        <w:t>Risks to their physical and mental health, recognizing that children experience stress differently than adults</w:t>
      </w:r>
      <w:r w:rsidR="00353DA0" w:rsidRPr="0049084C">
        <w:rPr>
          <w:rStyle w:val="EndnoteReference"/>
          <w:rFonts w:ascii="Calibri" w:eastAsia="Calibri" w:hAnsi="Calibri" w:cs="Calibri"/>
          <w:color w:val="000000" w:themeColor="text1"/>
        </w:rPr>
        <w:endnoteReference w:id="9"/>
      </w:r>
    </w:p>
    <w:p w14:paraId="2F51335D" w14:textId="077135F1" w:rsidR="34A368A0" w:rsidRPr="0049084C" w:rsidRDefault="00FC4C2D" w:rsidP="74E5CDFF">
      <w:pPr>
        <w:rPr>
          <w:rFonts w:ascii="Calibri" w:eastAsia="Calibri" w:hAnsi="Calibri" w:cs="Calibri"/>
          <w:color w:val="000000" w:themeColor="text1"/>
        </w:rPr>
      </w:pPr>
      <w:r w:rsidRPr="0049084C">
        <w:rPr>
          <w:rFonts w:ascii="Calibri" w:eastAsia="Calibri" w:hAnsi="Calibri" w:cs="Calibri"/>
          <w:color w:val="000000" w:themeColor="text1"/>
        </w:rPr>
        <w:lastRenderedPageBreak/>
        <w:t>Th</w:t>
      </w:r>
      <w:r w:rsidR="0026581D" w:rsidRPr="0049084C">
        <w:rPr>
          <w:rFonts w:ascii="Calibri" w:eastAsia="Calibri" w:hAnsi="Calibri" w:cs="Calibri"/>
          <w:color w:val="000000" w:themeColor="text1"/>
        </w:rPr>
        <w:t>us, there</w:t>
      </w:r>
      <w:r w:rsidR="00352352" w:rsidRPr="0049084C">
        <w:rPr>
          <w:rFonts w:ascii="Calibri" w:eastAsia="Calibri" w:hAnsi="Calibri" w:cs="Calibri"/>
          <w:color w:val="000000" w:themeColor="text1"/>
        </w:rPr>
        <w:t xml:space="preserve"> is a direct link between the migration status of children and adolescents and/or their families and </w:t>
      </w:r>
      <w:r w:rsidR="00352352" w:rsidRPr="0049084C">
        <w:t xml:space="preserve">the effective guarantee of the four CRC principles of non-discrimination, the best interests of the child, </w:t>
      </w:r>
      <w:r w:rsidR="004F0157" w:rsidRPr="0049084C">
        <w:t>participation</w:t>
      </w:r>
      <w:r w:rsidR="00352352" w:rsidRPr="0049084C">
        <w:t xml:space="preserve">, and </w:t>
      </w:r>
      <w:r w:rsidR="004F0157" w:rsidRPr="0049084C">
        <w:t xml:space="preserve">the right to </w:t>
      </w:r>
      <w:r w:rsidR="00352352" w:rsidRPr="0049084C">
        <w:t>life</w:t>
      </w:r>
      <w:r w:rsidR="004F0157" w:rsidRPr="0049084C">
        <w:t>, survival,</w:t>
      </w:r>
      <w:r w:rsidR="00352352" w:rsidRPr="0049084C">
        <w:t xml:space="preserve"> and development</w:t>
      </w:r>
      <w:r w:rsidR="006B3EFD" w:rsidRPr="0049084C">
        <w:t xml:space="preserve">. </w:t>
      </w:r>
      <w:r w:rsidR="006B3EFD" w:rsidRPr="0049084C">
        <w:rPr>
          <w:b/>
          <w:bCs/>
        </w:rPr>
        <w:t>T</w:t>
      </w:r>
      <w:r w:rsidR="00D67FAE" w:rsidRPr="0049084C">
        <w:rPr>
          <w:b/>
          <w:bCs/>
        </w:rPr>
        <w:t>he protection of a wide range of rights recognized in the CRC and other international conventions can be substantially expanded from a regular migration situation</w:t>
      </w:r>
      <w:r w:rsidR="00352352" w:rsidRPr="0049084C">
        <w:t>.</w:t>
      </w:r>
      <w:r w:rsidR="00352352" w:rsidRPr="0049084C">
        <w:rPr>
          <w:rStyle w:val="EndnoteReference"/>
          <w:rFonts w:ascii="Calibri" w:eastAsia="Calibri" w:hAnsi="Calibri" w:cs="Calibri"/>
          <w:color w:val="000000" w:themeColor="text1"/>
        </w:rPr>
        <w:endnoteReference w:id="10"/>
      </w:r>
      <w:r w:rsidR="00352352" w:rsidRPr="0049084C">
        <w:rPr>
          <w:rFonts w:ascii="Calibri" w:eastAsia="Calibri" w:hAnsi="Calibri" w:cs="Calibri"/>
          <w:color w:val="000000" w:themeColor="text1"/>
        </w:rPr>
        <w:t xml:space="preserve"> </w:t>
      </w:r>
      <w:r w:rsidR="004A7BCA" w:rsidRPr="0049084C">
        <w:rPr>
          <w:rFonts w:ascii="Calibri" w:eastAsia="Calibri" w:hAnsi="Calibri" w:cs="Calibri"/>
          <w:color w:val="000000" w:themeColor="text1"/>
        </w:rPr>
        <w:t>The Committees have therefore recommended that States ensure that there are clear and accessible status determination procedures for children to regularize their status on various ground</w:t>
      </w:r>
      <w:r w:rsidR="00352352" w:rsidRPr="0049084C">
        <w:rPr>
          <w:rFonts w:ascii="Calibri" w:eastAsia="Calibri" w:hAnsi="Calibri" w:cs="Calibri"/>
          <w:color w:val="000000" w:themeColor="text1"/>
        </w:rPr>
        <w:t>s</w:t>
      </w:r>
      <w:r w:rsidR="004A7BCA" w:rsidRPr="0049084C">
        <w:rPr>
          <w:rFonts w:ascii="Calibri" w:eastAsia="Calibri" w:hAnsi="Calibri" w:cs="Calibri"/>
          <w:color w:val="000000" w:themeColor="text1"/>
        </w:rPr>
        <w:t>.</w:t>
      </w:r>
      <w:r w:rsidR="00A161CD" w:rsidRPr="0049084C">
        <w:rPr>
          <w:rStyle w:val="EndnoteReference"/>
          <w:rFonts w:ascii="Calibri" w:eastAsia="Calibri" w:hAnsi="Calibri" w:cs="Calibri"/>
          <w:color w:val="000000" w:themeColor="text1"/>
        </w:rPr>
        <w:endnoteReference w:id="11"/>
      </w:r>
    </w:p>
    <w:p w14:paraId="0BFC20C5" w14:textId="7E062622" w:rsidR="00B27DB2" w:rsidRPr="0049084C" w:rsidRDefault="00D67FAE" w:rsidP="57194874">
      <w:pPr>
        <w:rPr>
          <w:rFonts w:ascii="Calibri" w:eastAsia="Calibri" w:hAnsi="Calibri" w:cs="Calibri"/>
          <w:color w:val="000000" w:themeColor="text1"/>
        </w:rPr>
      </w:pPr>
      <w:r w:rsidRPr="0049084C">
        <w:t xml:space="preserve">Facilitating access to regular migration status and identity documents for children and adolescents </w:t>
      </w:r>
      <w:r w:rsidRPr="0049084C">
        <w:rPr>
          <w:i/>
          <w:iCs/>
        </w:rPr>
        <w:t>and</w:t>
      </w:r>
      <w:r w:rsidRPr="0049084C">
        <w:t xml:space="preserve"> their parents/caretakers is an indispensable means of reducing migrant children’s vulnerability, an essential element of migration policy, and should be a central element of all policies that intend to prevent the risks noted above.</w:t>
      </w:r>
      <w:r w:rsidRPr="0049084C">
        <w:rPr>
          <w:rStyle w:val="EndnoteReference"/>
        </w:rPr>
        <w:endnoteReference w:id="12"/>
      </w:r>
      <w:r w:rsidRPr="0049084C">
        <w:rPr>
          <w:rFonts w:ascii="Calibri" w:eastAsia="Calibri" w:hAnsi="Calibri" w:cs="Calibri"/>
          <w:color w:val="000000" w:themeColor="text1"/>
        </w:rPr>
        <w:t xml:space="preserve"> </w:t>
      </w:r>
      <w:r w:rsidR="5E39327D" w:rsidRPr="0049084C">
        <w:t>T</w:t>
      </w:r>
      <w:r w:rsidR="7A7B613E" w:rsidRPr="0049084C">
        <w:t>he</w:t>
      </w:r>
      <w:r w:rsidR="346EF6AD" w:rsidRPr="0049084C">
        <w:t xml:space="preserve"> adults responsible for the proper development of children and adolescents</w:t>
      </w:r>
      <w:r w:rsidR="19C82D19" w:rsidRPr="0049084C">
        <w:t xml:space="preserve"> </w:t>
      </w:r>
      <w:r w:rsidR="0A2E86A5" w:rsidRPr="0049084C">
        <w:t>should</w:t>
      </w:r>
      <w:r w:rsidR="10D9FE4F" w:rsidRPr="0049084C">
        <w:t xml:space="preserve"> not</w:t>
      </w:r>
      <w:r w:rsidR="19C82D19" w:rsidRPr="0049084C">
        <w:t xml:space="preserve"> </w:t>
      </w:r>
      <w:r w:rsidR="6E26CED1" w:rsidRPr="0049084C">
        <w:t xml:space="preserve">be </w:t>
      </w:r>
      <w:r w:rsidR="19C82D19" w:rsidRPr="0049084C">
        <w:t xml:space="preserve">overlooked in the design of regularization </w:t>
      </w:r>
      <w:r w:rsidR="01467BB6" w:rsidRPr="0049084C">
        <w:t>measures</w:t>
      </w:r>
      <w:r w:rsidR="53364942" w:rsidRPr="0049084C">
        <w:t>, as their own status</w:t>
      </w:r>
      <w:r w:rsidR="346EF6AD" w:rsidRPr="0049084C">
        <w:t xml:space="preserve"> has a direct impact on the realization of </w:t>
      </w:r>
      <w:r w:rsidR="1DFBEF08" w:rsidRPr="0049084C">
        <w:t>the</w:t>
      </w:r>
      <w:r w:rsidR="346EF6AD" w:rsidRPr="0049084C">
        <w:t xml:space="preserve"> rights</w:t>
      </w:r>
      <w:r w:rsidR="06B57654" w:rsidRPr="0049084C">
        <w:t>,</w:t>
      </w:r>
      <w:r w:rsidR="346EF6AD" w:rsidRPr="0049084C">
        <w:t xml:space="preserve"> </w:t>
      </w:r>
      <w:r w:rsidR="313AAFDF" w:rsidRPr="0049084C">
        <w:t xml:space="preserve">wellbeing, </w:t>
      </w:r>
      <w:r w:rsidR="12F9C647" w:rsidRPr="0049084C">
        <w:t xml:space="preserve">and </w:t>
      </w:r>
      <w:r w:rsidR="313AAFDF" w:rsidRPr="0049084C">
        <w:t>development</w:t>
      </w:r>
      <w:r w:rsidR="1CD61D1E" w:rsidRPr="0049084C">
        <w:t xml:space="preserve"> outcomes</w:t>
      </w:r>
      <w:r w:rsidR="3289AD24" w:rsidRPr="0049084C">
        <w:t xml:space="preserve"> of the children in their care</w:t>
      </w:r>
      <w:r w:rsidR="34EAA64A" w:rsidRPr="0049084C">
        <w:rPr>
          <w:rStyle w:val="EndnoteReference"/>
        </w:rPr>
        <w:endnoteReference w:id="13"/>
      </w:r>
      <w:r w:rsidR="4DDBF6FE" w:rsidRPr="0049084C">
        <w:t xml:space="preserve">. </w:t>
      </w:r>
      <w:r w:rsidR="18FDD3C3" w:rsidRPr="0049084C">
        <w:t xml:space="preserve">Regular migratory status can </w:t>
      </w:r>
      <w:r w:rsidR="2AAC30E7" w:rsidRPr="0049084C">
        <w:t xml:space="preserve">reduce the </w:t>
      </w:r>
      <w:r w:rsidR="63C36F1A" w:rsidRPr="0049084C">
        <w:t xml:space="preserve">barriers and </w:t>
      </w:r>
      <w:r w:rsidR="2AAC30E7" w:rsidRPr="0049084C">
        <w:t xml:space="preserve">discrimination migrant children and </w:t>
      </w:r>
      <w:r w:rsidR="7219B0B4" w:rsidRPr="0049084C">
        <w:t>their parents/caregivers</w:t>
      </w:r>
      <w:r w:rsidR="2AAC30E7" w:rsidRPr="0049084C">
        <w:t xml:space="preserve"> face </w:t>
      </w:r>
      <w:r w:rsidR="3B92E3E8" w:rsidRPr="0049084C">
        <w:t>in integrating into society</w:t>
      </w:r>
      <w:r w:rsidR="3F4FE75B" w:rsidRPr="0049084C">
        <w:t xml:space="preserve"> and help facilitate access to</w:t>
      </w:r>
      <w:r w:rsidR="18FDD3C3" w:rsidRPr="0049084C">
        <w:t xml:space="preserve"> </w:t>
      </w:r>
      <w:r w:rsidR="1F845152" w:rsidRPr="0049084C">
        <w:t>essential</w:t>
      </w:r>
      <w:r w:rsidR="2CA342DB" w:rsidRPr="0049084C">
        <w:t>s such as</w:t>
      </w:r>
      <w:r w:rsidR="3F7BE1A6" w:rsidRPr="0049084C">
        <w:t xml:space="preserve"> </w:t>
      </w:r>
      <w:r w:rsidR="748D7C84" w:rsidRPr="0049084C">
        <w:t xml:space="preserve">stable housing, </w:t>
      </w:r>
      <w:r w:rsidR="3E60B0FB" w:rsidRPr="0049084C">
        <w:t>health</w:t>
      </w:r>
      <w:r w:rsidR="1673A6E2" w:rsidRPr="0049084C">
        <w:t xml:space="preserve"> services</w:t>
      </w:r>
      <w:r w:rsidR="3E60B0FB" w:rsidRPr="0049084C">
        <w:t>,</w:t>
      </w:r>
      <w:r w:rsidR="7C9E972D" w:rsidRPr="0049084C">
        <w:t xml:space="preserve"> </w:t>
      </w:r>
      <w:r w:rsidR="04C941BF" w:rsidRPr="0049084C">
        <w:t>school enrollment</w:t>
      </w:r>
      <w:r w:rsidR="405202ED" w:rsidRPr="0049084C">
        <w:t xml:space="preserve">, </w:t>
      </w:r>
      <w:r w:rsidR="0D17CF7B" w:rsidRPr="0049084C">
        <w:t>formal employment</w:t>
      </w:r>
      <w:r w:rsidR="205CEE88" w:rsidRPr="0049084C">
        <w:t xml:space="preserve">, </w:t>
      </w:r>
      <w:r w:rsidR="339B6FD9" w:rsidRPr="0049084C">
        <w:t>bank accounts</w:t>
      </w:r>
      <w:r w:rsidR="009729A5" w:rsidRPr="0049084C">
        <w:t xml:space="preserve">. </w:t>
      </w:r>
      <w:r w:rsidR="423AB139" w:rsidRPr="0049084C">
        <w:t xml:space="preserve">Regularization allows </w:t>
      </w:r>
      <w:r w:rsidR="089A3552" w:rsidRPr="0049084C">
        <w:t>childre</w:t>
      </w:r>
      <w:r w:rsidR="080C07CA" w:rsidRPr="0049084C">
        <w:t>n</w:t>
      </w:r>
      <w:r w:rsidR="089A3552" w:rsidRPr="0049084C">
        <w:t xml:space="preserve"> and their families</w:t>
      </w:r>
      <w:r w:rsidR="423AB139" w:rsidRPr="0049084C">
        <w:t xml:space="preserve"> to plan for their futures and contribute to society.</w:t>
      </w:r>
      <w:r w:rsidR="11C2ED9C" w:rsidRPr="0049084C">
        <w:t xml:space="preserve"> </w:t>
      </w:r>
    </w:p>
    <w:p w14:paraId="666AD90F" w14:textId="6071E21B" w:rsidR="00C72317" w:rsidRPr="0049084C" w:rsidRDefault="11C2ED9C" w:rsidP="57194874">
      <w:r w:rsidRPr="0049084C">
        <w:t xml:space="preserve">Further, when adults have regular status in States which permit regular family reunification pathways, children </w:t>
      </w:r>
      <w:r w:rsidR="14E30F32" w:rsidRPr="0049084C">
        <w:t>can be</w:t>
      </w:r>
      <w:r w:rsidRPr="0049084C">
        <w:t xml:space="preserve"> spared from resorting to dangerous </w:t>
      </w:r>
      <w:r w:rsidR="1C76B88D" w:rsidRPr="0049084C">
        <w:t xml:space="preserve">irregular </w:t>
      </w:r>
      <w:r w:rsidRPr="0049084C">
        <w:t xml:space="preserve">journeys to reunify with their families. </w:t>
      </w:r>
    </w:p>
    <w:p w14:paraId="5E1D7670" w14:textId="729982D6" w:rsidR="1B9495FF" w:rsidRPr="0049084C" w:rsidRDefault="00C72317" w:rsidP="57194874">
      <w:r w:rsidRPr="0049084C">
        <w:t>For the specific case of children who are ‘non-returnable’</w:t>
      </w:r>
      <w:r w:rsidR="00CC40DD" w:rsidRPr="0049084C">
        <w:rPr>
          <w:rFonts w:ascii="Calibri" w:eastAsia="Calibri" w:hAnsi="Calibri" w:cs="Calibri"/>
          <w:color w:val="000000" w:themeColor="text1"/>
        </w:rPr>
        <w:t xml:space="preserve">– </w:t>
      </w:r>
      <w:r w:rsidRPr="0049084C">
        <w:t xml:space="preserve">such as children who may have a failed asylum claim but who cannot/should not be returned to their country of origin based on their best interests or the duration of their stay in the destination country </w:t>
      </w:r>
      <w:r w:rsidR="00CC40DD" w:rsidRPr="0049084C">
        <w:rPr>
          <w:rFonts w:ascii="Calibri" w:eastAsia="Calibri" w:hAnsi="Calibri" w:cs="Calibri"/>
          <w:color w:val="000000" w:themeColor="text1"/>
        </w:rPr>
        <w:t>–</w:t>
      </w:r>
      <w:r w:rsidRPr="0049084C">
        <w:t xml:space="preserve"> there is a dire need for durable solutions through regularization pathways to prevent the legal limbo that these children find themselves in. Far too few countries offer such pathways out of this scenario. </w:t>
      </w:r>
      <w:r w:rsidR="002F07C3" w:rsidRPr="0049084C">
        <w:br/>
      </w:r>
    </w:p>
    <w:tbl>
      <w:tblPr>
        <w:tblStyle w:val="TableGrid"/>
        <w:tblW w:w="0" w:type="auto"/>
        <w:tblLayout w:type="fixed"/>
        <w:tblLook w:val="06A0" w:firstRow="1" w:lastRow="0" w:firstColumn="1" w:lastColumn="0" w:noHBand="1" w:noVBand="1"/>
      </w:tblPr>
      <w:tblGrid>
        <w:gridCol w:w="9360"/>
      </w:tblGrid>
      <w:tr w:rsidR="57194874" w:rsidRPr="0049084C" w14:paraId="48DB081F" w14:textId="77777777" w:rsidTr="57194874">
        <w:trPr>
          <w:trHeight w:val="300"/>
        </w:trPr>
        <w:tc>
          <w:tcPr>
            <w:tcW w:w="9360" w:type="dxa"/>
            <w:shd w:val="clear" w:color="auto" w:fill="DEEAF6" w:themeFill="accent5" w:themeFillTint="33"/>
          </w:tcPr>
          <w:p w14:paraId="702EF590" w14:textId="1DD3A3ED" w:rsidR="57194874" w:rsidRPr="0049084C" w:rsidRDefault="767D97D1" w:rsidP="57194874">
            <w:pPr>
              <w:rPr>
                <w:rFonts w:ascii="Calibri" w:eastAsia="Calibri" w:hAnsi="Calibri" w:cs="Calibri"/>
                <w:color w:val="000000" w:themeColor="text1"/>
              </w:rPr>
            </w:pPr>
            <w:r w:rsidRPr="0049084C">
              <w:rPr>
                <w:rFonts w:ascii="Calibri" w:eastAsia="Calibri" w:hAnsi="Calibri" w:cs="Calibri"/>
                <w:color w:val="000000" w:themeColor="text1"/>
              </w:rPr>
              <w:t>R</w:t>
            </w:r>
            <w:r w:rsidR="20A5411D" w:rsidRPr="0049084C">
              <w:rPr>
                <w:rFonts w:ascii="Calibri" w:eastAsia="Calibri" w:hAnsi="Calibri" w:cs="Calibri"/>
                <w:color w:val="000000" w:themeColor="text1"/>
              </w:rPr>
              <w:t>esponses to Question 2 and 3 have been combined below:</w:t>
            </w:r>
            <w:r w:rsidR="002F07C3" w:rsidRPr="0049084C">
              <w:br/>
            </w:r>
            <w:r w:rsidRPr="0049084C">
              <w:br/>
            </w:r>
            <w:r w:rsidR="64EB8D71" w:rsidRPr="0049084C">
              <w:rPr>
                <w:rFonts w:ascii="Calibri" w:eastAsia="Calibri" w:hAnsi="Calibri" w:cs="Calibri"/>
                <w:color w:val="000000" w:themeColor="text1"/>
              </w:rPr>
              <w:t xml:space="preserve">2. </w:t>
            </w:r>
            <w:r w:rsidR="2A9B3A94" w:rsidRPr="0049084C">
              <w:rPr>
                <w:rFonts w:ascii="Calibri" w:eastAsia="Calibri" w:hAnsi="Calibri" w:cs="Calibri"/>
                <w:color w:val="000000" w:themeColor="text1"/>
              </w:rPr>
              <w:t>E</w:t>
            </w:r>
            <w:r w:rsidR="64EB8D71" w:rsidRPr="0049084C">
              <w:rPr>
                <w:rFonts w:ascii="Calibri" w:eastAsia="Calibri" w:hAnsi="Calibri" w:cs="Calibri"/>
                <w:color w:val="000000" w:themeColor="text1"/>
              </w:rPr>
              <w:t xml:space="preserve">xamples of national and regional solutions to legalize the stay for migrants in irregular situations </w:t>
            </w:r>
            <w:r w:rsidR="002F07C3" w:rsidRPr="0049084C">
              <w:rPr>
                <w:rFonts w:ascii="Calibri" w:eastAsia="Calibri" w:hAnsi="Calibri" w:cs="Calibri"/>
                <w:color w:val="000000" w:themeColor="text1"/>
              </w:rPr>
              <w:br/>
            </w:r>
            <w:r w:rsidRPr="0049084C">
              <w:br/>
            </w:r>
            <w:r w:rsidR="4F1E39A0" w:rsidRPr="0049084C">
              <w:rPr>
                <w:rFonts w:ascii="Calibri" w:eastAsia="Calibri" w:hAnsi="Calibri" w:cs="Calibri"/>
                <w:color w:val="000000" w:themeColor="text1"/>
              </w:rPr>
              <w:t xml:space="preserve">3. </w:t>
            </w:r>
            <w:r w:rsidR="5456FB72" w:rsidRPr="0049084C">
              <w:rPr>
                <w:rFonts w:ascii="Calibri" w:eastAsia="Calibri" w:hAnsi="Calibri" w:cs="Calibri"/>
                <w:color w:val="000000" w:themeColor="text1"/>
              </w:rPr>
              <w:t>E</w:t>
            </w:r>
            <w:r w:rsidR="4F1E39A0" w:rsidRPr="0049084C">
              <w:rPr>
                <w:rFonts w:ascii="Calibri" w:eastAsia="Calibri" w:hAnsi="Calibri" w:cs="Calibri"/>
                <w:color w:val="000000" w:themeColor="text1"/>
              </w:rPr>
              <w:t>xamples of promising practices, including ad-hoc programs and permanent regularization mechanisms</w:t>
            </w:r>
            <w:r w:rsidR="4B38FDC6" w:rsidRPr="0049084C">
              <w:rPr>
                <w:rFonts w:ascii="Calibri" w:eastAsia="Calibri" w:hAnsi="Calibri" w:cs="Calibri"/>
                <w:color w:val="000000" w:themeColor="text1"/>
              </w:rPr>
              <w:t>,</w:t>
            </w:r>
            <w:r w:rsidR="4F1E39A0" w:rsidRPr="0049084C">
              <w:rPr>
                <w:rFonts w:ascii="Calibri" w:eastAsia="Calibri" w:hAnsi="Calibri" w:cs="Calibri"/>
                <w:color w:val="000000" w:themeColor="text1"/>
              </w:rPr>
              <w:t xml:space="preserve"> </w:t>
            </w:r>
            <w:r w:rsidR="46505300" w:rsidRPr="0049084C">
              <w:rPr>
                <w:rFonts w:ascii="Calibri" w:eastAsia="Calibri" w:hAnsi="Calibri" w:cs="Calibri"/>
                <w:color w:val="000000" w:themeColor="text1"/>
              </w:rPr>
              <w:t>indicating</w:t>
            </w:r>
            <w:r w:rsidR="4F1E39A0" w:rsidRPr="0049084C">
              <w:rPr>
                <w:rFonts w:ascii="Calibri" w:eastAsia="Calibri" w:hAnsi="Calibri" w:cs="Calibri"/>
                <w:color w:val="000000" w:themeColor="text1"/>
              </w:rPr>
              <w:t xml:space="preserve"> any specific challenges, with particular attention on how such challenges affect migrant workers, women and girls, children, and other persons</w:t>
            </w:r>
            <w:r w:rsidR="15762382" w:rsidRPr="0049084C">
              <w:rPr>
                <w:rFonts w:ascii="Calibri" w:eastAsia="Calibri" w:hAnsi="Calibri" w:cs="Calibri"/>
                <w:color w:val="000000" w:themeColor="text1"/>
              </w:rPr>
              <w:t>/</w:t>
            </w:r>
            <w:r w:rsidR="4F1E39A0" w:rsidRPr="0049084C">
              <w:rPr>
                <w:rFonts w:ascii="Calibri" w:eastAsia="Calibri" w:hAnsi="Calibri" w:cs="Calibri"/>
                <w:color w:val="000000" w:themeColor="text1"/>
              </w:rPr>
              <w:t>groups</w:t>
            </w:r>
            <w:r w:rsidR="397CA3D4" w:rsidRPr="0049084C">
              <w:rPr>
                <w:rFonts w:ascii="Calibri" w:eastAsia="Calibri" w:hAnsi="Calibri" w:cs="Calibri"/>
                <w:color w:val="000000" w:themeColor="text1"/>
              </w:rPr>
              <w:t>.</w:t>
            </w:r>
          </w:p>
        </w:tc>
      </w:tr>
    </w:tbl>
    <w:p w14:paraId="596420E7" w14:textId="406926DB" w:rsidR="4452FABA" w:rsidRPr="0049084C" w:rsidRDefault="002F07C3" w:rsidP="74E5CDFF">
      <w:pPr>
        <w:rPr>
          <w:rFonts w:ascii="Calibri" w:eastAsia="Calibri" w:hAnsi="Calibri" w:cs="Calibri"/>
        </w:rPr>
      </w:pPr>
      <w:r w:rsidRPr="0049084C">
        <w:rPr>
          <w:rFonts w:ascii="Calibri" w:eastAsia="Calibri" w:hAnsi="Calibri" w:cs="Calibri"/>
          <w:color w:val="000000" w:themeColor="text1"/>
        </w:rPr>
        <w:br/>
      </w:r>
      <w:r w:rsidR="4452FABA" w:rsidRPr="0049084C">
        <w:rPr>
          <w:rFonts w:ascii="Calibri" w:eastAsia="Calibri" w:hAnsi="Calibri" w:cs="Calibri"/>
          <w:color w:val="000000" w:themeColor="text1"/>
        </w:rPr>
        <w:t>While 164 states adopted the GCM,</w:t>
      </w:r>
      <w:r w:rsidR="47105074" w:rsidRPr="0049084C">
        <w:rPr>
          <w:rFonts w:ascii="Calibri" w:eastAsia="Calibri" w:hAnsi="Calibri" w:cs="Calibri"/>
          <w:color w:val="000000" w:themeColor="text1"/>
        </w:rPr>
        <w:t xml:space="preserve"> committing to</w:t>
      </w:r>
      <w:r w:rsidR="47105074" w:rsidRPr="0049084C">
        <w:t xml:space="preserve"> “</w:t>
      </w:r>
      <w:r w:rsidR="47105074" w:rsidRPr="0049084C">
        <w:rPr>
          <w:b/>
          <w:bCs/>
        </w:rPr>
        <w:t>build on existing practices to facilitate access for migrants in an irregular status to an individual assessment that may lead to regular status</w:t>
      </w:r>
      <w:r w:rsidR="47105074" w:rsidRPr="0049084C">
        <w:t>...</w:t>
      </w:r>
      <w:r w:rsidR="47105074" w:rsidRPr="0049084C">
        <w:rPr>
          <w:b/>
          <w:bCs/>
        </w:rPr>
        <w:t>especially in cases where children, youth and families are involved</w:t>
      </w:r>
      <w:r w:rsidR="47105074" w:rsidRPr="0049084C">
        <w:t>,</w:t>
      </w:r>
      <w:r w:rsidR="47105074" w:rsidRPr="0049084C">
        <w:rPr>
          <w:b/>
          <w:bCs/>
        </w:rPr>
        <w:t xml:space="preserve">” </w:t>
      </w:r>
      <w:r w:rsidR="4452FABA" w:rsidRPr="0049084C">
        <w:rPr>
          <w:rFonts w:ascii="Calibri" w:eastAsia="Calibri" w:hAnsi="Calibri" w:cs="Calibri"/>
          <w:color w:val="000000" w:themeColor="text1"/>
        </w:rPr>
        <w:t xml:space="preserve">only a small portion have taken </w:t>
      </w:r>
      <w:r w:rsidR="699DBEDF" w:rsidRPr="0049084C">
        <w:rPr>
          <w:rFonts w:ascii="Calibri" w:eastAsia="Calibri" w:hAnsi="Calibri" w:cs="Calibri"/>
          <w:color w:val="000000" w:themeColor="text1"/>
        </w:rPr>
        <w:t xml:space="preserve">steps to facilitate access to regular </w:t>
      </w:r>
      <w:r w:rsidR="699DBEDF" w:rsidRPr="0049084C">
        <w:rPr>
          <w:rFonts w:ascii="Calibri" w:eastAsia="Calibri" w:hAnsi="Calibri" w:cs="Calibri"/>
        </w:rPr>
        <w:t>status</w:t>
      </w:r>
      <w:r w:rsidR="4452FABA" w:rsidRPr="0049084C">
        <w:rPr>
          <w:rFonts w:ascii="Calibri" w:eastAsia="Calibri" w:hAnsi="Calibri" w:cs="Calibri"/>
        </w:rPr>
        <w:t xml:space="preserve">. </w:t>
      </w:r>
      <w:r w:rsidR="6236CA7A" w:rsidRPr="0049084C">
        <w:rPr>
          <w:rFonts w:ascii="Calibri" w:eastAsia="Calibri" w:hAnsi="Calibri" w:cs="Calibri"/>
        </w:rPr>
        <w:t>Below is a non-exhaustive list</w:t>
      </w:r>
      <w:r w:rsidR="00BF18F8" w:rsidRPr="0049084C">
        <w:rPr>
          <w:rFonts w:ascii="Calibri" w:eastAsia="Calibri" w:hAnsi="Calibri" w:cs="Calibri"/>
        </w:rPr>
        <w:t xml:space="preserve"> (in no particular order)</w:t>
      </w:r>
      <w:r w:rsidR="6236CA7A" w:rsidRPr="0049084C">
        <w:rPr>
          <w:rFonts w:ascii="Calibri" w:eastAsia="Calibri" w:hAnsi="Calibri" w:cs="Calibri"/>
        </w:rPr>
        <w:t xml:space="preserve">: </w:t>
      </w:r>
    </w:p>
    <w:p w14:paraId="26169A0B" w14:textId="392B5227" w:rsidR="18A17F2C" w:rsidRPr="0049084C" w:rsidRDefault="18A17F2C" w:rsidP="74E5CDFF">
      <w:pPr>
        <w:pStyle w:val="ListParagraph"/>
        <w:numPr>
          <w:ilvl w:val="0"/>
          <w:numId w:val="5"/>
        </w:numPr>
        <w:rPr>
          <w:rFonts w:eastAsiaTheme="minorEastAsia"/>
          <w:color w:val="000000" w:themeColor="text1"/>
          <w:lang w:val="en"/>
        </w:rPr>
      </w:pPr>
      <w:r w:rsidRPr="0049084C">
        <w:rPr>
          <w:rFonts w:eastAsiaTheme="minorEastAsia"/>
          <w:color w:val="000000" w:themeColor="text1"/>
          <w:lang w:val="en"/>
        </w:rPr>
        <w:t>The United States’ Deferred Action for Childhood Arrivals P</w:t>
      </w:r>
      <w:r w:rsidR="3E45A667" w:rsidRPr="0049084C">
        <w:rPr>
          <w:rFonts w:eastAsiaTheme="minorEastAsia"/>
          <w:color w:val="000000" w:themeColor="text1"/>
          <w:lang w:val="en"/>
        </w:rPr>
        <w:t>rogram (DACA) which went into effect in 2012</w:t>
      </w:r>
      <w:r w:rsidR="674F89CC" w:rsidRPr="0049084C">
        <w:rPr>
          <w:rFonts w:eastAsiaTheme="minorEastAsia"/>
          <w:color w:val="000000" w:themeColor="text1"/>
          <w:lang w:val="en"/>
        </w:rPr>
        <w:t>,</w:t>
      </w:r>
      <w:r w:rsidR="5A68EDB3" w:rsidRPr="0049084C">
        <w:rPr>
          <w:rFonts w:eastAsiaTheme="minorEastAsia"/>
          <w:color w:val="000000" w:themeColor="text1"/>
          <w:lang w:val="en"/>
        </w:rPr>
        <w:t xml:space="preserve"> has provided over 800,000 undocument</w:t>
      </w:r>
      <w:r w:rsidR="5D7414C0" w:rsidRPr="0049084C">
        <w:rPr>
          <w:rFonts w:eastAsiaTheme="minorEastAsia"/>
          <w:color w:val="000000" w:themeColor="text1"/>
          <w:lang w:val="en"/>
        </w:rPr>
        <w:t>ed</w:t>
      </w:r>
      <w:r w:rsidR="5A68EDB3" w:rsidRPr="0049084C">
        <w:rPr>
          <w:rFonts w:eastAsiaTheme="minorEastAsia"/>
          <w:color w:val="000000" w:themeColor="text1"/>
          <w:lang w:val="en"/>
        </w:rPr>
        <w:t xml:space="preserve"> immigrant youth who meet eligibility requirements regarding age at arrival, education, and background record, with the ability to reside legally in the U.S. without risk of deportation, </w:t>
      </w:r>
      <w:r w:rsidR="7010CC49" w:rsidRPr="0049084C">
        <w:rPr>
          <w:rFonts w:eastAsiaTheme="minorEastAsia"/>
          <w:color w:val="000000" w:themeColor="text1"/>
          <w:lang w:val="en"/>
        </w:rPr>
        <w:t xml:space="preserve">to receive a social security number, </w:t>
      </w:r>
      <w:r w:rsidR="5A68EDB3" w:rsidRPr="0049084C">
        <w:rPr>
          <w:rFonts w:eastAsiaTheme="minorEastAsia"/>
          <w:color w:val="000000" w:themeColor="text1"/>
          <w:lang w:val="en"/>
        </w:rPr>
        <w:t xml:space="preserve">to continue pursuing education, to work, and to obtain drivers’ licenses. </w:t>
      </w:r>
    </w:p>
    <w:p w14:paraId="43E3F60D" w14:textId="6DFA0616" w:rsidR="77F17C7C" w:rsidRPr="0049084C" w:rsidRDefault="77F17C7C" w:rsidP="74E5CDFF">
      <w:pPr>
        <w:pStyle w:val="ListParagraph"/>
        <w:numPr>
          <w:ilvl w:val="0"/>
          <w:numId w:val="5"/>
        </w:numPr>
        <w:rPr>
          <w:rFonts w:eastAsiaTheme="minorEastAsia"/>
          <w:color w:val="000000" w:themeColor="text1"/>
          <w:lang w:val="en"/>
        </w:rPr>
      </w:pPr>
      <w:r w:rsidRPr="0049084C">
        <w:rPr>
          <w:rFonts w:eastAsiaTheme="minorEastAsia"/>
          <w:color w:val="000000" w:themeColor="text1"/>
          <w:lang w:val="en"/>
        </w:rPr>
        <w:lastRenderedPageBreak/>
        <w:t>Colombia</w:t>
      </w:r>
      <w:r w:rsidR="19C745BC" w:rsidRPr="0049084C">
        <w:rPr>
          <w:rFonts w:eastAsiaTheme="minorEastAsia"/>
          <w:color w:val="000000" w:themeColor="text1"/>
          <w:lang w:val="en"/>
        </w:rPr>
        <w:t>’s 2019</w:t>
      </w:r>
      <w:r w:rsidRPr="0049084C">
        <w:rPr>
          <w:rFonts w:eastAsiaTheme="minorEastAsia"/>
          <w:color w:val="000000" w:themeColor="text1"/>
          <w:lang w:val="en"/>
        </w:rPr>
        <w:t xml:space="preserve"> transitory measure “Primera la </w:t>
      </w:r>
      <w:proofErr w:type="spellStart"/>
      <w:r w:rsidRPr="0049084C">
        <w:rPr>
          <w:rFonts w:eastAsiaTheme="minorEastAsia"/>
          <w:color w:val="000000" w:themeColor="text1"/>
          <w:lang w:val="en"/>
        </w:rPr>
        <w:t>niñez</w:t>
      </w:r>
      <w:proofErr w:type="spellEnd"/>
      <w:r w:rsidRPr="0049084C">
        <w:rPr>
          <w:rFonts w:eastAsiaTheme="minorEastAsia"/>
          <w:color w:val="000000" w:themeColor="text1"/>
          <w:lang w:val="en"/>
        </w:rPr>
        <w:t>” to prevent statelessness, granting nationality to children of Venezuelan families born in Colombia as of January 1, 2015</w:t>
      </w:r>
      <w:r w:rsidR="000B4E77" w:rsidRPr="0049084C">
        <w:rPr>
          <w:rFonts w:eastAsiaTheme="minorEastAsia"/>
          <w:color w:val="000000" w:themeColor="text1"/>
          <w:lang w:val="en"/>
        </w:rPr>
        <w:t>, remaining in force until September 2023</w:t>
      </w:r>
      <w:r w:rsidRPr="0049084C">
        <w:rPr>
          <w:rStyle w:val="EndnoteReference"/>
          <w:rFonts w:eastAsiaTheme="minorEastAsia"/>
          <w:color w:val="000000" w:themeColor="text1"/>
          <w:lang w:val="en"/>
        </w:rPr>
        <w:endnoteReference w:id="14"/>
      </w:r>
    </w:p>
    <w:p w14:paraId="41D9F8B6" w14:textId="59DE3824" w:rsidR="70CC1706" w:rsidRPr="0049084C" w:rsidRDefault="70CC1706" w:rsidP="74E5CDFF">
      <w:pPr>
        <w:pStyle w:val="ListParagraph"/>
        <w:numPr>
          <w:ilvl w:val="0"/>
          <w:numId w:val="5"/>
        </w:numPr>
        <w:rPr>
          <w:rFonts w:eastAsiaTheme="minorEastAsia"/>
        </w:rPr>
      </w:pPr>
      <w:r w:rsidRPr="0049084C">
        <w:rPr>
          <w:rFonts w:eastAsiaTheme="minorEastAsia"/>
        </w:rPr>
        <w:t>Colombia</w:t>
      </w:r>
      <w:r w:rsidR="7727DD46" w:rsidRPr="0049084C">
        <w:rPr>
          <w:rFonts w:eastAsiaTheme="minorEastAsia"/>
        </w:rPr>
        <w:t>’s 2021</w:t>
      </w:r>
      <w:r w:rsidR="1E729DD5" w:rsidRPr="0049084C">
        <w:rPr>
          <w:rFonts w:eastAsiaTheme="minorEastAsia"/>
        </w:rPr>
        <w:t xml:space="preserve"> Statute for Temporary Protection for Venezuelan Migrants</w:t>
      </w:r>
      <w:r w:rsidRPr="0049084C">
        <w:rPr>
          <w:rStyle w:val="EndnoteReference"/>
          <w:rFonts w:eastAsiaTheme="minorEastAsia"/>
        </w:rPr>
        <w:endnoteReference w:id="15"/>
      </w:r>
      <w:r w:rsidR="1E729DD5" w:rsidRPr="0049084C">
        <w:rPr>
          <w:rFonts w:eastAsiaTheme="minorEastAsia"/>
        </w:rPr>
        <w:t xml:space="preserve"> </w:t>
      </w:r>
      <w:r w:rsidR="1F5B2057" w:rsidRPr="0049084C">
        <w:rPr>
          <w:rFonts w:eastAsiaTheme="minorEastAsia"/>
        </w:rPr>
        <w:t xml:space="preserve">offering the possibility of </w:t>
      </w:r>
      <w:r w:rsidR="3C584CF7" w:rsidRPr="0049084C">
        <w:rPr>
          <w:rFonts w:eastAsiaTheme="minorEastAsia"/>
        </w:rPr>
        <w:t>regularization for the m</w:t>
      </w:r>
      <w:r w:rsidR="2CD9DF77" w:rsidRPr="0049084C">
        <w:rPr>
          <w:rFonts w:eastAsiaTheme="minorEastAsia"/>
        </w:rPr>
        <w:t>ore than 1.8 million Venezuelans settled in Colombia (</w:t>
      </w:r>
      <w:r w:rsidR="000B4E77" w:rsidRPr="0049084C">
        <w:rPr>
          <w:rFonts w:eastAsiaTheme="minorEastAsia"/>
        </w:rPr>
        <w:t xml:space="preserve">estimated to be </w:t>
      </w:r>
      <w:r w:rsidR="2CD9DF77" w:rsidRPr="0049084C">
        <w:rPr>
          <w:rFonts w:eastAsiaTheme="minorEastAsia"/>
        </w:rPr>
        <w:t>24% children)</w:t>
      </w:r>
      <w:r w:rsidR="5D8A0C80" w:rsidRPr="0049084C">
        <w:rPr>
          <w:rFonts w:eastAsiaTheme="minorEastAsia"/>
        </w:rPr>
        <w:t>, allowing them to work legally, access the education and health systems, public and private services, and successfully integrate</w:t>
      </w:r>
      <w:r w:rsidR="2CD9DF77" w:rsidRPr="0049084C">
        <w:rPr>
          <w:rFonts w:eastAsiaTheme="minorEastAsia"/>
        </w:rPr>
        <w:t>.</w:t>
      </w:r>
      <w:r w:rsidR="6A2919D5" w:rsidRPr="0049084C">
        <w:rPr>
          <w:rFonts w:eastAsiaTheme="minorEastAsia"/>
        </w:rPr>
        <w:t xml:space="preserve"> </w:t>
      </w:r>
      <w:r w:rsidR="2CD9DF77" w:rsidRPr="0049084C">
        <w:rPr>
          <w:rFonts w:eastAsiaTheme="minorEastAsia"/>
        </w:rPr>
        <w:t>The Temporary Protection Statute is v</w:t>
      </w:r>
      <w:r w:rsidR="1E729DD5" w:rsidRPr="0049084C">
        <w:rPr>
          <w:rFonts w:eastAsiaTheme="minorEastAsia"/>
        </w:rPr>
        <w:t>alid for ten years until 30 May 2031</w:t>
      </w:r>
      <w:r w:rsidR="3E883C9B" w:rsidRPr="0049084C">
        <w:rPr>
          <w:rFonts w:eastAsiaTheme="minorEastAsia"/>
        </w:rPr>
        <w:t>.</w:t>
      </w:r>
      <w:r w:rsidR="6A741A4B" w:rsidRPr="0049084C">
        <w:rPr>
          <w:rFonts w:eastAsiaTheme="minorEastAsia"/>
        </w:rPr>
        <w:t xml:space="preserve"> </w:t>
      </w:r>
      <w:r w:rsidR="12537B52" w:rsidRPr="0049084C">
        <w:rPr>
          <w:rFonts w:eastAsiaTheme="minorEastAsia"/>
        </w:rPr>
        <w:t xml:space="preserve">Promising </w:t>
      </w:r>
      <w:r w:rsidR="7A10584D" w:rsidRPr="0049084C">
        <w:rPr>
          <w:rFonts w:eastAsiaTheme="minorEastAsia"/>
        </w:rPr>
        <w:t xml:space="preserve">child-sensitive </w:t>
      </w:r>
      <w:r w:rsidR="12537B52" w:rsidRPr="0049084C">
        <w:rPr>
          <w:rFonts w:eastAsiaTheme="minorEastAsia"/>
        </w:rPr>
        <w:t xml:space="preserve">practices that make this regularization program stand out include: </w:t>
      </w:r>
      <w:r w:rsidR="596C1A1E" w:rsidRPr="0049084C">
        <w:rPr>
          <w:rFonts w:eastAsiaTheme="minorEastAsia"/>
        </w:rPr>
        <w:t>that i</w:t>
      </w:r>
      <w:r w:rsidR="12537B52" w:rsidRPr="0049084C">
        <w:rPr>
          <w:rFonts w:eastAsiaTheme="minorEastAsia"/>
        </w:rPr>
        <w:t xml:space="preserve">ts design included a specific chapter for children and adolescents; </w:t>
      </w:r>
      <w:r w:rsidR="397B7364" w:rsidRPr="0049084C">
        <w:rPr>
          <w:rFonts w:eastAsiaTheme="minorEastAsia"/>
        </w:rPr>
        <w:t>the Colombian Institute for Family Welfare, Ministry of Education and Ministry of Health and Social Protection are involved in coordinating the program alongside the migration authority in cases of children and adolescents</w:t>
      </w:r>
      <w:r w:rsidR="12537B52" w:rsidRPr="0049084C">
        <w:rPr>
          <w:rFonts w:eastAsiaTheme="minorEastAsia"/>
        </w:rPr>
        <w:t>;</w:t>
      </w:r>
      <w:r w:rsidR="0B593C00" w:rsidRPr="0049084C">
        <w:rPr>
          <w:rFonts w:eastAsiaTheme="minorEastAsia"/>
        </w:rPr>
        <w:t xml:space="preserve"> </w:t>
      </w:r>
      <w:r w:rsidR="12537B52" w:rsidRPr="0049084C">
        <w:rPr>
          <w:rFonts w:eastAsiaTheme="minorEastAsia"/>
        </w:rPr>
        <w:t>c</w:t>
      </w:r>
      <w:r w:rsidR="29AC1014" w:rsidRPr="0049084C">
        <w:rPr>
          <w:rFonts w:eastAsiaTheme="minorEastAsia"/>
        </w:rPr>
        <w:t>hildren and adolescents who do not have identity documentation can register</w:t>
      </w:r>
      <w:r w:rsidR="546D407F" w:rsidRPr="0049084C">
        <w:rPr>
          <w:rFonts w:eastAsiaTheme="minorEastAsia"/>
        </w:rPr>
        <w:t>;</w:t>
      </w:r>
      <w:r w:rsidR="29AC1014" w:rsidRPr="0049084C">
        <w:rPr>
          <w:rFonts w:eastAsiaTheme="minorEastAsia"/>
        </w:rPr>
        <w:t xml:space="preserve"> </w:t>
      </w:r>
      <w:r w:rsidR="5032BC9C" w:rsidRPr="0049084C">
        <w:rPr>
          <w:rFonts w:eastAsiaTheme="minorEastAsia"/>
        </w:rPr>
        <w:t>k</w:t>
      </w:r>
      <w:r w:rsidR="29AC1014" w:rsidRPr="0049084C">
        <w:rPr>
          <w:rFonts w:eastAsiaTheme="minorEastAsia"/>
        </w:rPr>
        <w:t>inship is</w:t>
      </w:r>
      <w:r w:rsidR="363217D9" w:rsidRPr="0049084C">
        <w:rPr>
          <w:rFonts w:eastAsiaTheme="minorEastAsia"/>
        </w:rPr>
        <w:t xml:space="preserve"> </w:t>
      </w:r>
      <w:r w:rsidR="29AC1014" w:rsidRPr="0049084C">
        <w:rPr>
          <w:rFonts w:eastAsiaTheme="minorEastAsia"/>
        </w:rPr>
        <w:t>recognized</w:t>
      </w:r>
      <w:r w:rsidR="3A7541EC" w:rsidRPr="0049084C">
        <w:rPr>
          <w:rFonts w:eastAsiaTheme="minorEastAsia"/>
        </w:rPr>
        <w:t>;</w:t>
      </w:r>
      <w:r w:rsidR="29AC1014" w:rsidRPr="0049084C">
        <w:rPr>
          <w:rFonts w:eastAsiaTheme="minorEastAsia"/>
        </w:rPr>
        <w:t xml:space="preserve"> </w:t>
      </w:r>
      <w:r w:rsidR="12253EB5" w:rsidRPr="0049084C">
        <w:rPr>
          <w:rFonts w:eastAsiaTheme="minorEastAsia"/>
        </w:rPr>
        <w:t>c</w:t>
      </w:r>
      <w:r w:rsidR="4D85CC20" w:rsidRPr="0049084C">
        <w:rPr>
          <w:rFonts w:eastAsiaTheme="minorEastAsia"/>
        </w:rPr>
        <w:t xml:space="preserve">hildren are prioritized in the online pre-registration and biometric registration processes, so they are the first to receive their </w:t>
      </w:r>
      <w:r w:rsidR="2D119036" w:rsidRPr="0049084C">
        <w:rPr>
          <w:rFonts w:eastAsiaTheme="minorEastAsia"/>
        </w:rPr>
        <w:t>identity cards</w:t>
      </w:r>
      <w:r w:rsidR="4D85CC20" w:rsidRPr="0049084C">
        <w:rPr>
          <w:rFonts w:eastAsiaTheme="minorEastAsia"/>
        </w:rPr>
        <w:t>.</w:t>
      </w:r>
    </w:p>
    <w:p w14:paraId="3BA958D3" w14:textId="50C59970" w:rsidR="348E86C6" w:rsidRPr="0049084C" w:rsidRDefault="348E86C6" w:rsidP="74E5CDFF">
      <w:pPr>
        <w:pStyle w:val="ListParagraph"/>
        <w:numPr>
          <w:ilvl w:val="0"/>
          <w:numId w:val="5"/>
        </w:numPr>
        <w:rPr>
          <w:lang w:val="en-GB"/>
        </w:rPr>
      </w:pPr>
      <w:r w:rsidRPr="0049084C">
        <w:rPr>
          <w:rFonts w:eastAsiaTheme="minorEastAsia"/>
          <w:color w:val="000000" w:themeColor="text1"/>
          <w:lang w:val="en-GB"/>
        </w:rPr>
        <w:t>Bolivia's 2021 Supreme Decree 4576</w:t>
      </w:r>
      <w:r w:rsidRPr="0049084C">
        <w:rPr>
          <w:rStyle w:val="EndnoteReference"/>
          <w:rFonts w:eastAsiaTheme="minorEastAsia"/>
          <w:color w:val="000000" w:themeColor="text1"/>
          <w:lang w:val="en-GB"/>
        </w:rPr>
        <w:endnoteReference w:id="16"/>
      </w:r>
      <w:r w:rsidRPr="0049084C">
        <w:rPr>
          <w:rFonts w:eastAsiaTheme="minorEastAsia"/>
          <w:color w:val="000000" w:themeColor="text1"/>
          <w:lang w:val="en-GB"/>
        </w:rPr>
        <w:t xml:space="preserve"> </w:t>
      </w:r>
      <w:r w:rsidR="3984CA83" w:rsidRPr="0049084C">
        <w:rPr>
          <w:lang w:val="en-GB"/>
        </w:rPr>
        <w:t>allowing people with irregular status to regularize for up to 2 years</w:t>
      </w:r>
      <w:r w:rsidRPr="0049084C">
        <w:rPr>
          <w:lang w:val="en-GB"/>
        </w:rPr>
        <w:t>.</w:t>
      </w:r>
    </w:p>
    <w:p w14:paraId="7C8AEB21" w14:textId="169DBCA7" w:rsidR="70CC1706" w:rsidRPr="0049084C" w:rsidRDefault="70CC1706" w:rsidP="74E5CDFF">
      <w:pPr>
        <w:pStyle w:val="ListParagraph"/>
        <w:numPr>
          <w:ilvl w:val="0"/>
          <w:numId w:val="5"/>
        </w:numPr>
      </w:pPr>
      <w:r w:rsidRPr="0049084C">
        <w:rPr>
          <w:rFonts w:eastAsiaTheme="minorEastAsia"/>
        </w:rPr>
        <w:t>Morocco</w:t>
      </w:r>
      <w:r w:rsidR="0DA5ACD1" w:rsidRPr="0049084C">
        <w:rPr>
          <w:rFonts w:eastAsiaTheme="minorEastAsia"/>
        </w:rPr>
        <w:t xml:space="preserve"> </w:t>
      </w:r>
      <w:r w:rsidR="3C0C316E" w:rsidRPr="0049084C">
        <w:rPr>
          <w:rFonts w:eastAsiaTheme="minorEastAsia"/>
        </w:rPr>
        <w:t>implemented two exceptional regularization</w:t>
      </w:r>
      <w:r w:rsidR="3A9C34DE" w:rsidRPr="0049084C">
        <w:rPr>
          <w:rFonts w:eastAsiaTheme="minorEastAsia"/>
        </w:rPr>
        <w:t>s</w:t>
      </w:r>
      <w:r w:rsidR="100F3908" w:rsidRPr="0049084C">
        <w:rPr>
          <w:rFonts w:eastAsiaTheme="minorEastAsia"/>
        </w:rPr>
        <w:t xml:space="preserve"> between 2014-2017. Eligible groups included</w:t>
      </w:r>
      <w:r w:rsidR="3A9C34DE" w:rsidRPr="0049084C">
        <w:rPr>
          <w:rFonts w:eastAsiaTheme="minorEastAsia"/>
        </w:rPr>
        <w:t xml:space="preserve"> </w:t>
      </w:r>
      <w:r w:rsidR="3A9C34DE" w:rsidRPr="0049084C">
        <w:t xml:space="preserve">a) spouses of Moroccan nationals </w:t>
      </w:r>
      <w:r w:rsidR="22FD3A5E" w:rsidRPr="0049084C">
        <w:t>or foreigners in a regular situation</w:t>
      </w:r>
      <w:r w:rsidR="3A9C34DE" w:rsidRPr="0049084C">
        <w:t xml:space="preserve">; </w:t>
      </w:r>
      <w:r w:rsidR="44E3CA17" w:rsidRPr="0049084C">
        <w:t>b</w:t>
      </w:r>
      <w:r w:rsidR="3A9C34DE" w:rsidRPr="0049084C">
        <w:t xml:space="preserve">) foreigners </w:t>
      </w:r>
      <w:r w:rsidR="79C54C31" w:rsidRPr="0049084C">
        <w:t>who could prove a professional activity</w:t>
      </w:r>
      <w:r w:rsidR="3A9C34DE" w:rsidRPr="0049084C">
        <w:t xml:space="preserve">; </w:t>
      </w:r>
      <w:r w:rsidR="73E2E7EF" w:rsidRPr="0049084C">
        <w:t>c</w:t>
      </w:r>
      <w:r w:rsidR="3A9C34DE" w:rsidRPr="0049084C">
        <w:t xml:space="preserve">) foreigners with five years of continuous residence in Morocco; </w:t>
      </w:r>
      <w:r w:rsidR="7DF01943" w:rsidRPr="0049084C">
        <w:t>d</w:t>
      </w:r>
      <w:r w:rsidR="3A9C34DE" w:rsidRPr="0049084C">
        <w:t>) foreigners with serious illnesses</w:t>
      </w:r>
      <w:r w:rsidR="529219FF" w:rsidRPr="0049084C">
        <w:t xml:space="preserve">; </w:t>
      </w:r>
      <w:r w:rsidR="7F5312AB" w:rsidRPr="0049084C">
        <w:t>e</w:t>
      </w:r>
      <w:r w:rsidR="529219FF" w:rsidRPr="0049084C">
        <w:t xml:space="preserve">) </w:t>
      </w:r>
      <w:r w:rsidR="18529FEC" w:rsidRPr="0049084C">
        <w:t xml:space="preserve">foreign </w:t>
      </w:r>
      <w:r w:rsidR="529219FF" w:rsidRPr="0049084C">
        <w:t>women and their children</w:t>
      </w:r>
      <w:r w:rsidR="4A05771A" w:rsidRPr="0049084C">
        <w:t xml:space="preserve"> under 18</w:t>
      </w:r>
      <w:r w:rsidR="529219FF" w:rsidRPr="0049084C">
        <w:t xml:space="preserve">; </w:t>
      </w:r>
      <w:r w:rsidR="66DE2695" w:rsidRPr="0049084C">
        <w:t>f</w:t>
      </w:r>
      <w:r w:rsidR="529219FF" w:rsidRPr="0049084C">
        <w:t xml:space="preserve">) unaccompanied children; </w:t>
      </w:r>
      <w:r w:rsidR="2C9FFEDC" w:rsidRPr="0049084C">
        <w:t>g</w:t>
      </w:r>
      <w:r w:rsidR="529219FF" w:rsidRPr="0049084C">
        <w:t>) foreigners who have not been able to prove five years of residence in Morocco but who have a college education or an equivalent.</w:t>
      </w:r>
      <w:r w:rsidRPr="0049084C">
        <w:rPr>
          <w:rStyle w:val="EndnoteReference"/>
        </w:rPr>
        <w:endnoteReference w:id="17"/>
      </w:r>
    </w:p>
    <w:p w14:paraId="37AAE508" w14:textId="58AC5A7D" w:rsidR="798B1341" w:rsidRPr="0049084C" w:rsidRDefault="6792552F" w:rsidP="74E5CDFF">
      <w:pPr>
        <w:pStyle w:val="ListParagraph"/>
        <w:numPr>
          <w:ilvl w:val="0"/>
          <w:numId w:val="5"/>
        </w:numPr>
        <w:rPr>
          <w:rFonts w:eastAsiaTheme="minorEastAsia"/>
        </w:rPr>
      </w:pPr>
      <w:r w:rsidRPr="0049084C">
        <w:t>Chile</w:t>
      </w:r>
      <w:r w:rsidR="319F5FED" w:rsidRPr="0049084C">
        <w:t>'s 2017</w:t>
      </w:r>
      <w:r w:rsidR="1D566DF8" w:rsidRPr="0049084C">
        <w:t xml:space="preserve"> National Plan of Regularization of </w:t>
      </w:r>
      <w:r w:rsidR="1D566DF8" w:rsidRPr="0049084C">
        <w:rPr>
          <w:rFonts w:eastAsiaTheme="minorEastAsia"/>
        </w:rPr>
        <w:t xml:space="preserve">Migrant Children </w:t>
      </w:r>
      <w:r w:rsidR="3DA101C8" w:rsidRPr="0049084C">
        <w:rPr>
          <w:rFonts w:eastAsiaTheme="minorEastAsia"/>
        </w:rPr>
        <w:t xml:space="preserve">in 2017 </w:t>
      </w:r>
      <w:r w:rsidR="1D566DF8" w:rsidRPr="0049084C">
        <w:rPr>
          <w:rFonts w:eastAsiaTheme="minorEastAsia"/>
        </w:rPr>
        <w:t xml:space="preserve">to regularize migrant children and adolescents </w:t>
      </w:r>
      <w:r w:rsidR="26685D90" w:rsidRPr="0049084C">
        <w:rPr>
          <w:rFonts w:eastAsiaTheme="minorEastAsia"/>
        </w:rPr>
        <w:t>in schools</w:t>
      </w:r>
      <w:r w:rsidR="11C02F4E" w:rsidRPr="0049084C">
        <w:rPr>
          <w:rFonts w:eastAsiaTheme="minorEastAsia"/>
        </w:rPr>
        <w:t xml:space="preserve"> </w:t>
      </w:r>
      <w:r w:rsidR="1D566DF8" w:rsidRPr="0049084C">
        <w:rPr>
          <w:rFonts w:eastAsiaTheme="minorEastAsia"/>
        </w:rPr>
        <w:t>and day-care cente</w:t>
      </w:r>
      <w:r w:rsidR="65D18CCF" w:rsidRPr="0049084C">
        <w:rPr>
          <w:rFonts w:eastAsiaTheme="minorEastAsia"/>
        </w:rPr>
        <w:t>r</w:t>
      </w:r>
      <w:r w:rsidR="1D566DF8" w:rsidRPr="0049084C">
        <w:rPr>
          <w:rFonts w:eastAsiaTheme="minorEastAsia"/>
        </w:rPr>
        <w:t xml:space="preserve">s, </w:t>
      </w:r>
      <w:r w:rsidR="6F4ED850" w:rsidRPr="0049084C">
        <w:rPr>
          <w:rFonts w:eastAsiaTheme="minorEastAsia"/>
        </w:rPr>
        <w:t>regardless of</w:t>
      </w:r>
      <w:r w:rsidR="1D566DF8" w:rsidRPr="0049084C">
        <w:rPr>
          <w:rFonts w:eastAsiaTheme="minorEastAsia"/>
        </w:rPr>
        <w:t xml:space="preserve"> the immigration status of their parents.</w:t>
      </w:r>
      <w:r w:rsidR="798B1341" w:rsidRPr="0049084C">
        <w:rPr>
          <w:rStyle w:val="EndnoteReference"/>
          <w:rFonts w:eastAsiaTheme="minorEastAsia"/>
        </w:rPr>
        <w:endnoteReference w:id="18"/>
      </w:r>
    </w:p>
    <w:p w14:paraId="6BAE7565" w14:textId="3B2813F1" w:rsidR="58B046F6" w:rsidRPr="0049084C" w:rsidRDefault="58B046F6" w:rsidP="57194874">
      <w:pPr>
        <w:pStyle w:val="ListParagraph"/>
        <w:numPr>
          <w:ilvl w:val="0"/>
          <w:numId w:val="5"/>
        </w:numPr>
      </w:pPr>
      <w:r w:rsidRPr="0049084C">
        <w:rPr>
          <w:rFonts w:eastAsiaTheme="minorEastAsia"/>
          <w:color w:val="201E1D"/>
        </w:rPr>
        <w:t>In</w:t>
      </w:r>
      <w:r w:rsidR="1D566DF8" w:rsidRPr="0049084C">
        <w:rPr>
          <w:rFonts w:eastAsiaTheme="minorEastAsia"/>
          <w:color w:val="201E1D"/>
        </w:rPr>
        <w:t xml:space="preserve"> </w:t>
      </w:r>
      <w:r w:rsidRPr="0049084C">
        <w:rPr>
          <w:rFonts w:eastAsiaTheme="minorEastAsia"/>
          <w:color w:val="201E1D"/>
        </w:rPr>
        <w:t xml:space="preserve">Europe, </w:t>
      </w:r>
      <w:r w:rsidR="1D566DF8" w:rsidRPr="0049084C">
        <w:t>24 of the 27 EU member states implemented regulari</w:t>
      </w:r>
      <w:r w:rsidR="3FFA24B3" w:rsidRPr="0049084C">
        <w:t>z</w:t>
      </w:r>
      <w:r w:rsidR="1D566DF8" w:rsidRPr="0049084C">
        <w:t>ation programs or mechanisms between 1996 and 2008</w:t>
      </w:r>
      <w:r w:rsidR="0A313480" w:rsidRPr="0049084C">
        <w:t>,</w:t>
      </w:r>
      <w:r w:rsidR="12E9C8A0" w:rsidRPr="0049084C">
        <w:t xml:space="preserve"> </w:t>
      </w:r>
      <w:r w:rsidR="3802B98F" w:rsidRPr="0049084C">
        <w:t>re</w:t>
      </w:r>
      <w:r w:rsidR="358C8AA3" w:rsidRPr="0049084C">
        <w:t>gularizing</w:t>
      </w:r>
      <w:r w:rsidR="12E9C8A0" w:rsidRPr="0049084C">
        <w:t xml:space="preserve"> an estimated </w:t>
      </w:r>
      <w:r w:rsidR="1D566DF8" w:rsidRPr="0049084C">
        <w:t>5.5</w:t>
      </w:r>
      <w:r w:rsidR="2DD02292" w:rsidRPr="0049084C">
        <w:t>-</w:t>
      </w:r>
      <w:r w:rsidR="1D566DF8" w:rsidRPr="0049084C">
        <w:t>6 million people.</w:t>
      </w:r>
      <w:r w:rsidRPr="0049084C">
        <w:rPr>
          <w:rStyle w:val="EndnoteReference"/>
        </w:rPr>
        <w:endnoteReference w:id="19"/>
      </w:r>
    </w:p>
    <w:p w14:paraId="66C850CB" w14:textId="7194419B" w:rsidR="1D566DF8" w:rsidRPr="0049084C" w:rsidRDefault="326ED127" w:rsidP="74E5CDFF">
      <w:pPr>
        <w:pStyle w:val="ListParagraph"/>
        <w:numPr>
          <w:ilvl w:val="0"/>
          <w:numId w:val="5"/>
        </w:numPr>
      </w:pPr>
      <w:r w:rsidRPr="0049084C">
        <w:t xml:space="preserve">Some states have regularization </w:t>
      </w:r>
      <w:r w:rsidR="11C143C0" w:rsidRPr="0049084C">
        <w:t xml:space="preserve">mechanisms </w:t>
      </w:r>
      <w:r w:rsidR="5821B6F4" w:rsidRPr="0049084C">
        <w:t>for</w:t>
      </w:r>
      <w:r w:rsidR="11C143C0" w:rsidRPr="0049084C">
        <w:t xml:space="preserve"> </w:t>
      </w:r>
      <w:r w:rsidR="4AF05C56" w:rsidRPr="0049084C">
        <w:t>migrant children</w:t>
      </w:r>
      <w:r w:rsidR="11C143C0" w:rsidRPr="0049084C">
        <w:t xml:space="preserve"> turning 18</w:t>
      </w:r>
      <w:r w:rsidR="3B9F9732" w:rsidRPr="0049084C">
        <w:t>.</w:t>
      </w:r>
      <w:r w:rsidRPr="0049084C">
        <w:t xml:space="preserve"> </w:t>
      </w:r>
      <w:r w:rsidR="5D18579B" w:rsidRPr="0049084C">
        <w:t>A</w:t>
      </w:r>
      <w:r w:rsidR="17DD8273" w:rsidRPr="0049084C">
        <w:t>s one example, a</w:t>
      </w:r>
      <w:r w:rsidR="5D18579B" w:rsidRPr="0049084C">
        <w:t xml:space="preserve"> 2021 reform </w:t>
      </w:r>
      <w:r w:rsidR="778D1438" w:rsidRPr="0049084C">
        <w:t xml:space="preserve">to </w:t>
      </w:r>
      <w:r w:rsidR="5D18579B" w:rsidRPr="0049084C">
        <w:t>Spain</w:t>
      </w:r>
      <w:r w:rsidR="56DF86D1" w:rsidRPr="0049084C">
        <w:t xml:space="preserve">’s </w:t>
      </w:r>
      <w:proofErr w:type="spellStart"/>
      <w:r w:rsidR="56DF86D1" w:rsidRPr="0049084C">
        <w:rPr>
          <w:i/>
          <w:iCs/>
        </w:rPr>
        <w:t>Reglamento</w:t>
      </w:r>
      <w:proofErr w:type="spellEnd"/>
      <w:r w:rsidR="56DF86D1" w:rsidRPr="0049084C">
        <w:rPr>
          <w:i/>
          <w:iCs/>
        </w:rPr>
        <w:t xml:space="preserve"> de la Ley de </w:t>
      </w:r>
      <w:proofErr w:type="spellStart"/>
      <w:r w:rsidR="56DF86D1" w:rsidRPr="0049084C">
        <w:rPr>
          <w:i/>
          <w:iCs/>
        </w:rPr>
        <w:t>Extranjería</w:t>
      </w:r>
      <w:proofErr w:type="spellEnd"/>
      <w:r w:rsidR="26494C08" w:rsidRPr="0049084C">
        <w:t xml:space="preserve"> has made it easier for </w:t>
      </w:r>
      <w:r w:rsidR="447E1817" w:rsidRPr="0049084C">
        <w:t>unaccompanied children</w:t>
      </w:r>
      <w:r w:rsidR="146A85E4" w:rsidRPr="0049084C">
        <w:t xml:space="preserve"> and former </w:t>
      </w:r>
      <w:r w:rsidR="535638FF" w:rsidRPr="0049084C">
        <w:t>u</w:t>
      </w:r>
      <w:r w:rsidR="146A85E4" w:rsidRPr="0049084C">
        <w:t>naccompanied children who recently became adults and are younger than 23</w:t>
      </w:r>
      <w:r w:rsidR="26494C08" w:rsidRPr="0049084C">
        <w:t xml:space="preserve"> to obtain residence and work permits</w:t>
      </w:r>
      <w:r w:rsidR="7569C496" w:rsidRPr="0049084C">
        <w:t xml:space="preserve">, in recognition that bureaucratic obstacles had been pushing many toward irregularity and exclusion </w:t>
      </w:r>
      <w:r w:rsidR="49510A2F" w:rsidRPr="0049084C">
        <w:t>as</w:t>
      </w:r>
      <w:r w:rsidR="7569C496" w:rsidRPr="0049084C">
        <w:t xml:space="preserve"> they t</w:t>
      </w:r>
      <w:r w:rsidR="0700F90F" w:rsidRPr="0049084C">
        <w:t>ransitioned</w:t>
      </w:r>
      <w:r w:rsidR="5B7C9ECA" w:rsidRPr="0049084C">
        <w:t xml:space="preserve"> into adulthood</w:t>
      </w:r>
      <w:r w:rsidR="7569C496" w:rsidRPr="0049084C">
        <w:t>.</w:t>
      </w:r>
      <w:r w:rsidR="1D566DF8" w:rsidRPr="0049084C">
        <w:rPr>
          <w:rStyle w:val="EndnoteReference"/>
        </w:rPr>
        <w:endnoteReference w:id="20"/>
      </w:r>
      <w:r w:rsidR="704C624C" w:rsidRPr="0049084C">
        <w:t xml:space="preserve"> </w:t>
      </w:r>
      <w:r w:rsidR="71D7E3DC" w:rsidRPr="0049084C">
        <w:t xml:space="preserve">Young people who grew up </w:t>
      </w:r>
      <w:r w:rsidR="38F711F0" w:rsidRPr="0049084C">
        <w:t xml:space="preserve">in Spain </w:t>
      </w:r>
      <w:r w:rsidR="71D7E3DC" w:rsidRPr="0049084C">
        <w:t>with their families</w:t>
      </w:r>
      <w:r w:rsidR="04062266" w:rsidRPr="0049084C">
        <w:t xml:space="preserve"> but undocumented</w:t>
      </w:r>
      <w:r w:rsidR="71D7E3DC" w:rsidRPr="0049084C">
        <w:t xml:space="preserve"> </w:t>
      </w:r>
      <w:r w:rsidR="47E29D0A" w:rsidRPr="0049084C">
        <w:t>can ob</w:t>
      </w:r>
      <w:r w:rsidR="71D7E3DC" w:rsidRPr="0049084C">
        <w:t>t</w:t>
      </w:r>
      <w:r w:rsidR="47E29D0A" w:rsidRPr="0049084C">
        <w:t>ain</w:t>
      </w:r>
      <w:r w:rsidR="71D7E3DC" w:rsidRPr="0049084C">
        <w:t xml:space="preserve"> </w:t>
      </w:r>
      <w:r w:rsidR="47E29D0A" w:rsidRPr="0049084C">
        <w:t xml:space="preserve">residency and regularize </w:t>
      </w:r>
      <w:r w:rsidR="71D7E3DC" w:rsidRPr="0049084C">
        <w:t xml:space="preserve">their </w:t>
      </w:r>
      <w:r w:rsidR="47E29D0A" w:rsidRPr="0049084C">
        <w:t>situ</w:t>
      </w:r>
      <w:r w:rsidR="71D7E3DC" w:rsidRPr="0049084C">
        <w:t>a</w:t>
      </w:r>
      <w:r w:rsidR="47E29D0A" w:rsidRPr="0049084C">
        <w:t>t</w:t>
      </w:r>
      <w:r w:rsidR="71D7E3DC" w:rsidRPr="0049084C">
        <w:t>i</w:t>
      </w:r>
      <w:r w:rsidR="47E29D0A" w:rsidRPr="0049084C">
        <w:t xml:space="preserve">on </w:t>
      </w:r>
      <w:r w:rsidR="0AD40E08" w:rsidRPr="0049084C">
        <w:t>a</w:t>
      </w:r>
      <w:r w:rsidR="71D7E3DC" w:rsidRPr="0049084C">
        <w:t xml:space="preserve">s </w:t>
      </w:r>
      <w:r w:rsidR="04D6997A" w:rsidRPr="0049084C">
        <w:t>they reach adulthood</w:t>
      </w:r>
      <w:r w:rsidR="0D0F6B08" w:rsidRPr="0049084C">
        <w:t xml:space="preserve"> by applying for renewable 1-year temporary residence permits based on work, social, or p</w:t>
      </w:r>
      <w:r w:rsidR="466520B6" w:rsidRPr="0049084C">
        <w:t>arental ties.</w:t>
      </w:r>
      <w:r w:rsidR="1D566DF8" w:rsidRPr="0049084C">
        <w:rPr>
          <w:rStyle w:val="EndnoteReference"/>
        </w:rPr>
        <w:endnoteReference w:id="21"/>
      </w:r>
      <w:r w:rsidR="0D0F6B08" w:rsidRPr="0049084C">
        <w:t xml:space="preserve"> </w:t>
      </w:r>
    </w:p>
    <w:p w14:paraId="74B18579" w14:textId="52109470" w:rsidR="70D5F7E7" w:rsidRPr="0049084C" w:rsidRDefault="00BF18F8" w:rsidP="74E5CDFF">
      <w:pPr>
        <w:pStyle w:val="ListParagraph"/>
        <w:numPr>
          <w:ilvl w:val="0"/>
          <w:numId w:val="5"/>
        </w:numPr>
      </w:pPr>
      <w:r w:rsidRPr="0049084C">
        <w:t>S</w:t>
      </w:r>
      <w:r w:rsidR="70D5F7E7" w:rsidRPr="0049084C">
        <w:t>ome States have special options for regular migratory status available for children and young people if they are not eligible for refugee status under the 1951 Geneva Convention or subsidiary protection under Article 3 of the ECHR and Article 15(c) of the Qualification Directive (or its equivalent of Humanitarian Protection in the UK), and a</w:t>
      </w:r>
      <w:r w:rsidR="333DABA8" w:rsidRPr="0049084C">
        <w:t>ll states that have adopted the ECHR must give consideration to granting a residence permit under Article 8 (a right to protection for one’s private and family life)</w:t>
      </w:r>
      <w:r w:rsidR="0F4F1C2F" w:rsidRPr="0049084C">
        <w:t>.</w:t>
      </w:r>
      <w:r w:rsidR="145F6C9E" w:rsidRPr="0049084C">
        <w:t xml:space="preserve"> </w:t>
      </w:r>
      <w:r w:rsidR="2FDFEB86" w:rsidRPr="0049084C">
        <w:t xml:space="preserve">In the UK, a child with at least 7 years of residence will be granted leave to remain if it would be unreasonable for them to return. In Germany, pathways to residence exist for young people, such as the Apprenticeship Deferment Law, which </w:t>
      </w:r>
      <w:r w:rsidR="2FDFEB86" w:rsidRPr="0049084C">
        <w:lastRenderedPageBreak/>
        <w:t>defers removal for young people enrolled in an apprenticeship, and in a provision in the Residence Act which directs that “well-integrated” young people who have been legally dwelling in Germany for at least four years may be granted a residence permit.</w:t>
      </w:r>
      <w:r w:rsidR="70D5F7E7" w:rsidRPr="0049084C">
        <w:rPr>
          <w:rStyle w:val="EndnoteReference"/>
        </w:rPr>
        <w:endnoteReference w:id="22"/>
      </w:r>
    </w:p>
    <w:p w14:paraId="0C410B9A" w14:textId="6FC0FB87" w:rsidR="6188F6EE" w:rsidRPr="0049084C" w:rsidRDefault="6188F6EE" w:rsidP="74E5CDFF">
      <w:pPr>
        <w:pStyle w:val="ListParagraph"/>
        <w:numPr>
          <w:ilvl w:val="0"/>
          <w:numId w:val="5"/>
        </w:numPr>
        <w:rPr>
          <w:rFonts w:eastAsiaTheme="minorEastAsia"/>
        </w:rPr>
      </w:pPr>
      <w:r w:rsidRPr="0049084C">
        <w:rPr>
          <w:rFonts w:eastAsiaTheme="minorEastAsia"/>
        </w:rPr>
        <w:t>Under the Los Angeles Declaration on Migration &amp; Protection</w:t>
      </w:r>
      <w:r w:rsidRPr="0049084C">
        <w:rPr>
          <w:rStyle w:val="EndnoteReference"/>
          <w:rFonts w:eastAsiaTheme="minorEastAsia"/>
        </w:rPr>
        <w:endnoteReference w:id="23"/>
      </w:r>
      <w:r w:rsidRPr="0049084C">
        <w:rPr>
          <w:rFonts w:eastAsiaTheme="minorEastAsia"/>
        </w:rPr>
        <w:t>, adopted in June 2022 by 20 western hemisphere nations</w:t>
      </w:r>
      <w:r w:rsidR="081ED441" w:rsidRPr="0049084C">
        <w:rPr>
          <w:rFonts w:eastAsiaTheme="minorEastAsia"/>
        </w:rPr>
        <w:t>:</w:t>
      </w:r>
    </w:p>
    <w:p w14:paraId="297DEA0D" w14:textId="62289A37" w:rsidR="6188F6EE" w:rsidRPr="0049084C" w:rsidRDefault="6188F6EE" w:rsidP="74E5CDFF">
      <w:pPr>
        <w:pStyle w:val="ListParagraph"/>
        <w:numPr>
          <w:ilvl w:val="1"/>
          <w:numId w:val="5"/>
        </w:numPr>
        <w:rPr>
          <w:rFonts w:eastAsiaTheme="minorEastAsia"/>
        </w:rPr>
      </w:pPr>
      <w:r w:rsidRPr="0049084C">
        <w:rPr>
          <w:rFonts w:ascii="Calibri" w:eastAsia="Calibri" w:hAnsi="Calibri" w:cs="Calibri"/>
          <w:b/>
          <w:bCs/>
          <w:color w:val="000000" w:themeColor="text1"/>
        </w:rPr>
        <w:t>Ecuador</w:t>
      </w:r>
      <w:r w:rsidRPr="0049084C">
        <w:rPr>
          <w:rFonts w:ascii="Calibri" w:eastAsia="Calibri" w:hAnsi="Calibri" w:cs="Calibri"/>
          <w:color w:val="000000" w:themeColor="text1"/>
        </w:rPr>
        <w:t xml:space="preserve"> </w:t>
      </w:r>
      <w:r w:rsidR="4EF75E6B" w:rsidRPr="0049084C">
        <w:rPr>
          <w:rFonts w:ascii="Calibri" w:eastAsia="Calibri" w:hAnsi="Calibri" w:cs="Calibri"/>
          <w:color w:val="000000" w:themeColor="text1"/>
        </w:rPr>
        <w:t xml:space="preserve">issued an executive decree creating a path to a regular migration status and documentation for Venezuelans who entered the country regularly via an official port of entry, but who </w:t>
      </w:r>
      <w:r w:rsidR="3EAF51B5" w:rsidRPr="0049084C">
        <w:rPr>
          <w:rFonts w:ascii="Calibri" w:eastAsia="Calibri" w:hAnsi="Calibri" w:cs="Calibri"/>
          <w:color w:val="000000" w:themeColor="text1"/>
        </w:rPr>
        <w:t>fell</w:t>
      </w:r>
      <w:r w:rsidR="4EF75E6B" w:rsidRPr="0049084C">
        <w:rPr>
          <w:rFonts w:ascii="Calibri" w:eastAsia="Calibri" w:hAnsi="Calibri" w:cs="Calibri"/>
          <w:color w:val="000000" w:themeColor="text1"/>
        </w:rPr>
        <w:t xml:space="preserve"> out of status, including unaccompanied or separated children. It intends to expand this process to include all Venezuelans</w:t>
      </w:r>
      <w:r w:rsidR="0AE3C51E" w:rsidRPr="0049084C">
        <w:rPr>
          <w:rFonts w:eastAsiaTheme="minorEastAsia"/>
        </w:rPr>
        <w:t>.</w:t>
      </w:r>
    </w:p>
    <w:p w14:paraId="4A05B592" w14:textId="51FC7E12" w:rsidR="6188F6EE" w:rsidRPr="0049084C" w:rsidRDefault="6188F6EE" w:rsidP="74E5CDFF">
      <w:pPr>
        <w:pStyle w:val="ListParagraph"/>
        <w:numPr>
          <w:ilvl w:val="1"/>
          <w:numId w:val="5"/>
        </w:numPr>
        <w:rPr>
          <w:rFonts w:ascii="Calibri" w:eastAsia="Calibri" w:hAnsi="Calibri" w:cs="Calibri"/>
          <w:color w:val="000000" w:themeColor="text1"/>
        </w:rPr>
      </w:pPr>
      <w:r w:rsidRPr="0049084C">
        <w:rPr>
          <w:rFonts w:ascii="Calibri" w:eastAsia="Calibri" w:hAnsi="Calibri" w:cs="Calibri"/>
          <w:b/>
          <w:bCs/>
          <w:color w:val="000000" w:themeColor="text1"/>
        </w:rPr>
        <w:t>Belize</w:t>
      </w:r>
      <w:r w:rsidRPr="0049084C">
        <w:rPr>
          <w:rFonts w:ascii="Calibri" w:eastAsia="Calibri" w:hAnsi="Calibri" w:cs="Calibri"/>
          <w:color w:val="000000" w:themeColor="text1"/>
        </w:rPr>
        <w:t xml:space="preserve"> </w:t>
      </w:r>
      <w:r w:rsidR="260A17C9" w:rsidRPr="0049084C">
        <w:rPr>
          <w:rFonts w:ascii="Calibri" w:eastAsia="Calibri" w:hAnsi="Calibri" w:cs="Calibri"/>
          <w:color w:val="000000" w:themeColor="text1"/>
        </w:rPr>
        <w:t xml:space="preserve">committed </w:t>
      </w:r>
      <w:r w:rsidRPr="0049084C">
        <w:rPr>
          <w:rFonts w:ascii="Calibri" w:eastAsia="Calibri" w:hAnsi="Calibri" w:cs="Calibri"/>
          <w:color w:val="000000" w:themeColor="text1"/>
        </w:rPr>
        <w:t>to regularize certain Central American and CARICOM migrants</w:t>
      </w:r>
    </w:p>
    <w:p w14:paraId="33591AFA" w14:textId="2FB2E0F6" w:rsidR="6188F6EE" w:rsidRPr="0049084C" w:rsidRDefault="6188F6EE" w:rsidP="74E5CDFF">
      <w:pPr>
        <w:pStyle w:val="ListParagraph"/>
        <w:numPr>
          <w:ilvl w:val="1"/>
          <w:numId w:val="5"/>
        </w:numPr>
        <w:rPr>
          <w:rFonts w:ascii="Calibri" w:eastAsia="Calibri" w:hAnsi="Calibri" w:cs="Calibri"/>
          <w:color w:val="000000" w:themeColor="text1"/>
        </w:rPr>
      </w:pPr>
      <w:r w:rsidRPr="0049084C">
        <w:rPr>
          <w:rFonts w:ascii="Calibri" w:eastAsia="Calibri" w:hAnsi="Calibri" w:cs="Calibri"/>
          <w:b/>
          <w:bCs/>
          <w:color w:val="000000" w:themeColor="text1"/>
        </w:rPr>
        <w:t>Costa Rica</w:t>
      </w:r>
      <w:r w:rsidRPr="0049084C">
        <w:rPr>
          <w:rFonts w:ascii="Calibri" w:eastAsia="Calibri" w:hAnsi="Calibri" w:cs="Calibri"/>
          <w:color w:val="000000" w:themeColor="text1"/>
        </w:rPr>
        <w:t xml:space="preserve"> </w:t>
      </w:r>
      <w:r w:rsidR="7EB18CC4" w:rsidRPr="0049084C">
        <w:rPr>
          <w:rFonts w:ascii="Calibri" w:eastAsia="Calibri" w:hAnsi="Calibri" w:cs="Calibri"/>
          <w:color w:val="000000" w:themeColor="text1"/>
        </w:rPr>
        <w:t xml:space="preserve">committed </w:t>
      </w:r>
      <w:r w:rsidRPr="0049084C">
        <w:rPr>
          <w:rFonts w:ascii="Calibri" w:eastAsia="Calibri" w:hAnsi="Calibri" w:cs="Calibri"/>
          <w:color w:val="000000" w:themeColor="text1"/>
        </w:rPr>
        <w:t>to renew temporary protection for Venezuelans, Nicaraguans, and Cubans.</w:t>
      </w:r>
    </w:p>
    <w:p w14:paraId="68371560" w14:textId="63EC4786" w:rsidR="22A50601" w:rsidRPr="0049084C" w:rsidRDefault="22A50601" w:rsidP="57194874">
      <w:pPr>
        <w:rPr>
          <w:b/>
          <w:bCs/>
        </w:rPr>
      </w:pPr>
      <w:r w:rsidRPr="0049084C">
        <w:rPr>
          <w:b/>
          <w:bCs/>
        </w:rPr>
        <w:t xml:space="preserve">Even when programs are </w:t>
      </w:r>
      <w:r w:rsidR="241993CA" w:rsidRPr="0049084C">
        <w:rPr>
          <w:b/>
          <w:bCs/>
        </w:rPr>
        <w:t>in place</w:t>
      </w:r>
      <w:r w:rsidR="37C79482" w:rsidRPr="0049084C">
        <w:rPr>
          <w:b/>
          <w:bCs/>
        </w:rPr>
        <w:t xml:space="preserve">, </w:t>
      </w:r>
      <w:r w:rsidR="0E5BCDDA" w:rsidRPr="0049084C">
        <w:rPr>
          <w:b/>
          <w:bCs/>
        </w:rPr>
        <w:t xml:space="preserve">migrant children and families </w:t>
      </w:r>
      <w:r w:rsidR="1079A719" w:rsidRPr="0049084C">
        <w:rPr>
          <w:b/>
          <w:bCs/>
        </w:rPr>
        <w:t xml:space="preserve">often </w:t>
      </w:r>
      <w:r w:rsidR="0E5BCDDA" w:rsidRPr="0049084C">
        <w:rPr>
          <w:b/>
          <w:bCs/>
        </w:rPr>
        <w:t>face obstacles</w:t>
      </w:r>
      <w:r w:rsidR="23EA4153" w:rsidRPr="0049084C">
        <w:rPr>
          <w:b/>
          <w:bCs/>
        </w:rPr>
        <w:t xml:space="preserve"> to regularizing their status</w:t>
      </w:r>
      <w:r w:rsidR="37C79482" w:rsidRPr="0049084C">
        <w:rPr>
          <w:b/>
          <w:bCs/>
        </w:rPr>
        <w:t xml:space="preserve">: </w:t>
      </w:r>
    </w:p>
    <w:p w14:paraId="1974500F" w14:textId="77777777" w:rsidR="00962B70" w:rsidRPr="0049084C" w:rsidRDefault="17262419" w:rsidP="00962B70">
      <w:pPr>
        <w:pStyle w:val="ListParagraph"/>
        <w:numPr>
          <w:ilvl w:val="0"/>
          <w:numId w:val="5"/>
        </w:numPr>
      </w:pPr>
      <w:r w:rsidRPr="0049084C">
        <w:t>A</w:t>
      </w:r>
      <w:r w:rsidR="7ECB49F4" w:rsidRPr="0049084C">
        <w:t xml:space="preserve"> lack of reliable information </w:t>
      </w:r>
      <w:r w:rsidR="297736C8" w:rsidRPr="0049084C">
        <w:t>and</w:t>
      </w:r>
      <w:r w:rsidR="7ECB49F4" w:rsidRPr="0049084C">
        <w:t xml:space="preserve"> legal support t</w:t>
      </w:r>
      <w:r w:rsidR="34536325" w:rsidRPr="0049084C">
        <w:t>o navigate</w:t>
      </w:r>
      <w:r w:rsidR="7ECB49F4" w:rsidRPr="0049084C">
        <w:t xml:space="preserve"> procedures.</w:t>
      </w:r>
    </w:p>
    <w:p w14:paraId="50BA0677" w14:textId="44ACB577" w:rsidR="4C20D953" w:rsidRPr="0049084C" w:rsidRDefault="4C20D953" w:rsidP="00962B70">
      <w:pPr>
        <w:pStyle w:val="ListParagraph"/>
        <w:numPr>
          <w:ilvl w:val="0"/>
          <w:numId w:val="5"/>
        </w:numPr>
      </w:pPr>
      <w:r w:rsidRPr="0049084C">
        <w:t>Requirements to have identity documentation</w:t>
      </w:r>
      <w:r w:rsidR="002126FB" w:rsidRPr="0049084C">
        <w:t xml:space="preserve"> and</w:t>
      </w:r>
      <w:r w:rsidR="00AD12A9" w:rsidRPr="0049084C">
        <w:t xml:space="preserve"> statelessness </w:t>
      </w:r>
      <w:r w:rsidR="002126FB" w:rsidRPr="0049084C">
        <w:t>as barriers to</w:t>
      </w:r>
      <w:r w:rsidR="00AD12A9" w:rsidRPr="0049084C">
        <w:t xml:space="preserve"> accessing regularization pathways or family reunification</w:t>
      </w:r>
      <w:r w:rsidR="02B39E54" w:rsidRPr="0049084C">
        <w:t>.</w:t>
      </w:r>
      <w:r w:rsidRPr="0049084C">
        <w:t xml:space="preserve"> </w:t>
      </w:r>
      <w:r w:rsidR="00AD12A9" w:rsidRPr="0049084C">
        <w:rPr>
          <w:rFonts w:ascii="Calibri" w:eastAsia="Calibri" w:hAnsi="Calibri" w:cs="Calibri"/>
          <w:color w:val="000000" w:themeColor="text1"/>
        </w:rPr>
        <w:t>E</w:t>
      </w:r>
      <w:r w:rsidR="00962B70" w:rsidRPr="0049084C">
        <w:rPr>
          <w:rFonts w:ascii="Calibri" w:eastAsia="Calibri" w:hAnsi="Calibri" w:cs="Calibri"/>
          <w:color w:val="000000" w:themeColor="text1"/>
        </w:rPr>
        <w:t>ven when rights to services are protected by laws and policies, migrant children and adolescents may face administrative and other obstacles to accessing those services, including the request for identity documents...</w:t>
      </w:r>
      <w:r w:rsidR="00962B70" w:rsidRPr="0049084C">
        <w:rPr>
          <w:rStyle w:val="EndnoteReference"/>
          <w:rFonts w:ascii="Calibri" w:eastAsia="Calibri" w:hAnsi="Calibri" w:cs="Calibri"/>
          <w:color w:val="000000" w:themeColor="text1"/>
        </w:rPr>
        <w:endnoteReference w:id="24"/>
      </w:r>
      <w:r w:rsidR="00E71B83" w:rsidRPr="0049084C">
        <w:rPr>
          <w:rFonts w:ascii="Calibri" w:eastAsia="Calibri" w:hAnsi="Calibri" w:cs="Calibri"/>
          <w:color w:val="000000" w:themeColor="text1"/>
        </w:rPr>
        <w:t xml:space="preserve"> </w:t>
      </w:r>
    </w:p>
    <w:p w14:paraId="18866BD5" w14:textId="06C1257B" w:rsidR="34B94ACC" w:rsidRPr="0049084C" w:rsidRDefault="290ABCD7" w:rsidP="57194874">
      <w:pPr>
        <w:pStyle w:val="ListParagraph"/>
        <w:numPr>
          <w:ilvl w:val="0"/>
          <w:numId w:val="5"/>
        </w:numPr>
      </w:pPr>
      <w:r w:rsidRPr="0049084C">
        <w:t>Prohibitive d</w:t>
      </w:r>
      <w:r w:rsidR="25AF68DA" w:rsidRPr="0049084C">
        <w:t>igitized procedures and fees. Regularization procedures should be designed to be accessible</w:t>
      </w:r>
      <w:r w:rsidR="6E068FCE" w:rsidRPr="0049084C">
        <w:t xml:space="preserve"> and affordable</w:t>
      </w:r>
      <w:r w:rsidR="25AF68DA" w:rsidRPr="0049084C">
        <w:t>, including fee waiver policies for children</w:t>
      </w:r>
      <w:r w:rsidR="51A3C283" w:rsidRPr="0049084C">
        <w:t xml:space="preserve"> and those in need</w:t>
      </w:r>
      <w:r w:rsidR="25AF68DA" w:rsidRPr="0049084C">
        <w:t>.</w:t>
      </w:r>
      <w:r w:rsidR="34B94ACC" w:rsidRPr="0049084C">
        <w:rPr>
          <w:rStyle w:val="EndnoteReference"/>
        </w:rPr>
        <w:endnoteReference w:id="25"/>
      </w:r>
    </w:p>
    <w:p w14:paraId="26E9AA1C" w14:textId="03C6AA2A" w:rsidR="512D85BA" w:rsidRPr="0049084C" w:rsidRDefault="512D85BA" w:rsidP="74E5CDFF">
      <w:pPr>
        <w:pStyle w:val="ListParagraph"/>
        <w:numPr>
          <w:ilvl w:val="0"/>
          <w:numId w:val="5"/>
        </w:numPr>
      </w:pPr>
      <w:r w:rsidRPr="0049084C">
        <w:t xml:space="preserve">Many regularization mechanisms are </w:t>
      </w:r>
      <w:r w:rsidR="6CAAEC13" w:rsidRPr="0049084C">
        <w:t xml:space="preserve">only </w:t>
      </w:r>
      <w:r w:rsidRPr="0049084C">
        <w:t>temporary. There is a need for durable solutions so children and families won’t fall back into an irregular status, losing rights once again, and so they can plan their futures with security</w:t>
      </w:r>
      <w:r w:rsidR="51B1B7DC" w:rsidRPr="0049084C">
        <w:t xml:space="preserve"> and certainty</w:t>
      </w:r>
      <w:r w:rsidRPr="0049084C">
        <w:t xml:space="preserve">. </w:t>
      </w:r>
      <w:r w:rsidR="793FF5AB" w:rsidRPr="0049084C">
        <w:t xml:space="preserve"> </w:t>
      </w:r>
    </w:p>
    <w:p w14:paraId="2EB7E876" w14:textId="3E78C18E" w:rsidR="6A2D722B" w:rsidRPr="0049084C" w:rsidRDefault="6A2D722B" w:rsidP="57194874">
      <w:pPr>
        <w:pStyle w:val="ListParagraph"/>
        <w:numPr>
          <w:ilvl w:val="0"/>
          <w:numId w:val="5"/>
        </w:numPr>
      </w:pPr>
      <w:r w:rsidRPr="0049084C">
        <w:t xml:space="preserve">In </w:t>
      </w:r>
      <w:r w:rsidR="0E816D3C" w:rsidRPr="0049084C">
        <w:t>some countries</w:t>
      </w:r>
      <w:r w:rsidRPr="0049084C">
        <w:t xml:space="preserve">, accompanied children </w:t>
      </w:r>
      <w:r w:rsidR="6F96CD22" w:rsidRPr="0049084C">
        <w:t xml:space="preserve">may be </w:t>
      </w:r>
      <w:r w:rsidRPr="0049084C">
        <w:t>denied the</w:t>
      </w:r>
      <w:r w:rsidR="20DCE23D" w:rsidRPr="0049084C">
        <w:t>ir</w:t>
      </w:r>
      <w:r w:rsidRPr="0049084C">
        <w:t xml:space="preserve"> right to be heard and treated as a “footnote” to their parents’ files, which means that child-specific or individual reasons for grants of asylum or other </w:t>
      </w:r>
      <w:r w:rsidR="68DD31F2" w:rsidRPr="0049084C">
        <w:t xml:space="preserve">regular </w:t>
      </w:r>
      <w:r w:rsidRPr="0049084C">
        <w:t>immigration status may be overlooked.</w:t>
      </w:r>
      <w:r w:rsidRPr="0049084C">
        <w:rPr>
          <w:rStyle w:val="EndnoteReference"/>
        </w:rPr>
        <w:endnoteReference w:id="26"/>
      </w:r>
    </w:p>
    <w:p w14:paraId="57455B8C" w14:textId="77777777" w:rsidR="00D43C79" w:rsidRPr="0049084C" w:rsidRDefault="3370C632" w:rsidP="00E71B83">
      <w:pPr>
        <w:pStyle w:val="ListParagraph"/>
        <w:numPr>
          <w:ilvl w:val="0"/>
          <w:numId w:val="5"/>
        </w:numPr>
      </w:pPr>
      <w:r w:rsidRPr="0049084C">
        <w:t xml:space="preserve">Unaccompanied children in care systems may fall into irregular status when they “age out” at 18, </w:t>
      </w:r>
      <w:r w:rsidR="16F09B56" w:rsidRPr="0049084C">
        <w:t xml:space="preserve">starting adulthood undocumented, </w:t>
      </w:r>
      <w:r w:rsidRPr="0049084C">
        <w:t>leading to their possible exclusion</w:t>
      </w:r>
      <w:r w:rsidR="0C079D47" w:rsidRPr="0049084C">
        <w:t>, exploitation,</w:t>
      </w:r>
      <w:r w:rsidRPr="0049084C">
        <w:t xml:space="preserve"> and even deportation.</w:t>
      </w:r>
    </w:p>
    <w:p w14:paraId="6DAE93D3" w14:textId="620B1F19" w:rsidR="6A2D722B" w:rsidRPr="0049084C" w:rsidRDefault="00D43C79" w:rsidP="00E71B83">
      <w:pPr>
        <w:pStyle w:val="ListParagraph"/>
        <w:numPr>
          <w:ilvl w:val="0"/>
          <w:numId w:val="5"/>
        </w:numPr>
      </w:pPr>
      <w:r w:rsidRPr="0049084C">
        <w:t xml:space="preserve">Residence or work permits </w:t>
      </w:r>
      <w:r w:rsidR="00AD12A9" w:rsidRPr="0049084C">
        <w:t xml:space="preserve">which </w:t>
      </w:r>
      <w:r w:rsidRPr="0049084C">
        <w:t>tie</w:t>
      </w:r>
      <w:r w:rsidR="00AD12A9" w:rsidRPr="0049084C">
        <w:t xml:space="preserve"> regular status</w:t>
      </w:r>
      <w:r w:rsidRPr="0049084C">
        <w:t xml:space="preserve"> to the employer </w:t>
      </w:r>
      <w:r w:rsidR="00AD12A9" w:rsidRPr="0049084C">
        <w:t xml:space="preserve">and </w:t>
      </w:r>
      <w:r w:rsidRPr="0049084C">
        <w:t xml:space="preserve">can </w:t>
      </w:r>
      <w:r w:rsidR="000B32B1" w:rsidRPr="0049084C">
        <w:t xml:space="preserve">therefore </w:t>
      </w:r>
      <w:r w:rsidRPr="0049084C">
        <w:t xml:space="preserve">easily lead </w:t>
      </w:r>
      <w:r w:rsidR="00AD12A9" w:rsidRPr="0049084C">
        <w:t xml:space="preserve">migrant </w:t>
      </w:r>
      <w:r w:rsidRPr="0049084C">
        <w:t xml:space="preserve">children and parents to become undocumented </w:t>
      </w:r>
      <w:r w:rsidR="00AD12A9" w:rsidRPr="0049084C">
        <w:t xml:space="preserve">make them vulnerable to abuses and exploitation and </w:t>
      </w:r>
      <w:r w:rsidRPr="0049084C">
        <w:t xml:space="preserve">limit their enjoyment of </w:t>
      </w:r>
      <w:r w:rsidR="00AD12A9" w:rsidRPr="0049084C">
        <w:t xml:space="preserve">their </w:t>
      </w:r>
      <w:r w:rsidRPr="0049084C">
        <w:t>human rights</w:t>
      </w:r>
      <w:r w:rsidR="00AD12A9" w:rsidRPr="0049084C">
        <w:t>.</w:t>
      </w:r>
      <w:r w:rsidR="6A2D722B" w:rsidRPr="0049084C">
        <w:br/>
      </w:r>
    </w:p>
    <w:tbl>
      <w:tblPr>
        <w:tblStyle w:val="TableGrid"/>
        <w:tblW w:w="0" w:type="auto"/>
        <w:tblLayout w:type="fixed"/>
        <w:tblLook w:val="06A0" w:firstRow="1" w:lastRow="0" w:firstColumn="1" w:lastColumn="0" w:noHBand="1" w:noVBand="1"/>
      </w:tblPr>
      <w:tblGrid>
        <w:gridCol w:w="9360"/>
      </w:tblGrid>
      <w:tr w:rsidR="57194874" w:rsidRPr="0049084C" w14:paraId="40155CCE" w14:textId="77777777" w:rsidTr="57194874">
        <w:trPr>
          <w:trHeight w:val="300"/>
        </w:trPr>
        <w:tc>
          <w:tcPr>
            <w:tcW w:w="9360" w:type="dxa"/>
            <w:shd w:val="clear" w:color="auto" w:fill="DEEAF6" w:themeFill="accent5" w:themeFillTint="33"/>
          </w:tcPr>
          <w:p w14:paraId="40442144" w14:textId="126A84BC" w:rsidR="762B21EB" w:rsidRPr="0049084C" w:rsidRDefault="762B21EB" w:rsidP="57194874">
            <w:r w:rsidRPr="0049084C">
              <w:rPr>
                <w:rFonts w:ascii="Calibri" w:eastAsia="Calibri" w:hAnsi="Calibri" w:cs="Calibri"/>
                <w:color w:val="000000" w:themeColor="text1"/>
              </w:rPr>
              <w:t xml:space="preserve">4. </w:t>
            </w:r>
            <w:r w:rsidR="002B03D0" w:rsidRPr="0049084C">
              <w:rPr>
                <w:rFonts w:ascii="Calibri" w:eastAsia="Calibri" w:hAnsi="Calibri" w:cs="Calibri"/>
                <w:color w:val="000000" w:themeColor="text1"/>
              </w:rPr>
              <w:t>H</w:t>
            </w:r>
            <w:r w:rsidRPr="0049084C">
              <w:rPr>
                <w:rFonts w:ascii="Calibri" w:eastAsia="Calibri" w:hAnsi="Calibri" w:cs="Calibri"/>
                <w:color w:val="000000" w:themeColor="text1"/>
              </w:rPr>
              <w:t>ighlight any contribution of migrants, including migrant workers to the economy and society of the host communities</w:t>
            </w:r>
          </w:p>
        </w:tc>
      </w:tr>
    </w:tbl>
    <w:p w14:paraId="4D1BDE58" w14:textId="58FAA830" w:rsidR="68B96921" w:rsidRPr="0049084C" w:rsidRDefault="00AE4E07" w:rsidP="74E5CDFF">
      <w:r w:rsidRPr="0049084C">
        <w:br/>
      </w:r>
      <w:r w:rsidR="68B96921" w:rsidRPr="0049084C">
        <w:t>Regularization benefits not only the people concerned, but also the wider society. When children and families do not have to fear immigration enforcement</w:t>
      </w:r>
      <w:r w:rsidR="735E2FFD" w:rsidRPr="0049084C">
        <w:t xml:space="preserve"> and</w:t>
      </w:r>
      <w:r w:rsidR="4768DBD6" w:rsidRPr="0049084C">
        <w:t xml:space="preserve"> </w:t>
      </w:r>
      <w:r w:rsidR="75A8BF53" w:rsidRPr="0049084C">
        <w:t>are includ</w:t>
      </w:r>
      <w:r w:rsidR="405EF58F" w:rsidRPr="0049084C">
        <w:t>ed</w:t>
      </w:r>
      <w:r w:rsidR="4A075480" w:rsidRPr="0049084C">
        <w:t xml:space="preserve"> in society, t</w:t>
      </w:r>
      <w:r w:rsidR="553FAADF" w:rsidRPr="0049084C">
        <w:t>hey are better positioned to thrive and the communities and institutions they are a part of can benefit from their skills, creativity, contributions, and diverse perspectives.</w:t>
      </w:r>
      <w:r w:rsidR="68B96921" w:rsidRPr="0049084C">
        <w:t xml:space="preserve"> </w:t>
      </w:r>
      <w:r w:rsidR="3A18EF35" w:rsidRPr="0049084C">
        <w:t>P</w:t>
      </w:r>
      <w:r w:rsidR="7F02FB8B" w:rsidRPr="0049084C">
        <w:t>eople can more comfortably engage with government entities</w:t>
      </w:r>
      <w:r w:rsidR="587309E2" w:rsidRPr="0049084C">
        <w:t xml:space="preserve"> </w:t>
      </w:r>
      <w:r w:rsidR="313B2E3E" w:rsidRPr="0049084C">
        <w:t>and law enforcement</w:t>
      </w:r>
      <w:r w:rsidR="2B0BB5F4" w:rsidRPr="0049084C">
        <w:t xml:space="preserve"> </w:t>
      </w:r>
      <w:r w:rsidR="262E38E9" w:rsidRPr="0049084C">
        <w:t>which b</w:t>
      </w:r>
      <w:r w:rsidR="587309E2" w:rsidRPr="0049084C">
        <w:t>uild</w:t>
      </w:r>
      <w:r w:rsidR="52238D10" w:rsidRPr="0049084C">
        <w:t>s</w:t>
      </w:r>
      <w:r w:rsidR="587309E2" w:rsidRPr="0049084C">
        <w:t xml:space="preserve"> trust and safety</w:t>
      </w:r>
      <w:r w:rsidR="4EA6805D" w:rsidRPr="0049084C">
        <w:t>,</w:t>
      </w:r>
      <w:r w:rsidR="7F02FB8B" w:rsidRPr="0049084C">
        <w:t xml:space="preserve"> </w:t>
      </w:r>
      <w:r w:rsidR="10747F48" w:rsidRPr="0049084C">
        <w:t>c</w:t>
      </w:r>
      <w:r w:rsidR="4D27F649" w:rsidRPr="0049084C">
        <w:t>ommunity institutions and</w:t>
      </w:r>
      <w:r w:rsidR="68B96921" w:rsidRPr="0049084C">
        <w:t xml:space="preserve"> </w:t>
      </w:r>
      <w:r w:rsidR="68B96921" w:rsidRPr="0049084C">
        <w:lastRenderedPageBreak/>
        <w:t>associations become more representative</w:t>
      </w:r>
      <w:r w:rsidR="407F8599" w:rsidRPr="0049084C">
        <w:t>,</w:t>
      </w:r>
      <w:r w:rsidR="55BCD445" w:rsidRPr="0049084C">
        <w:t xml:space="preserve"> and </w:t>
      </w:r>
      <w:r w:rsidR="5D7CB239" w:rsidRPr="0049084C">
        <w:t>societies increase their cultural capital.</w:t>
      </w:r>
      <w:r w:rsidR="68B96921" w:rsidRPr="0049084C">
        <w:t xml:space="preserve"> </w:t>
      </w:r>
      <w:r w:rsidR="13BAD15F" w:rsidRPr="0049084C">
        <w:t xml:space="preserve">Economies </w:t>
      </w:r>
      <w:r w:rsidR="68B96921" w:rsidRPr="0049084C">
        <w:t>benefit as</w:t>
      </w:r>
      <w:r w:rsidR="104ACD7B" w:rsidRPr="0049084C">
        <w:t xml:space="preserve"> the</w:t>
      </w:r>
      <w:r w:rsidR="07D50F53" w:rsidRPr="0049084C">
        <w:t xml:space="preserve"> formal</w:t>
      </w:r>
      <w:r w:rsidR="104ACD7B" w:rsidRPr="0049084C">
        <w:t xml:space="preserve"> labor force and its qualifications</w:t>
      </w:r>
      <w:r w:rsidR="1737EC0A" w:rsidRPr="0049084C">
        <w:t xml:space="preserve"> expand</w:t>
      </w:r>
      <w:r w:rsidR="6A49DF01" w:rsidRPr="0049084C">
        <w:t>,</w:t>
      </w:r>
      <w:r w:rsidR="104ACD7B" w:rsidRPr="0049084C">
        <w:t xml:space="preserve"> and </w:t>
      </w:r>
      <w:r w:rsidR="66428773" w:rsidRPr="0049084C">
        <w:t>States benefit from the collection</w:t>
      </w:r>
      <w:r w:rsidR="68B96921" w:rsidRPr="0049084C">
        <w:t xml:space="preserve"> of taxes</w:t>
      </w:r>
      <w:r w:rsidR="29219CE9" w:rsidRPr="0049084C">
        <w:t xml:space="preserve">, </w:t>
      </w:r>
      <w:r w:rsidR="60A8E0DE" w:rsidRPr="0049084C">
        <w:t>in turn enabling them to offer more and better services</w:t>
      </w:r>
      <w:r w:rsidR="68B96921" w:rsidRPr="0049084C">
        <w:t>.</w:t>
      </w:r>
      <w:r w:rsidR="68B96921" w:rsidRPr="0049084C">
        <w:rPr>
          <w:rStyle w:val="EndnoteReference"/>
        </w:rPr>
        <w:endnoteReference w:id="27"/>
      </w:r>
      <w:r w:rsidR="68B96921" w:rsidRPr="0049084C">
        <w:rPr>
          <w:rStyle w:val="EndnoteReference"/>
        </w:rPr>
        <w:endnoteReference w:id="28"/>
      </w:r>
      <w:r w:rsidR="68B96921" w:rsidRPr="0049084C">
        <w:t xml:space="preserve"> </w:t>
      </w:r>
      <w:r w:rsidR="6A3E8568" w:rsidRPr="0049084C">
        <w:rPr>
          <w:b/>
          <w:bCs/>
        </w:rPr>
        <w:t xml:space="preserve">Regularization </w:t>
      </w:r>
      <w:r w:rsidR="0F0C44DB" w:rsidRPr="0049084C">
        <w:rPr>
          <w:b/>
          <w:bCs/>
        </w:rPr>
        <w:t xml:space="preserve">turns migration into an opportunity for </w:t>
      </w:r>
      <w:r w:rsidR="3CCF24D2" w:rsidRPr="0049084C">
        <w:rPr>
          <w:b/>
          <w:bCs/>
        </w:rPr>
        <w:t xml:space="preserve">economic and social </w:t>
      </w:r>
      <w:r w:rsidR="0F0C44DB" w:rsidRPr="0049084C">
        <w:rPr>
          <w:b/>
          <w:bCs/>
        </w:rPr>
        <w:t>development</w:t>
      </w:r>
      <w:r w:rsidR="0F0C44DB" w:rsidRPr="0049084C">
        <w:t xml:space="preserve"> </w:t>
      </w:r>
      <w:r w:rsidR="00CC40DD" w:rsidRPr="0049084C">
        <w:rPr>
          <w:rFonts w:ascii="Calibri" w:eastAsia="Calibri" w:hAnsi="Calibri" w:cs="Calibri"/>
          <w:color w:val="000000" w:themeColor="text1"/>
        </w:rPr>
        <w:t>–</w:t>
      </w:r>
      <w:r w:rsidR="0F0C44DB" w:rsidRPr="0049084C">
        <w:t xml:space="preserve"> </w:t>
      </w:r>
      <w:r w:rsidR="6A3E8568" w:rsidRPr="0049084C">
        <w:t>help</w:t>
      </w:r>
      <w:r w:rsidR="167B71A9" w:rsidRPr="0049084C">
        <w:t>ing</w:t>
      </w:r>
      <w:r w:rsidR="6A3E8568" w:rsidRPr="0049084C">
        <w:t xml:space="preserve"> </w:t>
      </w:r>
      <w:r w:rsidR="4D7B1683" w:rsidRPr="0049084C">
        <w:t>S</w:t>
      </w:r>
      <w:r w:rsidR="6A3E8568" w:rsidRPr="0049084C">
        <w:t>tates and societies achieve the 2030 sustainable development goals</w:t>
      </w:r>
      <w:r w:rsidR="1CF156B1" w:rsidRPr="0049084C">
        <w:t xml:space="preserve">. </w:t>
      </w:r>
    </w:p>
    <w:p w14:paraId="54B6CDDC" w14:textId="05F4BA32" w:rsidR="74E5CDFF" w:rsidRPr="0049084C" w:rsidRDefault="4ECC8516" w:rsidP="74E5CDFF">
      <w:r w:rsidRPr="0049084C">
        <w:t xml:space="preserve">The </w:t>
      </w:r>
      <w:r w:rsidR="731B8DFC" w:rsidRPr="0049084C">
        <w:t xml:space="preserve">decade that the </w:t>
      </w:r>
      <w:r w:rsidRPr="0049084C">
        <w:t xml:space="preserve">United States’ Deferred Action for Childhood Arrival program (DACA) </w:t>
      </w:r>
      <w:r w:rsidR="5491F7D8" w:rsidRPr="0049084C">
        <w:t xml:space="preserve">has been in effect </w:t>
      </w:r>
      <w:r w:rsidR="54F67098" w:rsidRPr="0049084C">
        <w:t>offers a unique l</w:t>
      </w:r>
      <w:r w:rsidR="2E101267" w:rsidRPr="0049084C">
        <w:t>ook</w:t>
      </w:r>
      <w:r w:rsidR="54F67098" w:rsidRPr="0049084C">
        <w:t xml:space="preserve"> into</w:t>
      </w:r>
      <w:r w:rsidRPr="0049084C">
        <w:t xml:space="preserve"> how </w:t>
      </w:r>
      <w:r w:rsidR="249058ED" w:rsidRPr="0049084C">
        <w:t>r</w:t>
      </w:r>
      <w:r w:rsidRPr="0049084C">
        <w:t xml:space="preserve">egularization can </w:t>
      </w:r>
      <w:r w:rsidR="744BDFD8" w:rsidRPr="0049084C">
        <w:t xml:space="preserve">unlock </w:t>
      </w:r>
      <w:r w:rsidR="5076437D" w:rsidRPr="0049084C">
        <w:t xml:space="preserve">the potential for </w:t>
      </w:r>
      <w:r w:rsidR="13F23E85" w:rsidRPr="0049084C">
        <w:t>i</w:t>
      </w:r>
      <w:r w:rsidR="090C5353" w:rsidRPr="0049084C">
        <w:t>mmigrants</w:t>
      </w:r>
      <w:r w:rsidR="744BDFD8" w:rsidRPr="0049084C">
        <w:t xml:space="preserve"> to </w:t>
      </w:r>
      <w:r w:rsidR="6661686B" w:rsidRPr="0049084C">
        <w:t>contribute</w:t>
      </w:r>
      <w:r w:rsidR="744BDFD8" w:rsidRPr="0049084C">
        <w:t xml:space="preserve"> society</w:t>
      </w:r>
      <w:r w:rsidR="5EAA0981" w:rsidRPr="0049084C">
        <w:t xml:space="preserve"> and the economy</w:t>
      </w:r>
      <w:r w:rsidR="744BDFD8" w:rsidRPr="0049084C">
        <w:t xml:space="preserve">. </w:t>
      </w:r>
      <w:r w:rsidR="0A147C8C" w:rsidRPr="0049084C">
        <w:t xml:space="preserve">It </w:t>
      </w:r>
      <w:r w:rsidR="6CC869D8" w:rsidRPr="0049084C">
        <w:t xml:space="preserve">has </w:t>
      </w:r>
      <w:r w:rsidR="0A147C8C" w:rsidRPr="0049084C">
        <w:t xml:space="preserve">enabled young people to have more stability in their lives, to pursue higher education, work formally in higher-wage jobs, start businesses, buy homes. </w:t>
      </w:r>
      <w:r w:rsidR="348A1B0B" w:rsidRPr="0049084C">
        <w:t xml:space="preserve">DACA has been credited with positive health impacts, </w:t>
      </w:r>
      <w:r w:rsidR="5A9D0AF0" w:rsidRPr="0049084C">
        <w:t xml:space="preserve">including due to increased </w:t>
      </w:r>
      <w:r w:rsidR="348A1B0B" w:rsidRPr="0049084C">
        <w:t>health insurance coverage rates, and improved mental health.</w:t>
      </w:r>
      <w:r w:rsidR="68B96921" w:rsidRPr="0049084C">
        <w:rPr>
          <w:rStyle w:val="EndnoteReference"/>
        </w:rPr>
        <w:endnoteReference w:id="29"/>
      </w:r>
      <w:r w:rsidR="348A1B0B" w:rsidRPr="0049084C">
        <w:t xml:space="preserve"> </w:t>
      </w:r>
      <w:r w:rsidR="2DEE3898" w:rsidRPr="0049084C">
        <w:t>The</w:t>
      </w:r>
      <w:r w:rsidR="31670C4C" w:rsidRPr="0049084C">
        <w:t>se positive impacts</w:t>
      </w:r>
      <w:r w:rsidR="2DEE3898" w:rsidRPr="0049084C">
        <w:t xml:space="preserve"> </w:t>
      </w:r>
      <w:r w:rsidR="05251316" w:rsidRPr="0049084C">
        <w:t>have been</w:t>
      </w:r>
      <w:r w:rsidR="2DEE3898" w:rsidRPr="0049084C">
        <w:t xml:space="preserve"> felt not only by DACA-holders, but also their families, including the 300,000 U.S.-born children who have at least one parent with DACA</w:t>
      </w:r>
      <w:r w:rsidR="7C047C3A" w:rsidRPr="0049084C">
        <w:t>, and the communities they are a part of</w:t>
      </w:r>
      <w:r w:rsidR="2DEE3898" w:rsidRPr="0049084C">
        <w:t>.</w:t>
      </w:r>
      <w:r w:rsidR="68B96921" w:rsidRPr="0049084C">
        <w:rPr>
          <w:rStyle w:val="EndnoteReference"/>
        </w:rPr>
        <w:endnoteReference w:id="30"/>
      </w:r>
      <w:r w:rsidR="2DEE3898" w:rsidRPr="0049084C">
        <w:t xml:space="preserve"> </w:t>
      </w:r>
      <w:r w:rsidR="723A9B9E" w:rsidRPr="0049084C">
        <w:t>It is estimated</w:t>
      </w:r>
      <w:r w:rsidR="2E4F6434" w:rsidRPr="0049084C">
        <w:t xml:space="preserve"> that DACA </w:t>
      </w:r>
      <w:r w:rsidR="00AFC3EC" w:rsidRPr="0049084C">
        <w:t xml:space="preserve">holders </w:t>
      </w:r>
      <w:r w:rsidR="777ADEBC" w:rsidRPr="0049084C">
        <w:t>contribute approximately $42 billion to U.S. GDP each year</w:t>
      </w:r>
      <w:r w:rsidR="68B96921" w:rsidRPr="0049084C">
        <w:rPr>
          <w:rStyle w:val="EndnoteReference"/>
        </w:rPr>
        <w:endnoteReference w:id="31"/>
      </w:r>
      <w:r w:rsidR="777ADEBC" w:rsidRPr="0049084C">
        <w:t xml:space="preserve"> and </w:t>
      </w:r>
      <w:r w:rsidR="197E9B04" w:rsidRPr="0049084C">
        <w:t>that DACA-recipient households pay an estimated $6.2 billion in federal taxes and $3.3 billion in state and local taxes each year.</w:t>
      </w:r>
      <w:r w:rsidR="68B96921" w:rsidRPr="0049084C">
        <w:rPr>
          <w:rStyle w:val="EndnoteReference"/>
        </w:rPr>
        <w:endnoteReference w:id="32"/>
      </w:r>
      <w:r w:rsidR="197E9B04" w:rsidRPr="0049084C">
        <w:t xml:space="preserve"> </w:t>
      </w:r>
      <w:r w:rsidR="52A5E937" w:rsidRPr="0049084C">
        <w:t xml:space="preserve">Still, DACA has always been only temporary in nature, requiring renewal every 2 years, and has not given people the certainty and ability to plan for the future that more durable regularization would offer. </w:t>
      </w:r>
      <w:r w:rsidR="3E415676" w:rsidRPr="0049084C">
        <w:t xml:space="preserve">Moreover, the future of the program is uncertain as it faces legal challenges. </w:t>
      </w:r>
      <w:r w:rsidR="002F07C3" w:rsidRPr="0049084C">
        <w:br/>
      </w:r>
    </w:p>
    <w:tbl>
      <w:tblPr>
        <w:tblStyle w:val="TableGrid"/>
        <w:tblW w:w="0" w:type="auto"/>
        <w:tblLayout w:type="fixed"/>
        <w:tblLook w:val="06A0" w:firstRow="1" w:lastRow="0" w:firstColumn="1" w:lastColumn="0" w:noHBand="1" w:noVBand="1"/>
      </w:tblPr>
      <w:tblGrid>
        <w:gridCol w:w="9360"/>
      </w:tblGrid>
      <w:tr w:rsidR="57194874" w:rsidRPr="0049084C" w14:paraId="51D966A4" w14:textId="77777777" w:rsidTr="57194874">
        <w:trPr>
          <w:trHeight w:val="300"/>
        </w:trPr>
        <w:tc>
          <w:tcPr>
            <w:tcW w:w="9360" w:type="dxa"/>
            <w:shd w:val="clear" w:color="auto" w:fill="DEEAF6" w:themeFill="accent5" w:themeFillTint="33"/>
          </w:tcPr>
          <w:p w14:paraId="3BD326CF" w14:textId="5E46113D" w:rsidR="762B21EB" w:rsidRPr="0049084C" w:rsidRDefault="762B21EB" w:rsidP="57194874">
            <w:r w:rsidRPr="0049084C">
              <w:rPr>
                <w:rFonts w:ascii="Calibri" w:eastAsia="Calibri" w:hAnsi="Calibri" w:cs="Calibri"/>
                <w:color w:val="000000" w:themeColor="text1"/>
              </w:rPr>
              <w:t>5. Please provide information of concrete initiatives, actions and programs relating to the regularization of migrants in an irregular situation that have been developed, including jointly, by civil society organizations, national human rights institutions, and other stakeholders in your country. Please explain to what extent the work of civil society organizations and other stakeholders is taken into account to inform national policies</w:t>
            </w:r>
          </w:p>
        </w:tc>
      </w:tr>
    </w:tbl>
    <w:p w14:paraId="7433C249" w14:textId="534FD4A5" w:rsidR="57194874" w:rsidRPr="0049084C" w:rsidRDefault="57194874" w:rsidP="57194874"/>
    <w:p w14:paraId="5C7DAA7A" w14:textId="236682E9" w:rsidR="31FAC8AB" w:rsidRPr="0049084C" w:rsidRDefault="31FAC8AB" w:rsidP="74E5CDFF">
      <w:pPr>
        <w:pStyle w:val="ListParagraph"/>
        <w:numPr>
          <w:ilvl w:val="0"/>
          <w:numId w:val="6"/>
        </w:numPr>
        <w:rPr>
          <w:rFonts w:ascii="Calibri" w:eastAsia="Calibri" w:hAnsi="Calibri" w:cs="Calibri"/>
          <w:color w:val="000000" w:themeColor="text1"/>
          <w:lang w:val="en-GB"/>
        </w:rPr>
      </w:pPr>
      <w:r w:rsidRPr="0049084C">
        <w:t xml:space="preserve">Bolivia: </w:t>
      </w:r>
      <w:r w:rsidR="74234622" w:rsidRPr="0049084C">
        <w:t xml:space="preserve">Since 2021, </w:t>
      </w:r>
      <w:r w:rsidRPr="0049084C">
        <w:t xml:space="preserve">UNICEF Bolivia and CSO partners </w:t>
      </w:r>
      <w:r w:rsidR="58E223F5" w:rsidRPr="0049084C">
        <w:t>have been</w:t>
      </w:r>
      <w:r w:rsidRPr="0049084C">
        <w:t xml:space="preserve"> </w:t>
      </w:r>
      <w:r w:rsidR="3DB39E13" w:rsidRPr="0049084C">
        <w:t>supporting</w:t>
      </w:r>
      <w:r w:rsidRPr="0049084C">
        <w:t xml:space="preserve"> Venezuelan migrant children and families t</w:t>
      </w:r>
      <w:r w:rsidR="2964BD3B" w:rsidRPr="0049084C">
        <w:t>o navigate regularization paperwork</w:t>
      </w:r>
      <w:r w:rsidR="3B85C676" w:rsidRPr="0049084C">
        <w:t xml:space="preserve">, </w:t>
      </w:r>
      <w:r w:rsidRPr="0049084C">
        <w:t>the issuance of birth certificates and identity cards for babies of Venezuelan parents born in Bolivia</w:t>
      </w:r>
      <w:r w:rsidR="65EE75F4" w:rsidRPr="0049084C">
        <w:t>,</w:t>
      </w:r>
      <w:r w:rsidR="65AF50BD" w:rsidRPr="0049084C">
        <w:t xml:space="preserve"> and successfully advocated</w:t>
      </w:r>
      <w:r w:rsidR="6B91B4FF" w:rsidRPr="0049084C">
        <w:t xml:space="preserve"> with migration authorities </w:t>
      </w:r>
      <w:r w:rsidR="62B07989" w:rsidRPr="0049084C">
        <w:t>to reduce the</w:t>
      </w:r>
      <w:r w:rsidRPr="0049084C">
        <w:rPr>
          <w:rFonts w:ascii="Calibri" w:eastAsia="Calibri" w:hAnsi="Calibri" w:cs="Calibri"/>
          <w:color w:val="000000" w:themeColor="text1"/>
        </w:rPr>
        <w:t xml:space="preserve"> financial obstacles </w:t>
      </w:r>
      <w:r w:rsidR="7FFC3369" w:rsidRPr="0049084C">
        <w:rPr>
          <w:rFonts w:ascii="Calibri" w:eastAsia="Calibri" w:hAnsi="Calibri" w:cs="Calibri"/>
          <w:color w:val="000000" w:themeColor="text1"/>
        </w:rPr>
        <w:t>to regularization</w:t>
      </w:r>
      <w:r w:rsidR="147CB0EE" w:rsidRPr="0049084C">
        <w:rPr>
          <w:rFonts w:ascii="Calibri" w:eastAsia="Calibri" w:hAnsi="Calibri" w:cs="Calibri"/>
          <w:color w:val="000000" w:themeColor="text1"/>
        </w:rPr>
        <w:t>.</w:t>
      </w:r>
      <w:r w:rsidR="4802ED93" w:rsidRPr="0049084C">
        <w:rPr>
          <w:rFonts w:ascii="Calibri" w:eastAsia="Calibri" w:hAnsi="Calibri" w:cs="Calibri"/>
          <w:color w:val="000000" w:themeColor="text1"/>
        </w:rPr>
        <w:t xml:space="preserve"> </w:t>
      </w:r>
      <w:r w:rsidR="11A4A4E5" w:rsidRPr="0049084C">
        <w:rPr>
          <w:rFonts w:ascii="Calibri" w:eastAsia="Calibri" w:hAnsi="Calibri" w:cs="Calibri"/>
          <w:color w:val="000000" w:themeColor="text1"/>
        </w:rPr>
        <w:t xml:space="preserve">An array of services </w:t>
      </w:r>
      <w:proofErr w:type="gramStart"/>
      <w:r w:rsidR="11A4A4E5" w:rsidRPr="0049084C">
        <w:rPr>
          <w:rFonts w:ascii="Calibri" w:eastAsia="Calibri" w:hAnsi="Calibri" w:cs="Calibri"/>
          <w:color w:val="000000" w:themeColor="text1"/>
        </w:rPr>
        <w:t>have</w:t>
      </w:r>
      <w:proofErr w:type="gramEnd"/>
      <w:r w:rsidR="11A4A4E5" w:rsidRPr="0049084C">
        <w:rPr>
          <w:rFonts w:ascii="Calibri" w:eastAsia="Calibri" w:hAnsi="Calibri" w:cs="Calibri"/>
          <w:color w:val="000000" w:themeColor="text1"/>
        </w:rPr>
        <w:t xml:space="preserve"> been made available to </w:t>
      </w:r>
      <w:r w:rsidRPr="0049084C">
        <w:rPr>
          <w:rFonts w:ascii="Calibri" w:eastAsia="Calibri" w:hAnsi="Calibri" w:cs="Calibri"/>
          <w:color w:val="000000" w:themeColor="text1"/>
          <w:lang w:val="en-GB"/>
        </w:rPr>
        <w:t>Venezuelan children and their families</w:t>
      </w:r>
      <w:r w:rsidR="12E166C8" w:rsidRPr="0049084C">
        <w:rPr>
          <w:rFonts w:ascii="Calibri" w:eastAsia="Calibri" w:hAnsi="Calibri" w:cs="Calibri"/>
          <w:color w:val="000000" w:themeColor="text1"/>
          <w:lang w:val="en-GB"/>
        </w:rPr>
        <w:t xml:space="preserve"> to support </w:t>
      </w:r>
      <w:r w:rsidR="6724C6C5" w:rsidRPr="0049084C">
        <w:rPr>
          <w:rFonts w:ascii="Calibri" w:eastAsia="Calibri" w:hAnsi="Calibri" w:cs="Calibri"/>
          <w:color w:val="000000" w:themeColor="text1"/>
          <w:lang w:val="en-GB"/>
        </w:rPr>
        <w:t>their</w:t>
      </w:r>
      <w:r w:rsidR="12E166C8" w:rsidRPr="0049084C">
        <w:rPr>
          <w:rFonts w:ascii="Calibri" w:eastAsia="Calibri" w:hAnsi="Calibri" w:cs="Calibri"/>
          <w:color w:val="000000" w:themeColor="text1"/>
          <w:lang w:val="en-GB"/>
        </w:rPr>
        <w:t xml:space="preserve"> </w:t>
      </w:r>
      <w:r w:rsidR="002F07C3" w:rsidRPr="0049084C">
        <w:rPr>
          <w:rFonts w:ascii="Calibri" w:eastAsia="Calibri" w:hAnsi="Calibri" w:cs="Calibri"/>
          <w:color w:val="000000" w:themeColor="text1"/>
          <w:lang w:val="en-GB"/>
        </w:rPr>
        <w:t xml:space="preserve">regularization and </w:t>
      </w:r>
      <w:r w:rsidR="12E166C8" w:rsidRPr="0049084C">
        <w:rPr>
          <w:rFonts w:ascii="Calibri" w:eastAsia="Calibri" w:hAnsi="Calibri" w:cs="Calibri"/>
          <w:color w:val="000000" w:themeColor="text1"/>
          <w:lang w:val="en-GB"/>
        </w:rPr>
        <w:t>integration</w:t>
      </w:r>
      <w:r w:rsidRPr="0049084C">
        <w:rPr>
          <w:rFonts w:ascii="Calibri" w:eastAsia="Calibri" w:hAnsi="Calibri" w:cs="Calibri"/>
          <w:color w:val="000000" w:themeColor="text1"/>
          <w:lang w:val="en-GB"/>
        </w:rPr>
        <w:t xml:space="preserve"> </w:t>
      </w:r>
      <w:r w:rsidR="18034B87" w:rsidRPr="0049084C">
        <w:rPr>
          <w:rFonts w:ascii="Calibri" w:eastAsia="Calibri" w:hAnsi="Calibri" w:cs="Calibri"/>
          <w:color w:val="000000" w:themeColor="text1"/>
          <w:lang w:val="en-GB"/>
        </w:rPr>
        <w:t>(</w:t>
      </w:r>
      <w:r w:rsidR="002F07C3" w:rsidRPr="0049084C">
        <w:rPr>
          <w:rFonts w:ascii="Calibri" w:eastAsia="Calibri" w:hAnsi="Calibri" w:cs="Calibri"/>
          <w:color w:val="000000" w:themeColor="text1"/>
          <w:lang w:val="en-GB"/>
        </w:rPr>
        <w:t xml:space="preserve">legal support, </w:t>
      </w:r>
      <w:r w:rsidRPr="0049084C">
        <w:rPr>
          <w:rFonts w:ascii="Calibri" w:eastAsia="Calibri" w:hAnsi="Calibri" w:cs="Calibri"/>
          <w:color w:val="000000" w:themeColor="text1"/>
          <w:lang w:val="en-GB"/>
        </w:rPr>
        <w:t>health care, educational support and recreational/social activities</w:t>
      </w:r>
      <w:r w:rsidR="4421AD46" w:rsidRPr="0049084C">
        <w:rPr>
          <w:rFonts w:ascii="Calibri" w:eastAsia="Calibri" w:hAnsi="Calibri" w:cs="Calibri"/>
          <w:color w:val="000000" w:themeColor="text1"/>
          <w:lang w:val="en-GB"/>
        </w:rPr>
        <w:t>)</w:t>
      </w:r>
      <w:r w:rsidRPr="0049084C">
        <w:rPr>
          <w:rFonts w:ascii="Calibri" w:eastAsia="Calibri" w:hAnsi="Calibri" w:cs="Calibri"/>
          <w:color w:val="000000" w:themeColor="text1"/>
          <w:lang w:val="en-GB"/>
        </w:rPr>
        <w:t xml:space="preserve"> through </w:t>
      </w:r>
      <w:r w:rsidR="3E62EC6B" w:rsidRPr="0049084C">
        <w:rPr>
          <w:rFonts w:ascii="Calibri" w:eastAsia="Calibri" w:hAnsi="Calibri" w:cs="Calibri"/>
          <w:color w:val="000000" w:themeColor="text1"/>
          <w:lang w:val="en-GB"/>
        </w:rPr>
        <w:t>CSOs</w:t>
      </w:r>
      <w:r w:rsidRPr="0049084C">
        <w:rPr>
          <w:rFonts w:ascii="Calibri" w:eastAsia="Calibri" w:hAnsi="Calibri" w:cs="Calibri"/>
          <w:color w:val="000000" w:themeColor="text1"/>
          <w:lang w:val="en-GB"/>
        </w:rPr>
        <w:t xml:space="preserve"> </w:t>
      </w:r>
      <w:r w:rsidR="345CD1C0" w:rsidRPr="0049084C">
        <w:rPr>
          <w:rFonts w:ascii="Calibri" w:eastAsia="Calibri" w:hAnsi="Calibri" w:cs="Calibri"/>
          <w:color w:val="000000" w:themeColor="text1"/>
          <w:lang w:val="en-GB"/>
        </w:rPr>
        <w:t>trained by</w:t>
      </w:r>
      <w:r w:rsidR="21F57A22" w:rsidRPr="0049084C">
        <w:rPr>
          <w:rFonts w:ascii="Calibri" w:eastAsia="Calibri" w:hAnsi="Calibri" w:cs="Calibri"/>
          <w:color w:val="000000" w:themeColor="text1"/>
          <w:lang w:val="en-GB"/>
        </w:rPr>
        <w:t xml:space="preserve"> UNICEF on administrative procedures, safeguards and management of documentation of children, PSEA, and mental health needs. C</w:t>
      </w:r>
      <w:r w:rsidRPr="0049084C">
        <w:rPr>
          <w:rFonts w:ascii="Calibri" w:eastAsia="Calibri" w:hAnsi="Calibri" w:cs="Calibri"/>
          <w:color w:val="000000" w:themeColor="text1"/>
          <w:lang w:val="en-GB"/>
        </w:rPr>
        <w:t xml:space="preserve">hildren from host communities benefited from </w:t>
      </w:r>
      <w:r w:rsidR="04E35DDC" w:rsidRPr="0049084C">
        <w:rPr>
          <w:rFonts w:ascii="Calibri" w:eastAsia="Calibri" w:hAnsi="Calibri" w:cs="Calibri"/>
          <w:color w:val="000000" w:themeColor="text1"/>
          <w:lang w:val="en-GB"/>
        </w:rPr>
        <w:t xml:space="preserve">many of </w:t>
      </w:r>
      <w:r w:rsidRPr="0049084C">
        <w:rPr>
          <w:rFonts w:ascii="Calibri" w:eastAsia="Calibri" w:hAnsi="Calibri" w:cs="Calibri"/>
          <w:color w:val="000000" w:themeColor="text1"/>
          <w:lang w:val="en-GB"/>
        </w:rPr>
        <w:t>the same services and activities</w:t>
      </w:r>
      <w:r w:rsidR="5DB61344" w:rsidRPr="0049084C">
        <w:rPr>
          <w:rFonts w:ascii="Calibri" w:eastAsia="Calibri" w:hAnsi="Calibri" w:cs="Calibri"/>
          <w:color w:val="000000" w:themeColor="text1"/>
          <w:lang w:val="en-GB"/>
        </w:rPr>
        <w:t>, helping with social cohesion</w:t>
      </w:r>
      <w:r w:rsidRPr="0049084C">
        <w:rPr>
          <w:rFonts w:ascii="Calibri" w:eastAsia="Calibri" w:hAnsi="Calibri" w:cs="Calibri"/>
          <w:color w:val="000000" w:themeColor="text1"/>
          <w:lang w:val="en-GB"/>
        </w:rPr>
        <w:t>.</w:t>
      </w:r>
    </w:p>
    <w:p w14:paraId="13C1E170" w14:textId="259CC304" w:rsidR="6C98BAAE" w:rsidRPr="0049084C" w:rsidRDefault="6C98BAAE" w:rsidP="57194874">
      <w:pPr>
        <w:pStyle w:val="ListParagraph"/>
        <w:numPr>
          <w:ilvl w:val="0"/>
          <w:numId w:val="6"/>
        </w:numPr>
      </w:pPr>
      <w:r w:rsidRPr="0049084C">
        <w:t>Chile 2017:</w:t>
      </w:r>
      <w:r w:rsidR="1BFF4AC5" w:rsidRPr="0049084C">
        <w:t xml:space="preserve"> UNICEF Chile</w:t>
      </w:r>
      <w:r w:rsidR="58643481" w:rsidRPr="0049084C">
        <w:t>’s work to promote</w:t>
      </w:r>
      <w:r w:rsidR="1BFF4AC5" w:rsidRPr="0049084C">
        <w:t xml:space="preserve"> the inclusion and non-discrimination of migrant children</w:t>
      </w:r>
      <w:r w:rsidR="37B6A71A" w:rsidRPr="0049084C">
        <w:t xml:space="preserve"> </w:t>
      </w:r>
      <w:r w:rsidR="1BFF4AC5" w:rsidRPr="0049084C">
        <w:t xml:space="preserve">was reflected in the implementation of the </w:t>
      </w:r>
      <w:r w:rsidR="67D16B04" w:rsidRPr="0049084C">
        <w:t xml:space="preserve">government’s </w:t>
      </w:r>
      <w:r w:rsidR="1BFF4AC5" w:rsidRPr="0049084C">
        <w:t xml:space="preserve">National Plan of Regularization of </w:t>
      </w:r>
      <w:r w:rsidR="1BFF4AC5" w:rsidRPr="0049084C">
        <w:rPr>
          <w:rFonts w:eastAsiaTheme="minorEastAsia"/>
        </w:rPr>
        <w:t>Migrant Children through an agreement between the Ministry of the Interior and the Ministry of Education.</w:t>
      </w:r>
      <w:r w:rsidR="02A486F2" w:rsidRPr="0049084C">
        <w:rPr>
          <w:rFonts w:eastAsiaTheme="minorEastAsia"/>
        </w:rPr>
        <w:t xml:space="preserve"> </w:t>
      </w:r>
      <w:r w:rsidR="4A663824" w:rsidRPr="0049084C">
        <w:t xml:space="preserve"> </w:t>
      </w:r>
    </w:p>
    <w:p w14:paraId="42553C2A" w14:textId="360B3BC0" w:rsidR="49464105" w:rsidRPr="0049084C" w:rsidRDefault="49464105" w:rsidP="57194874">
      <w:pPr>
        <w:pStyle w:val="ListParagraph"/>
        <w:numPr>
          <w:ilvl w:val="0"/>
          <w:numId w:val="6"/>
        </w:numPr>
      </w:pPr>
      <w:r w:rsidRPr="0049084C">
        <w:t xml:space="preserve">Colombia: </w:t>
      </w:r>
      <w:r w:rsidR="5C296639" w:rsidRPr="0049084C">
        <w:t xml:space="preserve">The </w:t>
      </w:r>
      <w:r w:rsidR="6045854F" w:rsidRPr="0049084C">
        <w:t xml:space="preserve">implementation </w:t>
      </w:r>
      <w:r w:rsidR="76544DA9" w:rsidRPr="0049084C">
        <w:t>of Colombia’s groundbreaking Temporary Protection Statu</w:t>
      </w:r>
      <w:r w:rsidR="6B97A0A8" w:rsidRPr="0049084C">
        <w:t>te</w:t>
      </w:r>
      <w:r w:rsidR="76544DA9" w:rsidRPr="0049084C">
        <w:t xml:space="preserve"> </w:t>
      </w:r>
      <w:r w:rsidR="5E4CE655" w:rsidRPr="0049084C">
        <w:t xml:space="preserve">in 2021 </w:t>
      </w:r>
      <w:r w:rsidR="6045854F" w:rsidRPr="0049084C">
        <w:t xml:space="preserve">has required massive efforts to register </w:t>
      </w:r>
      <w:r w:rsidR="2442C5D1" w:rsidRPr="0049084C">
        <w:t xml:space="preserve">the </w:t>
      </w:r>
      <w:r w:rsidR="7DD11ECA" w:rsidRPr="0049084C">
        <w:t xml:space="preserve">eligible </w:t>
      </w:r>
      <w:r w:rsidR="6045854F" w:rsidRPr="0049084C">
        <w:t>population</w:t>
      </w:r>
      <w:r w:rsidR="62E2B48F" w:rsidRPr="0049084C">
        <w:t xml:space="preserve"> and</w:t>
      </w:r>
      <w:r w:rsidR="6045854F" w:rsidRPr="0049084C">
        <w:t xml:space="preserve"> issue </w:t>
      </w:r>
      <w:r w:rsidR="1E833767" w:rsidRPr="0049084C">
        <w:t>documentation</w:t>
      </w:r>
      <w:r w:rsidR="6045854F" w:rsidRPr="0049084C">
        <w:t xml:space="preserve">. </w:t>
      </w:r>
      <w:r w:rsidR="2B939B67" w:rsidRPr="0049084C">
        <w:t xml:space="preserve">UNICEF has been </w:t>
      </w:r>
      <w:r w:rsidR="7179A800" w:rsidRPr="0049084C">
        <w:t xml:space="preserve">conducting information campaigns and workshops to </w:t>
      </w:r>
      <w:r w:rsidR="2B939B67" w:rsidRPr="0049084C">
        <w:t>support Venezuelan families to complete</w:t>
      </w:r>
      <w:r w:rsidR="6045854F" w:rsidRPr="0049084C">
        <w:t xml:space="preserve"> their registration</w:t>
      </w:r>
      <w:r w:rsidR="6869DD25" w:rsidRPr="0049084C">
        <w:t>. UNICEF advocated to</w:t>
      </w:r>
      <w:r w:rsidR="6045854F" w:rsidRPr="0049084C">
        <w:t xml:space="preserve"> </w:t>
      </w:r>
      <w:r w:rsidR="4D77585E" w:rsidRPr="0049084C">
        <w:t xml:space="preserve">ensure that </w:t>
      </w:r>
      <w:r w:rsidR="6045854F" w:rsidRPr="0049084C">
        <w:t>children aged 0</w:t>
      </w:r>
      <w:r w:rsidR="5FD19AB1" w:rsidRPr="0049084C">
        <w:t>-</w:t>
      </w:r>
      <w:r w:rsidR="6045854F" w:rsidRPr="0049084C">
        <w:t xml:space="preserve">7 </w:t>
      </w:r>
      <w:r w:rsidR="5AC3F57C" w:rsidRPr="0049084C">
        <w:t>are</w:t>
      </w:r>
      <w:r w:rsidR="6045854F" w:rsidRPr="0049084C">
        <w:t xml:space="preserve"> </w:t>
      </w:r>
      <w:r w:rsidR="6045854F" w:rsidRPr="0049084C">
        <w:lastRenderedPageBreak/>
        <w:t>prioritized to receive ID cards</w:t>
      </w:r>
      <w:r w:rsidR="48AF7311" w:rsidRPr="0049084C">
        <w:t xml:space="preserve"> and has offered training and technical assistance to public officials to ensure a successful, child-sensitive rollout of the program.</w:t>
      </w:r>
      <w:r w:rsidR="776CB323" w:rsidRPr="0049084C">
        <w:t xml:space="preserve"> </w:t>
      </w:r>
      <w:r w:rsidR="5EF150B8" w:rsidRPr="0049084C">
        <w:rPr>
          <w:rFonts w:ascii="Calibri" w:eastAsia="Calibri" w:hAnsi="Calibri" w:cs="Calibri"/>
          <w:color w:val="000000" w:themeColor="text1"/>
          <w:lang w:val="en"/>
        </w:rPr>
        <w:t>Once regularized</w:t>
      </w:r>
      <w:r w:rsidR="25965F3F" w:rsidRPr="0049084C">
        <w:rPr>
          <w:rFonts w:ascii="Calibri" w:eastAsia="Calibri" w:hAnsi="Calibri" w:cs="Calibri"/>
          <w:color w:val="000000" w:themeColor="text1"/>
          <w:lang w:val="en"/>
        </w:rPr>
        <w:t>,</w:t>
      </w:r>
      <w:r w:rsidR="7C63DF80" w:rsidRPr="0049084C">
        <w:rPr>
          <w:rFonts w:ascii="Calibri" w:eastAsia="Calibri" w:hAnsi="Calibri" w:cs="Calibri"/>
          <w:color w:val="000000" w:themeColor="text1"/>
          <w:lang w:val="en"/>
        </w:rPr>
        <w:t xml:space="preserve"> </w:t>
      </w:r>
      <w:r w:rsidR="36841429" w:rsidRPr="0049084C">
        <w:rPr>
          <w:rFonts w:ascii="Calibri" w:eastAsia="Calibri" w:hAnsi="Calibri" w:cs="Calibri"/>
          <w:color w:val="000000" w:themeColor="text1"/>
          <w:lang w:val="en"/>
        </w:rPr>
        <w:t>Venezuelans</w:t>
      </w:r>
      <w:r w:rsidR="2D0C2DC9" w:rsidRPr="0049084C">
        <w:rPr>
          <w:rFonts w:ascii="Calibri" w:eastAsia="Calibri" w:hAnsi="Calibri" w:cs="Calibri"/>
          <w:color w:val="000000" w:themeColor="text1"/>
          <w:lang w:val="en"/>
        </w:rPr>
        <w:t xml:space="preserve"> must </w:t>
      </w:r>
      <w:r w:rsidR="7C63DF80" w:rsidRPr="0049084C">
        <w:rPr>
          <w:rFonts w:ascii="Calibri" w:eastAsia="Calibri" w:hAnsi="Calibri" w:cs="Calibri"/>
          <w:color w:val="000000" w:themeColor="text1"/>
          <w:lang w:val="en"/>
        </w:rPr>
        <w:t>register in the</w:t>
      </w:r>
      <w:r w:rsidR="776CB323" w:rsidRPr="0049084C">
        <w:rPr>
          <w:rFonts w:ascii="Calibri" w:eastAsia="Calibri" w:hAnsi="Calibri" w:cs="Calibri"/>
          <w:color w:val="000000" w:themeColor="text1"/>
          <w:lang w:val="en"/>
        </w:rPr>
        <w:t xml:space="preserve"> government’s SISBEN database </w:t>
      </w:r>
      <w:r w:rsidR="2C17CD89" w:rsidRPr="0049084C">
        <w:rPr>
          <w:rFonts w:ascii="Calibri" w:eastAsia="Calibri" w:hAnsi="Calibri" w:cs="Calibri"/>
          <w:color w:val="000000" w:themeColor="text1"/>
          <w:lang w:val="en"/>
        </w:rPr>
        <w:t xml:space="preserve">in order to access social protection mechanisms. </w:t>
      </w:r>
      <w:r w:rsidR="5E58E02E" w:rsidRPr="0049084C">
        <w:rPr>
          <w:rFonts w:ascii="Calibri" w:eastAsia="Calibri" w:hAnsi="Calibri" w:cs="Calibri"/>
          <w:color w:val="000000" w:themeColor="text1"/>
          <w:lang w:val="en"/>
        </w:rPr>
        <w:t>UNICEF has been working with Colombia’s National Planning Department, with support from the World Food Program, to build capacity at the local level to</w:t>
      </w:r>
      <w:r w:rsidR="2FF9C250" w:rsidRPr="0049084C">
        <w:rPr>
          <w:rFonts w:ascii="Calibri" w:eastAsia="Calibri" w:hAnsi="Calibri" w:cs="Calibri"/>
          <w:color w:val="000000" w:themeColor="text1"/>
          <w:lang w:val="en"/>
        </w:rPr>
        <w:t xml:space="preserve"> get more than </w:t>
      </w:r>
      <w:r w:rsidR="57F249CA" w:rsidRPr="0049084C">
        <w:rPr>
          <w:rFonts w:ascii="Calibri" w:eastAsia="Calibri" w:hAnsi="Calibri" w:cs="Calibri"/>
          <w:color w:val="000000" w:themeColor="text1"/>
          <w:lang w:val="en"/>
        </w:rPr>
        <w:t>1</w:t>
      </w:r>
      <w:r w:rsidR="2FF9C250" w:rsidRPr="0049084C">
        <w:rPr>
          <w:rFonts w:ascii="Calibri" w:eastAsia="Calibri" w:hAnsi="Calibri" w:cs="Calibri"/>
          <w:color w:val="000000" w:themeColor="text1"/>
          <w:lang w:val="en"/>
        </w:rPr>
        <w:t xml:space="preserve"> million </w:t>
      </w:r>
      <w:r w:rsidR="077834F8" w:rsidRPr="0049084C">
        <w:rPr>
          <w:rFonts w:ascii="Calibri" w:eastAsia="Calibri" w:hAnsi="Calibri" w:cs="Calibri"/>
          <w:color w:val="000000" w:themeColor="text1"/>
          <w:lang w:val="en"/>
        </w:rPr>
        <w:t>registered</w:t>
      </w:r>
      <w:r w:rsidR="2FF9C250" w:rsidRPr="0049084C">
        <w:rPr>
          <w:rFonts w:ascii="Calibri" w:eastAsia="Calibri" w:hAnsi="Calibri" w:cs="Calibri"/>
          <w:color w:val="000000" w:themeColor="text1"/>
          <w:lang w:val="en"/>
        </w:rPr>
        <w:t xml:space="preserve"> in the SISBEN since June</w:t>
      </w:r>
      <w:r w:rsidR="2A4C8C10" w:rsidRPr="0049084C">
        <w:rPr>
          <w:rFonts w:ascii="Calibri" w:eastAsia="Calibri" w:hAnsi="Calibri" w:cs="Calibri"/>
          <w:color w:val="000000" w:themeColor="text1"/>
          <w:lang w:val="en"/>
        </w:rPr>
        <w:t xml:space="preserve"> 2022</w:t>
      </w:r>
      <w:r w:rsidR="3F511616" w:rsidRPr="0049084C">
        <w:rPr>
          <w:rFonts w:ascii="Calibri" w:eastAsia="Calibri" w:hAnsi="Calibri" w:cs="Calibri"/>
          <w:color w:val="000000" w:themeColor="text1"/>
          <w:lang w:val="en"/>
        </w:rPr>
        <w:t>.</w:t>
      </w:r>
    </w:p>
    <w:p w14:paraId="72C91005" w14:textId="71F77B4C" w:rsidR="49464105" w:rsidRPr="0049084C" w:rsidRDefault="49464105" w:rsidP="57194874">
      <w:pPr>
        <w:pStyle w:val="ListParagraph"/>
        <w:numPr>
          <w:ilvl w:val="0"/>
          <w:numId w:val="6"/>
        </w:numPr>
      </w:pPr>
      <w:r w:rsidRPr="0049084C">
        <w:t xml:space="preserve">Costa Rica 2021: </w:t>
      </w:r>
      <w:r w:rsidR="33A748F9" w:rsidRPr="0049084C">
        <w:t>UNICEF worked</w:t>
      </w:r>
      <w:r w:rsidRPr="0049084C">
        <w:t xml:space="preserve"> with </w:t>
      </w:r>
      <w:r w:rsidR="48F81C90" w:rsidRPr="0049084C">
        <w:t xml:space="preserve">national </w:t>
      </w:r>
      <w:r w:rsidR="2A11C651" w:rsidRPr="0049084C">
        <w:t>Government agencies</w:t>
      </w:r>
      <w:r w:rsidRPr="0049084C">
        <w:t xml:space="preserve"> and </w:t>
      </w:r>
      <w:r w:rsidR="69A5A9F7" w:rsidRPr="0049084C">
        <w:t>partner</w:t>
      </w:r>
      <w:r w:rsidRPr="0049084C">
        <w:t xml:space="preserve"> NGO</w:t>
      </w:r>
      <w:r w:rsidR="00F07D6C" w:rsidRPr="0049084C">
        <w:t>s</w:t>
      </w:r>
      <w:r w:rsidRPr="0049084C">
        <w:t xml:space="preserve"> </w:t>
      </w:r>
      <w:r w:rsidR="2DC4E4B7" w:rsidRPr="0049084C">
        <w:t>to develop</w:t>
      </w:r>
      <w:r w:rsidRPr="0049084C">
        <w:t xml:space="preserve"> and implement</w:t>
      </w:r>
      <w:r w:rsidR="7F780B90" w:rsidRPr="0049084C">
        <w:t xml:space="preserve"> an interinstitutional model</w:t>
      </w:r>
      <w:r w:rsidRPr="0049084C">
        <w:t xml:space="preserve"> to support regularization of migrant students from public education cente</w:t>
      </w:r>
      <w:r w:rsidR="519EA0C3" w:rsidRPr="0049084C">
        <w:t>r</w:t>
      </w:r>
      <w:r w:rsidRPr="0049084C">
        <w:t>s</w:t>
      </w:r>
      <w:r w:rsidR="7953FF9C" w:rsidRPr="0049084C">
        <w:t xml:space="preserve">, providing </w:t>
      </w:r>
      <w:r w:rsidR="7A20D7E3" w:rsidRPr="0049084C">
        <w:t xml:space="preserve">over 12,000 </w:t>
      </w:r>
      <w:r w:rsidR="7953FF9C" w:rsidRPr="0049084C">
        <w:t>migrant families with professional legal guidance to submit their requests</w:t>
      </w:r>
      <w:r w:rsidRPr="0049084C">
        <w:t xml:space="preserve">. UNICEF </w:t>
      </w:r>
      <w:r w:rsidR="1561E031" w:rsidRPr="0049084C">
        <w:t xml:space="preserve">also </w:t>
      </w:r>
      <w:r w:rsidRPr="0049084C">
        <w:t xml:space="preserve">partnered with </w:t>
      </w:r>
      <w:r w:rsidR="2B00C4C6" w:rsidRPr="0049084C">
        <w:t>a</w:t>
      </w:r>
      <w:r w:rsidRPr="0049084C">
        <w:t xml:space="preserve"> local government </w:t>
      </w:r>
      <w:r w:rsidR="45986583" w:rsidRPr="0049084C">
        <w:t>and</w:t>
      </w:r>
      <w:r w:rsidRPr="0049084C">
        <w:t xml:space="preserve"> NGO to support prevention of GBV and migratory regularization of highly vulnerable migrant women</w:t>
      </w:r>
      <w:r w:rsidR="33215F0E" w:rsidRPr="0049084C">
        <w:t xml:space="preserve"> through</w:t>
      </w:r>
      <w:r w:rsidR="1406FDD5" w:rsidRPr="0049084C">
        <w:t xml:space="preserve"> s</w:t>
      </w:r>
      <w:r w:rsidRPr="0049084C">
        <w:t>pecialized legal aid and financial subsidies.</w:t>
      </w:r>
    </w:p>
    <w:p w14:paraId="181E1845" w14:textId="02670AA6" w:rsidR="49464105" w:rsidRPr="0049084C" w:rsidRDefault="49464105" w:rsidP="57194874">
      <w:pPr>
        <w:pStyle w:val="ListParagraph"/>
        <w:numPr>
          <w:ilvl w:val="0"/>
          <w:numId w:val="6"/>
        </w:numPr>
      </w:pPr>
      <w:r w:rsidRPr="0049084C">
        <w:t>Dominican Republic 2021: In the framework of the U</w:t>
      </w:r>
      <w:r w:rsidR="2AA465C2" w:rsidRPr="0049084C">
        <w:t>N</w:t>
      </w:r>
      <w:r w:rsidRPr="0049084C">
        <w:t xml:space="preserve"> System’s commitment to support the regularization of the 115,000 Venezuelans living in the Dominican Republic, UNICEF successfully advocated to cut the costs of and requirements for documentation of children and adolescents, which encouraged families to regularize their children’s status. UNICEF worked with Venezuelan community social organizations to identify children and refer them to education and protection services and </w:t>
      </w:r>
      <w:r w:rsidR="17332C7A" w:rsidRPr="0049084C">
        <w:t xml:space="preserve">implement </w:t>
      </w:r>
      <w:r w:rsidRPr="0049084C">
        <w:t xml:space="preserve">information campaigns </w:t>
      </w:r>
      <w:r w:rsidR="345A6BE1" w:rsidRPr="0049084C">
        <w:t>about</w:t>
      </w:r>
      <w:r w:rsidRPr="0049084C">
        <w:t xml:space="preserve"> regulariz</w:t>
      </w:r>
      <w:r w:rsidR="659823C4" w:rsidRPr="0049084C">
        <w:t>ing</w:t>
      </w:r>
      <w:r w:rsidRPr="0049084C">
        <w:t xml:space="preserve"> their status.</w:t>
      </w:r>
    </w:p>
    <w:p w14:paraId="0142C4B8" w14:textId="1994E172" w:rsidR="49464105" w:rsidRPr="0049084C" w:rsidRDefault="49464105" w:rsidP="57194874">
      <w:pPr>
        <w:pStyle w:val="ListParagraph"/>
        <w:numPr>
          <w:ilvl w:val="0"/>
          <w:numId w:val="6"/>
        </w:numPr>
      </w:pPr>
      <w:r w:rsidRPr="0049084C">
        <w:t xml:space="preserve">Peru 2020: </w:t>
      </w:r>
      <w:r w:rsidR="639F509D" w:rsidRPr="0049084C">
        <w:t>UNICEF’s j</w:t>
      </w:r>
      <w:r w:rsidRPr="0049084C">
        <w:t xml:space="preserve">oint advocacy with IOM and UNHCR on migration resulted </w:t>
      </w:r>
      <w:r w:rsidR="3722D811" w:rsidRPr="0049084C">
        <w:t>i</w:t>
      </w:r>
      <w:r w:rsidRPr="0049084C">
        <w:t xml:space="preserve">n the approval of a supreme decree </w:t>
      </w:r>
      <w:r w:rsidR="741C593E" w:rsidRPr="0049084C">
        <w:t>on regularization</w:t>
      </w:r>
      <w:r w:rsidRPr="0049084C">
        <w:t>, potentially benefitting 700,000 migrants.</w:t>
      </w:r>
    </w:p>
    <w:p w14:paraId="20433429" w14:textId="542B6908" w:rsidR="66BF0312" w:rsidRPr="0049084C" w:rsidRDefault="66BF0312" w:rsidP="57194874">
      <w:pPr>
        <w:pStyle w:val="ListParagraph"/>
        <w:numPr>
          <w:ilvl w:val="0"/>
          <w:numId w:val="6"/>
        </w:numPr>
        <w:rPr>
          <w:rFonts w:ascii="Calibri" w:eastAsia="Calibri" w:hAnsi="Calibri" w:cs="Calibri"/>
          <w:color w:val="000000" w:themeColor="text1"/>
          <w:lang w:val="en-GB"/>
        </w:rPr>
      </w:pPr>
      <w:r w:rsidRPr="0049084C">
        <w:t xml:space="preserve">Spain 2021: </w:t>
      </w:r>
      <w:r w:rsidR="352A8444" w:rsidRPr="0049084C">
        <w:t>UNICEF Spain work</w:t>
      </w:r>
      <w:r w:rsidR="09A2FA42" w:rsidRPr="0049084C">
        <w:t>ing</w:t>
      </w:r>
      <w:r w:rsidR="352A8444" w:rsidRPr="0049084C">
        <w:t xml:space="preserve"> with the Ombudsperson and </w:t>
      </w:r>
      <w:r w:rsidR="262B5401" w:rsidRPr="0049084C">
        <w:t>a coalition of CSOs</w:t>
      </w:r>
      <w:r w:rsidR="352A8444" w:rsidRPr="0049084C">
        <w:t xml:space="preserve"> </w:t>
      </w:r>
      <w:r w:rsidR="62200DCC" w:rsidRPr="0049084C">
        <w:t>helped secure</w:t>
      </w:r>
      <w:r w:rsidR="352A8444" w:rsidRPr="0049084C">
        <w:t xml:space="preserve"> the passage of t</w:t>
      </w:r>
      <w:r w:rsidRPr="0049084C">
        <w:t xml:space="preserve">he </w:t>
      </w:r>
      <w:r w:rsidR="00F07D6C" w:rsidRPr="0049084C">
        <w:t xml:space="preserve">reform of the </w:t>
      </w:r>
      <w:proofErr w:type="spellStart"/>
      <w:r w:rsidR="00F07D6C" w:rsidRPr="0049084C">
        <w:rPr>
          <w:i/>
          <w:iCs/>
        </w:rPr>
        <w:t>Reglamento</w:t>
      </w:r>
      <w:proofErr w:type="spellEnd"/>
      <w:r w:rsidR="00F07D6C" w:rsidRPr="0049084C">
        <w:rPr>
          <w:i/>
          <w:iCs/>
        </w:rPr>
        <w:t xml:space="preserve"> de la Ley de </w:t>
      </w:r>
      <w:proofErr w:type="spellStart"/>
      <w:r w:rsidR="00F07D6C" w:rsidRPr="0049084C">
        <w:rPr>
          <w:i/>
          <w:iCs/>
        </w:rPr>
        <w:t>Extranjería</w:t>
      </w:r>
      <w:proofErr w:type="spellEnd"/>
      <w:r w:rsidRPr="0049084C">
        <w:t xml:space="preserve"> </w:t>
      </w:r>
      <w:r w:rsidR="40724B04" w:rsidRPr="0049084C">
        <w:t>to</w:t>
      </w:r>
      <w:r w:rsidRPr="0049084C">
        <w:t xml:space="preserve"> benefit 15</w:t>
      </w:r>
      <w:r w:rsidR="0C057F82" w:rsidRPr="0049084C">
        <w:t>,</w:t>
      </w:r>
      <w:r w:rsidRPr="0049084C">
        <w:t xml:space="preserve">000 </w:t>
      </w:r>
      <w:r w:rsidR="660F646E" w:rsidRPr="0049084C">
        <w:t>unaccompanied children</w:t>
      </w:r>
      <w:r w:rsidRPr="0049084C">
        <w:t xml:space="preserve"> and young migrants </w:t>
      </w:r>
      <w:r w:rsidR="58053727" w:rsidRPr="0049084C">
        <w:t>aging out of</w:t>
      </w:r>
      <w:r w:rsidRPr="0049084C">
        <w:t xml:space="preserve"> the child protection system. It </w:t>
      </w:r>
      <w:r w:rsidR="1FC4BD9D" w:rsidRPr="0049084C">
        <w:t>facilitat</w:t>
      </w:r>
      <w:r w:rsidRPr="0049084C">
        <w:t xml:space="preserve">es access to residence and work permits </w:t>
      </w:r>
      <w:r w:rsidR="3DB055D0" w:rsidRPr="0049084C">
        <w:t>to combat</w:t>
      </w:r>
      <w:r w:rsidRPr="0049084C">
        <w:t xml:space="preserve"> marginalization.</w:t>
      </w:r>
      <w:r w:rsidRPr="0049084C">
        <w:br/>
      </w:r>
    </w:p>
    <w:tbl>
      <w:tblPr>
        <w:tblStyle w:val="TableGrid"/>
        <w:tblW w:w="0" w:type="auto"/>
        <w:tblLayout w:type="fixed"/>
        <w:tblLook w:val="06A0" w:firstRow="1" w:lastRow="0" w:firstColumn="1" w:lastColumn="0" w:noHBand="1" w:noVBand="1"/>
      </w:tblPr>
      <w:tblGrid>
        <w:gridCol w:w="9360"/>
      </w:tblGrid>
      <w:tr w:rsidR="57194874" w:rsidRPr="0049084C" w14:paraId="663F4BB7" w14:textId="77777777" w:rsidTr="57194874">
        <w:trPr>
          <w:trHeight w:val="300"/>
        </w:trPr>
        <w:tc>
          <w:tcPr>
            <w:tcW w:w="9360" w:type="dxa"/>
            <w:shd w:val="clear" w:color="auto" w:fill="DEEAF6" w:themeFill="accent5" w:themeFillTint="33"/>
          </w:tcPr>
          <w:p w14:paraId="6FE497D9" w14:textId="6A68E545" w:rsidR="110D1817" w:rsidRPr="0049084C" w:rsidRDefault="110D1817" w:rsidP="57194874">
            <w:pPr>
              <w:rPr>
                <w:rFonts w:ascii="Calibri" w:eastAsia="Calibri" w:hAnsi="Calibri" w:cs="Calibri"/>
                <w:color w:val="000000" w:themeColor="text1"/>
              </w:rPr>
            </w:pPr>
            <w:r w:rsidRPr="0049084C">
              <w:rPr>
                <w:rFonts w:ascii="Calibri" w:eastAsia="Calibri" w:hAnsi="Calibri" w:cs="Calibri"/>
                <w:color w:val="000000" w:themeColor="text1"/>
              </w:rPr>
              <w:t xml:space="preserve">6. Please provide information on </w:t>
            </w:r>
            <w:r w:rsidRPr="0049084C">
              <w:rPr>
                <w:rFonts w:ascii="Calibri" w:eastAsia="Calibri" w:hAnsi="Calibri" w:cs="Calibri"/>
                <w:b/>
                <w:bCs/>
                <w:color w:val="000000" w:themeColor="text1"/>
              </w:rPr>
              <w:t>any specific or additional legislative and policy measures as well as challenges in the context of the COVID-19 pandemic in the implementation of regularization programs</w:t>
            </w:r>
          </w:p>
        </w:tc>
      </w:tr>
    </w:tbl>
    <w:p w14:paraId="300E79FB" w14:textId="138A0EA1" w:rsidR="57194874" w:rsidRPr="0049084C" w:rsidRDefault="57194874" w:rsidP="57194874">
      <w:pPr>
        <w:rPr>
          <w:rFonts w:ascii="Helvetica" w:eastAsia="Helvetica" w:hAnsi="Helvetica" w:cs="Helvetica"/>
          <w:sz w:val="15"/>
          <w:szCs w:val="15"/>
        </w:rPr>
      </w:pPr>
    </w:p>
    <w:p w14:paraId="6460E81E" w14:textId="1CE2A85D" w:rsidR="2AED602C" w:rsidRPr="0049084C" w:rsidRDefault="0F5C71E4" w:rsidP="74E5CDFF">
      <w:r w:rsidRPr="0049084C">
        <w:t>The COVID-19 pandemic revealed that communities are only as healthy and shock-resistant as their most marginalized populations</w:t>
      </w:r>
      <w:r w:rsidR="6B708B8E" w:rsidRPr="0049084C">
        <w:t>.</w:t>
      </w:r>
      <w:r w:rsidRPr="0049084C">
        <w:t xml:space="preserve"> </w:t>
      </w:r>
      <w:r w:rsidR="5E3EC05A" w:rsidRPr="0049084C">
        <w:t xml:space="preserve">Several Human Rights bodies made declarations calling for States to regularize undocumented migrants during the pandemic, particularly children and their families (see Annex). </w:t>
      </w:r>
      <w:r w:rsidR="2600718D" w:rsidRPr="0049084C">
        <w:t>E</w:t>
      </w:r>
      <w:r w:rsidRPr="0049084C">
        <w:t xml:space="preserve">xtraordinary migratory regularization initiatives </w:t>
      </w:r>
      <w:r w:rsidR="756A077A" w:rsidRPr="0049084C">
        <w:t>were implemented by some governments</w:t>
      </w:r>
      <w:r w:rsidR="002F07C3" w:rsidRPr="0049084C">
        <w:rPr>
          <w:rStyle w:val="EndnoteReference"/>
        </w:rPr>
        <w:endnoteReference w:id="33"/>
      </w:r>
      <w:r w:rsidR="756A077A" w:rsidRPr="0049084C">
        <w:t xml:space="preserve"> </w:t>
      </w:r>
      <w:r w:rsidRPr="0049084C">
        <w:t xml:space="preserve">to ensure the greatest possible impact of health and socio-economic measures. </w:t>
      </w:r>
    </w:p>
    <w:p w14:paraId="66A986A6" w14:textId="0D7BEB1C" w:rsidR="00C65744" w:rsidRDefault="2AED602C" w:rsidP="57194874">
      <w:r w:rsidRPr="0049084C">
        <w:rPr>
          <w:rFonts w:ascii="Calibri" w:eastAsia="Calibri" w:hAnsi="Calibri" w:cs="Calibri"/>
          <w:color w:val="000000" w:themeColor="text1"/>
        </w:rPr>
        <w:t xml:space="preserve">The regularization </w:t>
      </w:r>
      <w:r w:rsidR="185C24EA" w:rsidRPr="0049084C">
        <w:rPr>
          <w:rFonts w:ascii="Calibri" w:eastAsia="Calibri" w:hAnsi="Calibri" w:cs="Calibri"/>
          <w:color w:val="000000" w:themeColor="text1"/>
        </w:rPr>
        <w:t>measures</w:t>
      </w:r>
      <w:r w:rsidRPr="0049084C">
        <w:rPr>
          <w:rFonts w:ascii="Calibri" w:eastAsia="Calibri" w:hAnsi="Calibri" w:cs="Calibri"/>
          <w:color w:val="000000" w:themeColor="text1"/>
        </w:rPr>
        <w:t xml:space="preserve"> taken during the pandemic have shown us what is possible when there is political will, a sense of urgency, and a commitment to the common good.</w:t>
      </w:r>
      <w:r w:rsidR="1B4FD191" w:rsidRPr="0049084C">
        <w:rPr>
          <w:rFonts w:ascii="Calibri" w:eastAsia="Calibri" w:hAnsi="Calibri" w:cs="Calibri"/>
          <w:color w:val="000000" w:themeColor="text1"/>
        </w:rPr>
        <w:t xml:space="preserve"> </w:t>
      </w:r>
      <w:r w:rsidR="56BF25BC" w:rsidRPr="0049084C">
        <w:t>The</w:t>
      </w:r>
      <w:r w:rsidR="20E165B0" w:rsidRPr="0049084C">
        <w:t>ir</w:t>
      </w:r>
      <w:r w:rsidR="56BF25BC" w:rsidRPr="0049084C">
        <w:t xml:space="preserve"> </w:t>
      </w:r>
      <w:r w:rsidR="2C1AF2D8" w:rsidRPr="0049084C">
        <w:t>impacts</w:t>
      </w:r>
      <w:r w:rsidR="2CA62E34" w:rsidRPr="0049084C">
        <w:t xml:space="preserve"> – as buffers against rights violations, socio-economic shocks, and related challenges</w:t>
      </w:r>
      <w:r w:rsidRPr="0049084C">
        <w:rPr>
          <w:rStyle w:val="EndnoteReference"/>
        </w:rPr>
        <w:endnoteReference w:id="34"/>
      </w:r>
      <w:r w:rsidR="2CA62E34" w:rsidRPr="0049084C">
        <w:t xml:space="preserve"> </w:t>
      </w:r>
      <w:r w:rsidR="3749A59A" w:rsidRPr="0049084C">
        <w:t xml:space="preserve">– </w:t>
      </w:r>
      <w:r w:rsidR="2ACD9FA7" w:rsidRPr="0049084C">
        <w:t xml:space="preserve">and myriad of benefits to individuals and wider societies </w:t>
      </w:r>
      <w:r w:rsidR="56BF25BC" w:rsidRPr="0049084C">
        <w:t xml:space="preserve">make the case for why regularization should not be </w:t>
      </w:r>
      <w:r w:rsidR="2D9C2950" w:rsidRPr="0049084C">
        <w:t xml:space="preserve">taken </w:t>
      </w:r>
      <w:r w:rsidR="56BF25BC" w:rsidRPr="0049084C">
        <w:t xml:space="preserve">out of the toolbox only during emergencies but rather </w:t>
      </w:r>
      <w:r w:rsidR="2DFF629B" w:rsidRPr="0049084C">
        <w:t>be</w:t>
      </w:r>
      <w:r w:rsidR="6216301F" w:rsidRPr="0049084C">
        <w:t>come</w:t>
      </w:r>
      <w:r w:rsidR="2DFF629B" w:rsidRPr="0049084C">
        <w:t xml:space="preserve"> </w:t>
      </w:r>
      <w:r w:rsidR="56BF25BC" w:rsidRPr="0049084C">
        <w:t>a</w:t>
      </w:r>
      <w:r w:rsidR="02CD1726" w:rsidRPr="0049084C">
        <w:t xml:space="preserve"> standard part of</w:t>
      </w:r>
      <w:r w:rsidR="56BF25BC" w:rsidRPr="0049084C">
        <w:t xml:space="preserve"> migration and social policy that is designed to </w:t>
      </w:r>
      <w:r w:rsidR="1CE3A58C" w:rsidRPr="0049084C">
        <w:t xml:space="preserve">fit </w:t>
      </w:r>
      <w:r w:rsidR="56BF25BC" w:rsidRPr="0049084C">
        <w:t>t</w:t>
      </w:r>
      <w:r w:rsidR="4CD6B9D7" w:rsidRPr="0049084C">
        <w:t>oday's</w:t>
      </w:r>
      <w:r w:rsidR="56BF25BC" w:rsidRPr="0049084C">
        <w:t xml:space="preserve"> global reality.</w:t>
      </w:r>
    </w:p>
    <w:p w14:paraId="65F74758" w14:textId="7F5F7353" w:rsidR="009F5539" w:rsidRDefault="009F5539" w:rsidP="57194874"/>
    <w:p w14:paraId="0BD837F5" w14:textId="77777777" w:rsidR="00445195" w:rsidRDefault="00445195" w:rsidP="57194874"/>
    <w:p w14:paraId="244474D7" w14:textId="785B6E75" w:rsidR="2E130A23" w:rsidRDefault="2E130A23" w:rsidP="57194874">
      <w:r>
        <w:lastRenderedPageBreak/>
        <w:t>ANNEX</w:t>
      </w:r>
    </w:p>
    <w:p w14:paraId="73FB749B" w14:textId="44FA89D3" w:rsidR="57194874" w:rsidRDefault="2CBFFD80" w:rsidP="57194874">
      <w:r>
        <w:rPr>
          <w:noProof/>
        </w:rPr>
        <w:drawing>
          <wp:inline distT="0" distB="0" distL="0" distR="0" wp14:anchorId="3D9B230E" wp14:editId="5F0B237A">
            <wp:extent cx="5981698" cy="7477122"/>
            <wp:effectExtent l="0" t="0" r="0" b="0"/>
            <wp:docPr id="871777781" name="Picture 87177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81698" cy="7477122"/>
                    </a:xfrm>
                    <a:prstGeom prst="rect">
                      <a:avLst/>
                    </a:prstGeom>
                  </pic:spPr>
                </pic:pic>
              </a:graphicData>
            </a:graphic>
          </wp:inline>
        </w:drawing>
      </w:r>
      <w:r w:rsidR="009729A5">
        <w:br/>
      </w:r>
    </w:p>
    <w:sectPr w:rsidR="5719487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42C8" w14:textId="77777777" w:rsidR="002E3DE7" w:rsidRDefault="002E3DE7">
      <w:pPr>
        <w:spacing w:after="0" w:line="240" w:lineRule="auto"/>
      </w:pPr>
      <w:r>
        <w:separator/>
      </w:r>
    </w:p>
  </w:endnote>
  <w:endnote w:type="continuationSeparator" w:id="0">
    <w:p w14:paraId="4D06C0EE" w14:textId="77777777" w:rsidR="002E3DE7" w:rsidRDefault="002E3DE7">
      <w:pPr>
        <w:spacing w:after="0" w:line="240" w:lineRule="auto"/>
      </w:pPr>
      <w:r>
        <w:continuationSeparator/>
      </w:r>
    </w:p>
  </w:endnote>
  <w:endnote w:id="1">
    <w:p w14:paraId="6C049828" w14:textId="790E33A9" w:rsidR="00D617B1" w:rsidRDefault="00D617B1">
      <w:pPr>
        <w:pStyle w:val="EndnoteText"/>
      </w:pPr>
      <w:r>
        <w:rPr>
          <w:rStyle w:val="EndnoteReference"/>
        </w:rPr>
        <w:endnoteRef/>
      </w:r>
      <w:r>
        <w:t xml:space="preserve"> </w:t>
      </w:r>
      <w:r w:rsidRPr="00531803">
        <w:rPr>
          <w:sz w:val="18"/>
          <w:szCs w:val="18"/>
        </w:rPr>
        <w:t>V</w:t>
      </w:r>
      <w:r w:rsidR="00531803" w:rsidRPr="00531803">
        <w:rPr>
          <w:sz w:val="18"/>
          <w:szCs w:val="18"/>
        </w:rPr>
        <w:t>erena</w:t>
      </w:r>
      <w:r w:rsidRPr="00531803">
        <w:rPr>
          <w:sz w:val="18"/>
          <w:szCs w:val="18"/>
        </w:rPr>
        <w:t xml:space="preserve"> Knaus et al, ‘</w:t>
      </w:r>
      <w:hyperlink r:id="rId1" w:history="1">
        <w:r w:rsidRPr="00531803">
          <w:rPr>
            <w:rStyle w:val="Hyperlink"/>
            <w:sz w:val="18"/>
            <w:szCs w:val="18"/>
          </w:rPr>
          <w:t>Silent Harm</w:t>
        </w:r>
        <w:r w:rsidR="00531803" w:rsidRPr="00531803">
          <w:rPr>
            <w:rStyle w:val="Hyperlink"/>
            <w:sz w:val="18"/>
            <w:szCs w:val="18"/>
          </w:rPr>
          <w:t xml:space="preserve"> – A report assessing the situation of repatriated children’s psycho-social health</w:t>
        </w:r>
      </w:hyperlink>
      <w:r w:rsidR="00531803" w:rsidRPr="00531803">
        <w:rPr>
          <w:sz w:val="18"/>
          <w:szCs w:val="18"/>
        </w:rPr>
        <w:t>,</w:t>
      </w:r>
      <w:r w:rsidRPr="00531803">
        <w:rPr>
          <w:sz w:val="18"/>
          <w:szCs w:val="18"/>
        </w:rPr>
        <w:t xml:space="preserve">’ </w:t>
      </w:r>
      <w:r w:rsidR="00531803" w:rsidRPr="00531803">
        <w:rPr>
          <w:sz w:val="18"/>
          <w:szCs w:val="18"/>
        </w:rPr>
        <w:t xml:space="preserve">UNICEF Kosovo in cooperation with Kosovo Health Foundation, </w:t>
      </w:r>
      <w:r w:rsidRPr="00531803">
        <w:rPr>
          <w:sz w:val="18"/>
          <w:szCs w:val="18"/>
        </w:rPr>
        <w:t>2012, p. 12</w:t>
      </w:r>
      <w:r w:rsidR="00531803" w:rsidRPr="00531803">
        <w:rPr>
          <w:sz w:val="18"/>
          <w:szCs w:val="18"/>
        </w:rPr>
        <w:t>.</w:t>
      </w:r>
    </w:p>
  </w:endnote>
  <w:endnote w:id="2">
    <w:p w14:paraId="4482E59A" w14:textId="0CD9DF24" w:rsidR="00D617B1" w:rsidRPr="004D6DD9" w:rsidRDefault="00D617B1">
      <w:pPr>
        <w:pStyle w:val="EndnoteText"/>
        <w:rPr>
          <w:sz w:val="18"/>
          <w:szCs w:val="18"/>
        </w:rPr>
      </w:pPr>
      <w:r>
        <w:rPr>
          <w:rStyle w:val="EndnoteReference"/>
        </w:rPr>
        <w:endnoteRef/>
      </w:r>
      <w:r>
        <w:t xml:space="preserve"> </w:t>
      </w:r>
      <w:r w:rsidRPr="00D617B1">
        <w:rPr>
          <w:sz w:val="18"/>
          <w:szCs w:val="18"/>
        </w:rPr>
        <w:t>Joint general comment No. 4 (2017) of the Committee on the Protection of the Rights of All Migrant Workers and Members of Their Families and No. 23 (2017) of the Committee on the Rights of the Child on State obligations regarding the human rights of children in the context of international migration in countries of origin, transit, destination and return</w:t>
      </w:r>
      <w:r w:rsidR="004D6DD9">
        <w:rPr>
          <w:sz w:val="18"/>
          <w:szCs w:val="18"/>
        </w:rPr>
        <w:t>, paragraph 18.</w:t>
      </w:r>
    </w:p>
  </w:endnote>
  <w:endnote w:id="3">
    <w:p w14:paraId="47E38A61" w14:textId="6C82685C" w:rsidR="00D617B1" w:rsidRPr="002F07C3" w:rsidRDefault="00D617B1" w:rsidP="00352352">
      <w:pPr>
        <w:pStyle w:val="EndnoteText"/>
        <w:rPr>
          <w:sz w:val="18"/>
          <w:szCs w:val="18"/>
        </w:rPr>
      </w:pPr>
      <w:r w:rsidRPr="002F07C3">
        <w:rPr>
          <w:rStyle w:val="EndnoteReference"/>
          <w:sz w:val="18"/>
          <w:szCs w:val="18"/>
        </w:rPr>
        <w:endnoteRef/>
      </w:r>
      <w:r w:rsidRPr="002F07C3">
        <w:rPr>
          <w:sz w:val="18"/>
          <w:szCs w:val="18"/>
        </w:rPr>
        <w:t xml:space="preserve"> C</w:t>
      </w:r>
      <w:r w:rsidR="004D6DD9">
        <w:rPr>
          <w:sz w:val="18"/>
          <w:szCs w:val="18"/>
        </w:rPr>
        <w:t>ommittee on the Rights of the Child</w:t>
      </w:r>
      <w:r w:rsidRPr="002F07C3">
        <w:rPr>
          <w:sz w:val="18"/>
          <w:szCs w:val="18"/>
        </w:rPr>
        <w:t xml:space="preserve">, General Comment </w:t>
      </w:r>
      <w:r w:rsidR="004D6DD9">
        <w:rPr>
          <w:sz w:val="18"/>
          <w:szCs w:val="18"/>
        </w:rPr>
        <w:t>N</w:t>
      </w:r>
      <w:r w:rsidRPr="002F07C3">
        <w:rPr>
          <w:sz w:val="18"/>
          <w:szCs w:val="18"/>
        </w:rPr>
        <w:t xml:space="preserve">o. 20 </w:t>
      </w:r>
      <w:r w:rsidR="004D6DD9">
        <w:rPr>
          <w:sz w:val="18"/>
          <w:szCs w:val="18"/>
        </w:rPr>
        <w:t xml:space="preserve">(2016) </w:t>
      </w:r>
      <w:r w:rsidRPr="002F07C3">
        <w:rPr>
          <w:sz w:val="18"/>
          <w:szCs w:val="18"/>
        </w:rPr>
        <w:t>on the Effectiveness of Children’s Rights during Adolescence, para 76.</w:t>
      </w:r>
    </w:p>
  </w:endnote>
  <w:endnote w:id="4">
    <w:p w14:paraId="1FBD895F" w14:textId="7CF36AA6" w:rsidR="00D617B1" w:rsidRDefault="00D617B1">
      <w:pPr>
        <w:pStyle w:val="EndnoteText"/>
      </w:pPr>
      <w:r>
        <w:rPr>
          <w:rStyle w:val="EndnoteReference"/>
        </w:rPr>
        <w:endnoteRef/>
      </w:r>
      <w:r>
        <w:t xml:space="preserve"> </w:t>
      </w:r>
      <w:r w:rsidR="004D6DD9" w:rsidRPr="00D617B1">
        <w:rPr>
          <w:sz w:val="18"/>
          <w:szCs w:val="18"/>
        </w:rPr>
        <w:t>Joint general comment No. 4 (2017) of the Committee on the Protection of the Rights of All Migrant Workers and Members of Their Families and No. 23 (2017) of the Committee on the Rights of the Child on State obligations regarding the human rights of children in the context of international migration in countries of origin, transit, destination and return</w:t>
      </w:r>
      <w:r w:rsidR="004D6DD9">
        <w:rPr>
          <w:sz w:val="18"/>
          <w:szCs w:val="18"/>
        </w:rPr>
        <w:t>, paragraph 39</w:t>
      </w:r>
      <w:r>
        <w:t>.</w:t>
      </w:r>
    </w:p>
  </w:endnote>
  <w:endnote w:id="5">
    <w:p w14:paraId="5C5BD316" w14:textId="1E4FB579" w:rsidR="00B827B1" w:rsidRDefault="00B827B1">
      <w:pPr>
        <w:pStyle w:val="EndnoteText"/>
      </w:pPr>
      <w:r>
        <w:rPr>
          <w:rStyle w:val="EndnoteReference"/>
        </w:rPr>
        <w:endnoteRef/>
      </w:r>
      <w:r>
        <w:t xml:space="preserve"> </w:t>
      </w:r>
      <w:r w:rsidRPr="002F07C3">
        <w:rPr>
          <w:sz w:val="18"/>
          <w:szCs w:val="18"/>
        </w:rPr>
        <w:t>C</w:t>
      </w:r>
      <w:r>
        <w:rPr>
          <w:sz w:val="18"/>
          <w:szCs w:val="18"/>
        </w:rPr>
        <w:t>ommittee on the Rights of the Child</w:t>
      </w:r>
      <w:r w:rsidRPr="002F07C3">
        <w:rPr>
          <w:sz w:val="18"/>
          <w:szCs w:val="18"/>
        </w:rPr>
        <w:t xml:space="preserve">, General Comment </w:t>
      </w:r>
      <w:r>
        <w:rPr>
          <w:sz w:val="18"/>
          <w:szCs w:val="18"/>
        </w:rPr>
        <w:t>N</w:t>
      </w:r>
      <w:r w:rsidRPr="002F07C3">
        <w:rPr>
          <w:sz w:val="18"/>
          <w:szCs w:val="18"/>
        </w:rPr>
        <w:t xml:space="preserve">o. 20 </w:t>
      </w:r>
      <w:r>
        <w:rPr>
          <w:sz w:val="18"/>
          <w:szCs w:val="18"/>
        </w:rPr>
        <w:t xml:space="preserve">(2016) </w:t>
      </w:r>
      <w:r w:rsidRPr="002F07C3">
        <w:rPr>
          <w:sz w:val="18"/>
          <w:szCs w:val="18"/>
        </w:rPr>
        <w:t>on the Effectiveness of Children’s Rights during Adolescence, para 76.</w:t>
      </w:r>
    </w:p>
  </w:endnote>
  <w:endnote w:id="6">
    <w:p w14:paraId="079733B2" w14:textId="24ADFF0B" w:rsidR="0025305A" w:rsidRDefault="0025305A">
      <w:pPr>
        <w:pStyle w:val="EndnoteText"/>
      </w:pPr>
      <w:r>
        <w:rPr>
          <w:rStyle w:val="EndnoteReference"/>
        </w:rPr>
        <w:endnoteRef/>
      </w:r>
      <w:r>
        <w:t xml:space="preserve"> </w:t>
      </w:r>
      <w:r w:rsidRPr="00D617B1">
        <w:rPr>
          <w:sz w:val="18"/>
          <w:szCs w:val="18"/>
        </w:rPr>
        <w:t>Joint general comment No. 4 (2017) of the Committee on the Protection of the Rights of All Migrant Workers and Members of Their Families and No. 23 (2017) of the Committee on the Rights of the Child on State obligations regarding the human rights of children in the context of international migration in countries of origin, transit, destination and return</w:t>
      </w:r>
      <w:r>
        <w:rPr>
          <w:sz w:val="18"/>
          <w:szCs w:val="18"/>
        </w:rPr>
        <w:t>, para 27.</w:t>
      </w:r>
    </w:p>
  </w:endnote>
  <w:endnote w:id="7">
    <w:p w14:paraId="3131511E" w14:textId="54817E1D" w:rsidR="00D7569B" w:rsidRPr="009C213E" w:rsidRDefault="00D7569B">
      <w:pPr>
        <w:pStyle w:val="EndnoteText"/>
        <w:rPr>
          <w:lang w:val="es-ES"/>
        </w:rPr>
      </w:pPr>
      <w:r>
        <w:rPr>
          <w:rStyle w:val="EndnoteReference"/>
        </w:rPr>
        <w:endnoteRef/>
      </w:r>
      <w:r w:rsidRPr="009C213E">
        <w:rPr>
          <w:lang w:val="es-ES"/>
        </w:rPr>
        <w:t xml:space="preserve"> </w:t>
      </w:r>
      <w:proofErr w:type="spellStart"/>
      <w:r w:rsidRPr="009C213E">
        <w:rPr>
          <w:sz w:val="18"/>
          <w:szCs w:val="18"/>
          <w:lang w:val="es-ES"/>
        </w:rPr>
        <w:t>Ibid</w:t>
      </w:r>
      <w:proofErr w:type="spellEnd"/>
      <w:r w:rsidRPr="009C213E">
        <w:rPr>
          <w:sz w:val="18"/>
          <w:szCs w:val="18"/>
          <w:lang w:val="es-ES"/>
        </w:rPr>
        <w:t>, para 20.</w:t>
      </w:r>
    </w:p>
  </w:endnote>
  <w:endnote w:id="8">
    <w:p w14:paraId="61D8B9E9" w14:textId="27A93A28" w:rsidR="00137649" w:rsidRPr="009C213E" w:rsidRDefault="00137649">
      <w:pPr>
        <w:pStyle w:val="EndnoteText"/>
        <w:rPr>
          <w:lang w:val="es-ES"/>
        </w:rPr>
      </w:pPr>
      <w:r>
        <w:rPr>
          <w:rStyle w:val="EndnoteReference"/>
        </w:rPr>
        <w:endnoteRef/>
      </w:r>
      <w:r w:rsidRPr="009C213E">
        <w:rPr>
          <w:lang w:val="es-ES"/>
        </w:rPr>
        <w:t xml:space="preserve"> </w:t>
      </w:r>
      <w:proofErr w:type="spellStart"/>
      <w:r w:rsidRPr="009C213E">
        <w:rPr>
          <w:sz w:val="18"/>
          <w:szCs w:val="18"/>
          <w:lang w:val="es-ES"/>
        </w:rPr>
        <w:t>Ibid</w:t>
      </w:r>
      <w:proofErr w:type="spellEnd"/>
      <w:r w:rsidRPr="009C213E">
        <w:rPr>
          <w:sz w:val="18"/>
          <w:szCs w:val="18"/>
          <w:lang w:val="es-ES"/>
        </w:rPr>
        <w:t>, para 49.</w:t>
      </w:r>
    </w:p>
  </w:endnote>
  <w:endnote w:id="9">
    <w:p w14:paraId="5A294A03" w14:textId="6ED409D7" w:rsidR="00353DA0" w:rsidRPr="009C213E" w:rsidRDefault="00353DA0">
      <w:pPr>
        <w:pStyle w:val="EndnoteText"/>
        <w:rPr>
          <w:lang w:val="es-ES"/>
        </w:rPr>
      </w:pPr>
      <w:r>
        <w:rPr>
          <w:rStyle w:val="EndnoteReference"/>
        </w:rPr>
        <w:endnoteRef/>
      </w:r>
      <w:r w:rsidRPr="009C213E">
        <w:rPr>
          <w:lang w:val="es-ES"/>
        </w:rPr>
        <w:t xml:space="preserve"> </w:t>
      </w:r>
      <w:proofErr w:type="spellStart"/>
      <w:r w:rsidRPr="009C213E">
        <w:rPr>
          <w:sz w:val="18"/>
          <w:szCs w:val="18"/>
          <w:lang w:val="es-ES"/>
        </w:rPr>
        <w:t>Ibid</w:t>
      </w:r>
      <w:proofErr w:type="spellEnd"/>
      <w:r w:rsidRPr="009C213E">
        <w:rPr>
          <w:sz w:val="18"/>
          <w:szCs w:val="18"/>
          <w:lang w:val="es-ES"/>
        </w:rPr>
        <w:t>, para 54.</w:t>
      </w:r>
    </w:p>
  </w:endnote>
  <w:endnote w:id="10">
    <w:p w14:paraId="42B146CC" w14:textId="77777777" w:rsidR="00D617B1" w:rsidRPr="00EC2BDC" w:rsidRDefault="00D617B1" w:rsidP="00352352">
      <w:pPr>
        <w:pStyle w:val="EndnoteText"/>
        <w:rPr>
          <w:sz w:val="18"/>
          <w:szCs w:val="18"/>
        </w:rPr>
      </w:pPr>
      <w:r w:rsidRPr="002F07C3">
        <w:rPr>
          <w:rStyle w:val="EndnoteReference"/>
          <w:sz w:val="18"/>
          <w:szCs w:val="18"/>
        </w:rPr>
        <w:endnoteRef/>
      </w:r>
      <w:r w:rsidRPr="002F07C3">
        <w:rPr>
          <w:sz w:val="18"/>
          <w:szCs w:val="18"/>
        </w:rPr>
        <w:t xml:space="preserve"> </w:t>
      </w:r>
      <w:r>
        <w:rPr>
          <w:sz w:val="18"/>
          <w:szCs w:val="18"/>
        </w:rPr>
        <w:t>Including, but not limited to, the following rights guaranteed under the Convention on the Rights of the Child and the International Convention on the Protection of the Rights of All Migrant Workers and Members of their Families</w:t>
      </w:r>
      <w:r w:rsidRPr="00EC2BDC">
        <w:rPr>
          <w:sz w:val="18"/>
          <w:szCs w:val="18"/>
        </w:rPr>
        <w:t>:</w:t>
      </w:r>
    </w:p>
    <w:p w14:paraId="25F5CB0A" w14:textId="77777777" w:rsidR="00D617B1" w:rsidRPr="00EC2BDC" w:rsidRDefault="00D617B1" w:rsidP="00352352">
      <w:pPr>
        <w:pStyle w:val="EndnoteText"/>
        <w:numPr>
          <w:ilvl w:val="0"/>
          <w:numId w:val="12"/>
        </w:numPr>
        <w:rPr>
          <w:sz w:val="18"/>
          <w:szCs w:val="18"/>
        </w:rPr>
      </w:pPr>
      <w:r w:rsidRPr="00EC2BDC">
        <w:rPr>
          <w:sz w:val="18"/>
          <w:szCs w:val="18"/>
        </w:rPr>
        <w:t>Legal obligations of States parties to protect the rights of children in the context of international migration in their territory</w:t>
      </w:r>
    </w:p>
    <w:p w14:paraId="617B0AAF" w14:textId="77777777" w:rsidR="00D617B1" w:rsidRPr="00EC2BDC" w:rsidRDefault="00D617B1" w:rsidP="00352352">
      <w:pPr>
        <w:pStyle w:val="EndnoteText"/>
        <w:numPr>
          <w:ilvl w:val="0"/>
          <w:numId w:val="12"/>
        </w:numPr>
        <w:rPr>
          <w:sz w:val="18"/>
          <w:szCs w:val="18"/>
        </w:rPr>
      </w:pPr>
      <w:r w:rsidRPr="00EC2BDC">
        <w:rPr>
          <w:sz w:val="18"/>
          <w:szCs w:val="18"/>
        </w:rPr>
        <w:t>Right to liberty (articles 16 and 17 of the International Convention on the Protection of the Rights of All Migrant Workers and Members of Their Families; article 37 of the Convention on the Rights of the Child)</w:t>
      </w:r>
    </w:p>
    <w:p w14:paraId="4855C36D" w14:textId="77777777" w:rsidR="00D617B1" w:rsidRPr="00EC2BDC" w:rsidRDefault="00D617B1" w:rsidP="00352352">
      <w:pPr>
        <w:pStyle w:val="EndnoteText"/>
        <w:numPr>
          <w:ilvl w:val="0"/>
          <w:numId w:val="12"/>
        </w:numPr>
        <w:rPr>
          <w:sz w:val="18"/>
          <w:szCs w:val="18"/>
        </w:rPr>
      </w:pPr>
      <w:r w:rsidRPr="00EC2BDC">
        <w:rPr>
          <w:sz w:val="18"/>
          <w:szCs w:val="18"/>
        </w:rPr>
        <w:t>Due process guarantees and access to justice (articles 16, 17 and 18 of the International Convention on the Protection of the Rights of All Migrant Workers and Members of Their Families; articles 12 and 40 of the Convention on the Rights of the Child)</w:t>
      </w:r>
    </w:p>
    <w:p w14:paraId="1D36FD00" w14:textId="77777777" w:rsidR="00D617B1" w:rsidRPr="00EC2BDC" w:rsidRDefault="00D617B1" w:rsidP="00352352">
      <w:pPr>
        <w:pStyle w:val="EndnoteText"/>
        <w:numPr>
          <w:ilvl w:val="0"/>
          <w:numId w:val="12"/>
        </w:numPr>
        <w:rPr>
          <w:sz w:val="18"/>
          <w:szCs w:val="18"/>
        </w:rPr>
      </w:pPr>
      <w:r w:rsidRPr="00EC2BDC">
        <w:rPr>
          <w:sz w:val="18"/>
          <w:szCs w:val="18"/>
        </w:rPr>
        <w:t>Right to a name, identity, and a nationality (article 29 of the International Convention on the Protection of the Rights of All Migrant Workers and Members of Their Families; articles 7 and 8 of the Convention on the Rights of the Child)</w:t>
      </w:r>
    </w:p>
    <w:p w14:paraId="619498A7" w14:textId="77777777" w:rsidR="00D617B1" w:rsidRPr="00EC2BDC" w:rsidRDefault="00D617B1" w:rsidP="00352352">
      <w:pPr>
        <w:pStyle w:val="EndnoteText"/>
        <w:numPr>
          <w:ilvl w:val="0"/>
          <w:numId w:val="12"/>
        </w:numPr>
        <w:rPr>
          <w:sz w:val="18"/>
          <w:szCs w:val="18"/>
        </w:rPr>
      </w:pPr>
      <w:r w:rsidRPr="00EC2BDC">
        <w:rPr>
          <w:sz w:val="18"/>
          <w:szCs w:val="18"/>
        </w:rPr>
        <w:t>Family life (articles 14, 17 and 44 of the International Convention on the Protection of the Rights of All Migrant Workers and Members of Their Families; articles 9, 10, 11, 16, 18, 19, 20 and 27 (4) of the Convention on the Rights of the Child)</w:t>
      </w:r>
    </w:p>
    <w:p w14:paraId="1CB12C97" w14:textId="77777777" w:rsidR="00D617B1" w:rsidRPr="00EC2BDC" w:rsidRDefault="00D617B1" w:rsidP="00352352">
      <w:pPr>
        <w:pStyle w:val="EndnoteText"/>
        <w:numPr>
          <w:ilvl w:val="0"/>
          <w:numId w:val="12"/>
        </w:numPr>
        <w:rPr>
          <w:sz w:val="18"/>
          <w:szCs w:val="18"/>
        </w:rPr>
      </w:pPr>
      <w:r w:rsidRPr="00EC2BDC">
        <w:rPr>
          <w:sz w:val="18"/>
          <w:szCs w:val="18"/>
        </w:rPr>
        <w:t>Protection from all forms of violence and abuse, including exploitation, child labour and abduction, and sale or traffic in children (articles 11 and 27 of the International Convention on the Protection of the Rights of All Migrant Workers and Members of Their Families; articles 19, 26, 32, 34, 35 and 36 of the Convention on the Rights of the Child)</w:t>
      </w:r>
    </w:p>
    <w:p w14:paraId="5408623D" w14:textId="77777777" w:rsidR="00D617B1" w:rsidRPr="00EC2BDC" w:rsidRDefault="00D617B1" w:rsidP="00352352">
      <w:pPr>
        <w:pStyle w:val="EndnoteText"/>
        <w:numPr>
          <w:ilvl w:val="0"/>
          <w:numId w:val="12"/>
        </w:numPr>
        <w:rPr>
          <w:sz w:val="18"/>
          <w:szCs w:val="18"/>
        </w:rPr>
      </w:pPr>
      <w:r w:rsidRPr="00EC2BDC">
        <w:rPr>
          <w:sz w:val="18"/>
          <w:szCs w:val="18"/>
        </w:rPr>
        <w:t>Right to protection from economic exploitation, including underage and hazardous work, employment conditions and social security (articles 25, 27, 52, 53, 54 and 55 of the International Convention on the Protection of the Rights of All Migrant Workers and Members of Their Families; articles 26 and 32 of the Convention on the Rights of the Child)</w:t>
      </w:r>
    </w:p>
    <w:p w14:paraId="60AD9FA4" w14:textId="77777777" w:rsidR="00D617B1" w:rsidRPr="00EC2BDC" w:rsidRDefault="00D617B1" w:rsidP="00352352">
      <w:pPr>
        <w:pStyle w:val="EndnoteText"/>
        <w:numPr>
          <w:ilvl w:val="0"/>
          <w:numId w:val="12"/>
        </w:numPr>
        <w:rPr>
          <w:sz w:val="18"/>
          <w:szCs w:val="18"/>
        </w:rPr>
      </w:pPr>
      <w:r w:rsidRPr="00EC2BDC">
        <w:rPr>
          <w:sz w:val="18"/>
          <w:szCs w:val="18"/>
        </w:rPr>
        <w:t>Right to an adequate standard of living (article 45 of the International Convention on the Protection of the Rights of All Migrant Workers and Members of Their Families; article 27 of the Convention on the Rights of the Child)</w:t>
      </w:r>
    </w:p>
    <w:p w14:paraId="7FD23C7A" w14:textId="77777777" w:rsidR="00D617B1" w:rsidRPr="00EC2BDC" w:rsidRDefault="00D617B1" w:rsidP="00352352">
      <w:pPr>
        <w:pStyle w:val="EndnoteText"/>
        <w:numPr>
          <w:ilvl w:val="0"/>
          <w:numId w:val="12"/>
        </w:numPr>
        <w:rPr>
          <w:sz w:val="18"/>
          <w:szCs w:val="18"/>
        </w:rPr>
      </w:pPr>
      <w:r w:rsidRPr="00EC2BDC">
        <w:rPr>
          <w:sz w:val="18"/>
          <w:szCs w:val="18"/>
        </w:rPr>
        <w:t>Right to health (articles 28 and 45 of the International Convention on the Protection of the Rights of All Migrant Workers and Members of Their Families; articles 23, 24 and 39 of the Convention on the Rights of the Child)</w:t>
      </w:r>
    </w:p>
    <w:p w14:paraId="3F6715B9" w14:textId="77777777" w:rsidR="00D617B1" w:rsidRDefault="00D617B1" w:rsidP="00352352">
      <w:pPr>
        <w:pStyle w:val="EndnoteText"/>
        <w:numPr>
          <w:ilvl w:val="0"/>
          <w:numId w:val="12"/>
        </w:numPr>
        <w:rPr>
          <w:sz w:val="18"/>
          <w:szCs w:val="18"/>
        </w:rPr>
      </w:pPr>
      <w:r w:rsidRPr="00EC2BDC">
        <w:rPr>
          <w:sz w:val="18"/>
          <w:szCs w:val="18"/>
        </w:rPr>
        <w:t>Right to education and professional training (articles 30, 43 and 45 of the International Convention on the Protection of the Rights of All Migrant Workers and Members of Their Families; articles 28, 29, 30 and 31 of the Convention on the Rights of the Child)</w:t>
      </w:r>
    </w:p>
    <w:p w14:paraId="70B9285B" w14:textId="77777777" w:rsidR="00D617B1" w:rsidRPr="00EF6ABE" w:rsidRDefault="00D617B1" w:rsidP="00BA1A8B">
      <w:pPr>
        <w:pStyle w:val="EndnoteText"/>
        <w:rPr>
          <w:sz w:val="18"/>
          <w:szCs w:val="18"/>
        </w:rPr>
      </w:pPr>
      <w:r>
        <w:rPr>
          <w:sz w:val="18"/>
          <w:szCs w:val="18"/>
        </w:rPr>
        <w:t xml:space="preserve">See also </w:t>
      </w:r>
      <w:r w:rsidRPr="002F07C3">
        <w:rPr>
          <w:sz w:val="18"/>
          <w:szCs w:val="18"/>
        </w:rPr>
        <w:t>UNICEF</w:t>
      </w:r>
      <w:r>
        <w:rPr>
          <w:sz w:val="18"/>
          <w:szCs w:val="18"/>
        </w:rPr>
        <w:t xml:space="preserve"> Technical Note,</w:t>
      </w:r>
      <w:r w:rsidRPr="002F07C3">
        <w:rPr>
          <w:sz w:val="18"/>
          <w:szCs w:val="18"/>
        </w:rPr>
        <w:t xml:space="preserve"> </w:t>
      </w:r>
      <w:hyperlink r:id="rId2" w:history="1">
        <w:r w:rsidRPr="002F07C3">
          <w:rPr>
            <w:rStyle w:val="Hyperlink"/>
            <w:sz w:val="18"/>
            <w:szCs w:val="18"/>
          </w:rPr>
          <w:t>’Migratory regularization as an essential condition for the comprehensive protection of the rights of children in the context of human mobility</w:t>
        </w:r>
      </w:hyperlink>
      <w:r>
        <w:rPr>
          <w:sz w:val="18"/>
          <w:szCs w:val="18"/>
        </w:rPr>
        <w:t>.</w:t>
      </w:r>
      <w:r w:rsidRPr="002F07C3">
        <w:rPr>
          <w:sz w:val="18"/>
          <w:szCs w:val="18"/>
        </w:rPr>
        <w:t>’</w:t>
      </w:r>
      <w:r>
        <w:rPr>
          <w:sz w:val="18"/>
          <w:szCs w:val="18"/>
        </w:rPr>
        <w:t xml:space="preserve"> </w:t>
      </w:r>
    </w:p>
  </w:endnote>
  <w:endnote w:id="11">
    <w:p w14:paraId="1D2F0331" w14:textId="6DA18DDA" w:rsidR="00A161CD" w:rsidRDefault="00A161CD">
      <w:pPr>
        <w:pStyle w:val="EndnoteText"/>
      </w:pPr>
      <w:r>
        <w:rPr>
          <w:rStyle w:val="EndnoteReference"/>
        </w:rPr>
        <w:endnoteRef/>
      </w:r>
      <w:r>
        <w:t xml:space="preserve"> </w:t>
      </w:r>
      <w:r w:rsidRPr="00D617B1">
        <w:rPr>
          <w:sz w:val="18"/>
          <w:szCs w:val="18"/>
        </w:rPr>
        <w:t>Joint general comment No. 4 (2017) of the Committee on the Protection of the Rights of All Migrant Workers and Members of Their Families and No. 23 (2017) of the Committee on the Rights of the Child on State obligations regarding the human rights of children in the context of international migration in countries of origin, transit, destination and return</w:t>
      </w:r>
      <w:r>
        <w:rPr>
          <w:sz w:val="18"/>
          <w:szCs w:val="18"/>
        </w:rPr>
        <w:t>, para 18.</w:t>
      </w:r>
    </w:p>
  </w:endnote>
  <w:endnote w:id="12">
    <w:p w14:paraId="774337D7" w14:textId="77777777" w:rsidR="00D617B1" w:rsidRPr="002F07C3" w:rsidRDefault="00D617B1" w:rsidP="00D67FAE">
      <w:pPr>
        <w:pStyle w:val="EndnoteText"/>
        <w:rPr>
          <w:sz w:val="18"/>
          <w:szCs w:val="18"/>
        </w:rPr>
      </w:pPr>
      <w:r w:rsidRPr="002F07C3">
        <w:rPr>
          <w:rStyle w:val="EndnoteReference"/>
          <w:sz w:val="18"/>
          <w:szCs w:val="18"/>
        </w:rPr>
        <w:endnoteRef/>
      </w:r>
      <w:r w:rsidRPr="002F07C3">
        <w:rPr>
          <w:sz w:val="18"/>
          <w:szCs w:val="18"/>
        </w:rPr>
        <w:t xml:space="preserve"> UNICEF,</w:t>
      </w:r>
      <w:r>
        <w:rPr>
          <w:sz w:val="18"/>
          <w:szCs w:val="18"/>
        </w:rPr>
        <w:t xml:space="preserve"> Technical Note,</w:t>
      </w:r>
      <w:r w:rsidRPr="002F07C3">
        <w:rPr>
          <w:sz w:val="18"/>
          <w:szCs w:val="18"/>
        </w:rPr>
        <w:t xml:space="preserve"> </w:t>
      </w:r>
      <w:hyperlink r:id="rId3" w:history="1">
        <w:r w:rsidRPr="002F07C3">
          <w:rPr>
            <w:rStyle w:val="Hyperlink"/>
            <w:sz w:val="18"/>
            <w:szCs w:val="18"/>
          </w:rPr>
          <w:t>’Migratory regularization as an essential condition for the comprehensive protection of the rights of children in the context of human mobility</w:t>
        </w:r>
      </w:hyperlink>
      <w:r>
        <w:rPr>
          <w:sz w:val="18"/>
          <w:szCs w:val="18"/>
        </w:rPr>
        <w:t>.</w:t>
      </w:r>
      <w:r w:rsidRPr="002F07C3">
        <w:rPr>
          <w:sz w:val="18"/>
          <w:szCs w:val="18"/>
        </w:rPr>
        <w:t>’</w:t>
      </w:r>
    </w:p>
  </w:endnote>
  <w:endnote w:id="13">
    <w:p w14:paraId="495B9F28" w14:textId="07DF1CC1"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Ibid.</w:t>
      </w:r>
    </w:p>
  </w:endnote>
  <w:endnote w:id="14">
    <w:p w14:paraId="7B51DB12" w14:textId="45EFB3ED" w:rsidR="00D617B1" w:rsidRPr="002F07C3" w:rsidRDefault="00D617B1" w:rsidP="002F07C3">
      <w:pPr>
        <w:pStyle w:val="EndnoteText"/>
        <w:rPr>
          <w:rFonts w:eastAsiaTheme="minorEastAsia"/>
          <w:color w:val="000000" w:themeColor="text1"/>
          <w:sz w:val="18"/>
          <w:szCs w:val="18"/>
          <w:lang w:val="en"/>
        </w:rPr>
      </w:pPr>
      <w:r w:rsidRPr="002F07C3">
        <w:rPr>
          <w:rStyle w:val="EndnoteReference"/>
          <w:sz w:val="18"/>
          <w:szCs w:val="18"/>
        </w:rPr>
        <w:endnoteRef/>
      </w:r>
      <w:r w:rsidRPr="002F07C3">
        <w:rPr>
          <w:sz w:val="18"/>
          <w:szCs w:val="18"/>
        </w:rPr>
        <w:t xml:space="preserve"> </w:t>
      </w:r>
      <w:r>
        <w:rPr>
          <w:sz w:val="18"/>
          <w:szCs w:val="18"/>
        </w:rPr>
        <w:t>UNICEF, ‘</w:t>
      </w:r>
      <w:hyperlink r:id="rId4" w:history="1">
        <w:r w:rsidRPr="000B4E77">
          <w:rPr>
            <w:rStyle w:val="Hyperlink"/>
            <w:rFonts w:eastAsiaTheme="minorEastAsia"/>
            <w:sz w:val="18"/>
            <w:szCs w:val="18"/>
            <w:lang w:val="en"/>
          </w:rPr>
          <w:t>UNICEF welcomes Government of Colombia decision to prevent statelessness for thousands of children born in Colombia to Venezuelan parents</w:t>
        </w:r>
      </w:hyperlink>
      <w:r>
        <w:rPr>
          <w:rFonts w:eastAsiaTheme="minorEastAsia"/>
          <w:color w:val="000000" w:themeColor="text1"/>
          <w:sz w:val="18"/>
          <w:szCs w:val="18"/>
          <w:lang w:val="en"/>
        </w:rPr>
        <w:t>.’</w:t>
      </w:r>
    </w:p>
  </w:endnote>
  <w:endnote w:id="15">
    <w:p w14:paraId="5E7BAAF0" w14:textId="59CEABE8"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w:t>
      </w:r>
      <w:r>
        <w:rPr>
          <w:sz w:val="18"/>
          <w:szCs w:val="18"/>
        </w:rPr>
        <w:t>UNICEF, ‘Temporary Protection Statute for Venezuelan Migrants (EPTV) with a focus on children and adolescents.’</w:t>
      </w:r>
    </w:p>
  </w:endnote>
  <w:endnote w:id="16">
    <w:p w14:paraId="12E6BD9A" w14:textId="5DE583CD"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w:t>
      </w:r>
      <w:r>
        <w:rPr>
          <w:sz w:val="18"/>
          <w:szCs w:val="18"/>
        </w:rPr>
        <w:t>Inter-American Commission on Human Rights, ‘</w:t>
      </w:r>
      <w:hyperlink r:id="rId5" w:history="1">
        <w:r w:rsidRPr="00747D5D">
          <w:rPr>
            <w:rStyle w:val="Hyperlink"/>
            <w:sz w:val="18"/>
            <w:szCs w:val="18"/>
          </w:rPr>
          <w:t>Annual Report 2021, Chapter IV.a Human Rights Development in the Region</w:t>
        </w:r>
      </w:hyperlink>
      <w:r>
        <w:rPr>
          <w:sz w:val="18"/>
          <w:szCs w:val="18"/>
        </w:rPr>
        <w:t>’</w:t>
      </w:r>
    </w:p>
  </w:endnote>
  <w:endnote w:id="17">
    <w:p w14:paraId="03271CEA" w14:textId="49746929"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w:t>
      </w:r>
      <w:r>
        <w:rPr>
          <w:sz w:val="18"/>
          <w:szCs w:val="18"/>
        </w:rPr>
        <w:t>OHCHR and DLA, ‘</w:t>
      </w:r>
      <w:hyperlink r:id="rId6" w:history="1">
        <w:r w:rsidRPr="00747D5D">
          <w:rPr>
            <w:rStyle w:val="Hyperlink"/>
            <w:sz w:val="18"/>
            <w:szCs w:val="18"/>
          </w:rPr>
          <w:t>Admission and stay based on human rights and humanitarian grounds: A mapping of national practice</w:t>
        </w:r>
      </w:hyperlink>
      <w:r>
        <w:rPr>
          <w:sz w:val="18"/>
          <w:szCs w:val="18"/>
        </w:rPr>
        <w:t>,’ Dec 2018</w:t>
      </w:r>
      <w:r w:rsidRPr="002F07C3">
        <w:rPr>
          <w:sz w:val="18"/>
          <w:szCs w:val="18"/>
        </w:rPr>
        <w:t xml:space="preserve"> </w:t>
      </w:r>
    </w:p>
  </w:endnote>
  <w:endnote w:id="18">
    <w:p w14:paraId="475A9698" w14:textId="2DE0AB65" w:rsidR="00D617B1" w:rsidRPr="002F07C3" w:rsidRDefault="00D617B1" w:rsidP="002F07C3">
      <w:pPr>
        <w:pStyle w:val="EndnoteText"/>
        <w:rPr>
          <w:rFonts w:eastAsiaTheme="minorEastAsia"/>
          <w:sz w:val="18"/>
          <w:szCs w:val="18"/>
        </w:rPr>
      </w:pPr>
      <w:r w:rsidRPr="002F07C3">
        <w:rPr>
          <w:rStyle w:val="EndnoteReference"/>
          <w:sz w:val="18"/>
          <w:szCs w:val="18"/>
        </w:rPr>
        <w:endnoteRef/>
      </w:r>
      <w:r w:rsidRPr="002F07C3">
        <w:rPr>
          <w:sz w:val="18"/>
          <w:szCs w:val="18"/>
        </w:rPr>
        <w:t xml:space="preserve"> </w:t>
      </w:r>
      <w:r>
        <w:rPr>
          <w:sz w:val="18"/>
          <w:szCs w:val="18"/>
        </w:rPr>
        <w:t>UNICEF, ‘</w:t>
      </w:r>
      <w:hyperlink r:id="rId7" w:history="1">
        <w:r w:rsidRPr="003E5511">
          <w:rPr>
            <w:rStyle w:val="Hyperlink"/>
            <w:sz w:val="18"/>
            <w:szCs w:val="18"/>
          </w:rPr>
          <w:t>Child Protection Advocacy Brief: Children on the Move</w:t>
        </w:r>
      </w:hyperlink>
      <w:r>
        <w:rPr>
          <w:sz w:val="18"/>
          <w:szCs w:val="18"/>
        </w:rPr>
        <w:t>’, 2018</w:t>
      </w:r>
    </w:p>
  </w:endnote>
  <w:endnote w:id="19">
    <w:p w14:paraId="21459225" w14:textId="1381A361"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PICU</w:t>
      </w:r>
      <w:r>
        <w:rPr>
          <w:sz w:val="18"/>
          <w:szCs w:val="18"/>
        </w:rPr>
        <w:t>M</w:t>
      </w:r>
      <w:r w:rsidRPr="002F07C3">
        <w:rPr>
          <w:sz w:val="18"/>
          <w:szCs w:val="18"/>
        </w:rPr>
        <w:t>,</w:t>
      </w:r>
      <w:r>
        <w:rPr>
          <w:sz w:val="18"/>
          <w:szCs w:val="18"/>
        </w:rPr>
        <w:t xml:space="preserve"> ‘</w:t>
      </w:r>
      <w:hyperlink r:id="rId8" w:history="1">
        <w:r w:rsidRPr="00B10E1C">
          <w:rPr>
            <w:rStyle w:val="Hyperlink"/>
            <w:sz w:val="18"/>
            <w:szCs w:val="18"/>
          </w:rPr>
          <w:t>Regularisation mechanisms and programmes: Why they matter and how to design them</w:t>
        </w:r>
      </w:hyperlink>
      <w:r>
        <w:rPr>
          <w:sz w:val="18"/>
          <w:szCs w:val="18"/>
        </w:rPr>
        <w:t>,’ 2022; International Centre for Migration Policy Development, ‘</w:t>
      </w:r>
      <w:hyperlink r:id="rId9" w:history="1">
        <w:r w:rsidRPr="003258EC">
          <w:rPr>
            <w:rStyle w:val="Hyperlink"/>
            <w:sz w:val="18"/>
            <w:szCs w:val="18"/>
          </w:rPr>
          <w:t>REGINE: Regularisations in Europe – Study on practices in the rea of regularization of illegally staying third-country nationals in the Member States of the European Union</w:t>
        </w:r>
      </w:hyperlink>
      <w:r>
        <w:rPr>
          <w:sz w:val="18"/>
          <w:szCs w:val="18"/>
        </w:rPr>
        <w:t xml:space="preserve">,’ Feb 2009; </w:t>
      </w:r>
    </w:p>
  </w:endnote>
  <w:endnote w:id="20">
    <w:p w14:paraId="7D20590A" w14:textId="5561C7F1"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w:t>
      </w:r>
      <w:r>
        <w:rPr>
          <w:sz w:val="18"/>
          <w:szCs w:val="18"/>
        </w:rPr>
        <w:t>European Commission, European Website on Integration, ‘</w:t>
      </w:r>
      <w:hyperlink r:id="rId10" w:history="1">
        <w:r w:rsidRPr="00092015">
          <w:rPr>
            <w:rStyle w:val="Hyperlink"/>
            <w:sz w:val="18"/>
            <w:szCs w:val="18"/>
          </w:rPr>
          <w:t>Spain: New regulation for unaccompanied foreign minors</w:t>
        </w:r>
      </w:hyperlink>
      <w:r>
        <w:rPr>
          <w:sz w:val="18"/>
          <w:szCs w:val="18"/>
        </w:rPr>
        <w:t>’</w:t>
      </w:r>
    </w:p>
  </w:endnote>
  <w:endnote w:id="21">
    <w:p w14:paraId="7AD84E2E" w14:textId="363F7C20"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w:t>
      </w:r>
      <w:r>
        <w:rPr>
          <w:sz w:val="18"/>
          <w:szCs w:val="18"/>
        </w:rPr>
        <w:t>PICUM, ‘</w:t>
      </w:r>
      <w:hyperlink r:id="rId11" w:history="1">
        <w:r w:rsidRPr="00B10E1C">
          <w:rPr>
            <w:rStyle w:val="Hyperlink"/>
            <w:sz w:val="18"/>
            <w:szCs w:val="18"/>
          </w:rPr>
          <w:t>Turning 18 and Undocumented: Supporting Children in their Transition into Adulthood</w:t>
        </w:r>
      </w:hyperlink>
      <w:r>
        <w:rPr>
          <w:sz w:val="18"/>
          <w:szCs w:val="18"/>
        </w:rPr>
        <w:t>’, 2022</w:t>
      </w:r>
      <w:r w:rsidRPr="002F07C3">
        <w:rPr>
          <w:sz w:val="18"/>
          <w:szCs w:val="18"/>
        </w:rPr>
        <w:t xml:space="preserve"> </w:t>
      </w:r>
    </w:p>
  </w:endnote>
  <w:endnote w:id="22">
    <w:p w14:paraId="711A9810" w14:textId="44D56E60"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w:t>
      </w:r>
      <w:r>
        <w:rPr>
          <w:sz w:val="18"/>
          <w:szCs w:val="18"/>
        </w:rPr>
        <w:t>UNICEF, ‘</w:t>
      </w:r>
      <w:hyperlink r:id="rId12" w:history="1">
        <w:r w:rsidRPr="00B10E1C">
          <w:rPr>
            <w:rStyle w:val="Hyperlink"/>
            <w:sz w:val="18"/>
            <w:szCs w:val="18"/>
          </w:rPr>
          <w:t>Child-Sensitive Return: Upholding the best interests of migrant and refugee children in return and reintegration decisions and processes in selected European countries (Germany, the Netherlands, Sweden, and the United Kingdom), A Comparative Analysis</w:t>
        </w:r>
      </w:hyperlink>
      <w:r>
        <w:rPr>
          <w:sz w:val="18"/>
          <w:szCs w:val="18"/>
        </w:rPr>
        <w:t>,’ Nov 2019</w:t>
      </w:r>
    </w:p>
  </w:endnote>
  <w:endnote w:id="23">
    <w:p w14:paraId="1F1A1026" w14:textId="423D60D7"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w:t>
      </w:r>
      <w:r>
        <w:rPr>
          <w:sz w:val="18"/>
          <w:szCs w:val="18"/>
        </w:rPr>
        <w:t>The White House, ‘</w:t>
      </w:r>
      <w:hyperlink r:id="rId13" w:history="1">
        <w:r w:rsidRPr="00B10E1C">
          <w:rPr>
            <w:rStyle w:val="Hyperlink"/>
            <w:sz w:val="18"/>
            <w:szCs w:val="18"/>
          </w:rPr>
          <w:t>Fact Sheet: The Los Angeles Declaration on Migration and Protection U.S. Government and Foreign Partner Deliverables</w:t>
        </w:r>
      </w:hyperlink>
      <w:r>
        <w:rPr>
          <w:sz w:val="18"/>
          <w:szCs w:val="18"/>
        </w:rPr>
        <w:t xml:space="preserve">’ </w:t>
      </w:r>
    </w:p>
  </w:endnote>
  <w:endnote w:id="24">
    <w:p w14:paraId="6485C1AC" w14:textId="77777777" w:rsidR="00D617B1" w:rsidRPr="002F07C3" w:rsidRDefault="00D617B1" w:rsidP="00962B70">
      <w:pPr>
        <w:pStyle w:val="EndnoteText"/>
        <w:rPr>
          <w:sz w:val="18"/>
          <w:szCs w:val="18"/>
        </w:rPr>
      </w:pPr>
      <w:r w:rsidRPr="002F07C3">
        <w:rPr>
          <w:rStyle w:val="EndnoteReference"/>
          <w:sz w:val="18"/>
          <w:szCs w:val="18"/>
        </w:rPr>
        <w:endnoteRef/>
      </w:r>
      <w:r w:rsidRPr="002F07C3">
        <w:rPr>
          <w:sz w:val="18"/>
          <w:szCs w:val="18"/>
        </w:rPr>
        <w:t xml:space="preserve"> Ibid.</w:t>
      </w:r>
    </w:p>
  </w:endnote>
  <w:endnote w:id="25">
    <w:p w14:paraId="40EF1B19" w14:textId="10B7D68F"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PICU</w:t>
      </w:r>
      <w:r>
        <w:rPr>
          <w:sz w:val="18"/>
          <w:szCs w:val="18"/>
        </w:rPr>
        <w:t>M</w:t>
      </w:r>
      <w:r w:rsidRPr="002F07C3">
        <w:rPr>
          <w:sz w:val="18"/>
          <w:szCs w:val="18"/>
        </w:rPr>
        <w:t>,</w:t>
      </w:r>
      <w:r>
        <w:rPr>
          <w:sz w:val="18"/>
          <w:szCs w:val="18"/>
        </w:rPr>
        <w:t xml:space="preserve"> ‘</w:t>
      </w:r>
      <w:hyperlink r:id="rId14" w:history="1">
        <w:r w:rsidRPr="00B10E1C">
          <w:rPr>
            <w:rStyle w:val="Hyperlink"/>
            <w:sz w:val="18"/>
            <w:szCs w:val="18"/>
          </w:rPr>
          <w:t>Regularisation mechanisms and programmes: Why they matter and how to design them</w:t>
        </w:r>
      </w:hyperlink>
      <w:r>
        <w:rPr>
          <w:sz w:val="18"/>
          <w:szCs w:val="18"/>
        </w:rPr>
        <w:t>,’ 2022</w:t>
      </w:r>
      <w:r w:rsidRPr="002F07C3">
        <w:rPr>
          <w:sz w:val="18"/>
          <w:szCs w:val="18"/>
        </w:rPr>
        <w:t xml:space="preserve"> </w:t>
      </w:r>
    </w:p>
  </w:endnote>
  <w:endnote w:id="26">
    <w:p w14:paraId="32493BCE" w14:textId="7D3D2AED" w:rsidR="00D617B1" w:rsidRPr="002F07C3" w:rsidRDefault="00D617B1" w:rsidP="002F07C3">
      <w:pPr>
        <w:pStyle w:val="EndnoteText"/>
        <w:rPr>
          <w:rFonts w:ascii="Calibri" w:eastAsia="Calibri" w:hAnsi="Calibri" w:cs="Calibri"/>
          <w:sz w:val="18"/>
          <w:szCs w:val="18"/>
        </w:rPr>
      </w:pPr>
      <w:r w:rsidRPr="002F07C3">
        <w:rPr>
          <w:rStyle w:val="EndnoteReference"/>
          <w:sz w:val="18"/>
          <w:szCs w:val="18"/>
        </w:rPr>
        <w:endnoteRef/>
      </w:r>
      <w:r w:rsidRPr="002F07C3">
        <w:rPr>
          <w:sz w:val="18"/>
          <w:szCs w:val="18"/>
        </w:rPr>
        <w:t xml:space="preserve"> </w:t>
      </w:r>
      <w:r>
        <w:rPr>
          <w:sz w:val="18"/>
          <w:szCs w:val="18"/>
        </w:rPr>
        <w:t>UNICEF, ‘</w:t>
      </w:r>
      <w:hyperlink r:id="rId15" w:history="1">
        <w:r w:rsidRPr="00B10E1C">
          <w:rPr>
            <w:rStyle w:val="Hyperlink"/>
            <w:sz w:val="18"/>
            <w:szCs w:val="18"/>
          </w:rPr>
          <w:t>Child-Sensitive Return: Upholding the best interests of migrant and refugee children in return and reintegration decisions and processes in selected European countries (Germany, the Netherlands, Sweden, and the United Kingdom), A Comparative Analysis</w:t>
        </w:r>
      </w:hyperlink>
      <w:r>
        <w:rPr>
          <w:sz w:val="18"/>
          <w:szCs w:val="18"/>
        </w:rPr>
        <w:t>,’ Nov 2019</w:t>
      </w:r>
    </w:p>
  </w:endnote>
  <w:endnote w:id="27">
    <w:p w14:paraId="4D208482" w14:textId="17ADA57A"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PICU</w:t>
      </w:r>
      <w:r>
        <w:rPr>
          <w:sz w:val="18"/>
          <w:szCs w:val="18"/>
        </w:rPr>
        <w:t>M</w:t>
      </w:r>
      <w:r w:rsidRPr="002F07C3">
        <w:rPr>
          <w:sz w:val="18"/>
          <w:szCs w:val="18"/>
        </w:rPr>
        <w:t>,</w:t>
      </w:r>
      <w:r>
        <w:rPr>
          <w:sz w:val="18"/>
          <w:szCs w:val="18"/>
        </w:rPr>
        <w:t xml:space="preserve"> ‘</w:t>
      </w:r>
      <w:hyperlink r:id="rId16" w:history="1">
        <w:r w:rsidRPr="00B10E1C">
          <w:rPr>
            <w:rStyle w:val="Hyperlink"/>
            <w:sz w:val="18"/>
            <w:szCs w:val="18"/>
          </w:rPr>
          <w:t>Regularisation mechanisms and programmes: Why they matter and how to design them</w:t>
        </w:r>
      </w:hyperlink>
      <w:r>
        <w:rPr>
          <w:sz w:val="18"/>
          <w:szCs w:val="18"/>
        </w:rPr>
        <w:t>,’ 2022</w:t>
      </w:r>
    </w:p>
  </w:endnote>
  <w:endnote w:id="28">
    <w:p w14:paraId="3B9A346B" w14:textId="57F1BE8D"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UNICEF, ’Temporary Protection Statute for Venezuelan Migrants (ETPV) with a focus on children and adolescents’</w:t>
      </w:r>
    </w:p>
  </w:endnote>
  <w:endnote w:id="29">
    <w:p w14:paraId="7EED73A9" w14:textId="094E313D"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w:t>
      </w:r>
      <w:r>
        <w:rPr>
          <w:sz w:val="18"/>
          <w:szCs w:val="18"/>
        </w:rPr>
        <w:t>Migration Policy Institute, ‘</w:t>
      </w:r>
      <w:hyperlink r:id="rId17" w:history="1">
        <w:r w:rsidRPr="00C34F6A">
          <w:rPr>
            <w:rStyle w:val="Hyperlink"/>
            <w:sz w:val="18"/>
            <w:szCs w:val="18"/>
          </w:rPr>
          <w:t>At its 10</w:t>
        </w:r>
        <w:r w:rsidRPr="00C34F6A">
          <w:rPr>
            <w:rStyle w:val="Hyperlink"/>
            <w:sz w:val="18"/>
            <w:szCs w:val="18"/>
            <w:vertAlign w:val="superscript"/>
          </w:rPr>
          <w:t>th</w:t>
        </w:r>
        <w:r w:rsidRPr="00C34F6A">
          <w:rPr>
            <w:rStyle w:val="Hyperlink"/>
            <w:sz w:val="18"/>
            <w:szCs w:val="18"/>
          </w:rPr>
          <w:t xml:space="preserve"> Anniversary, DACA Faces a Tenuous Future Despite Societal Benefits</w:t>
        </w:r>
      </w:hyperlink>
      <w:r>
        <w:rPr>
          <w:sz w:val="18"/>
          <w:szCs w:val="18"/>
        </w:rPr>
        <w:t>,’ June 2022</w:t>
      </w:r>
    </w:p>
  </w:endnote>
  <w:endnote w:id="30">
    <w:p w14:paraId="0BE07ADF" w14:textId="0C072F0B"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w:t>
      </w:r>
      <w:r>
        <w:rPr>
          <w:sz w:val="18"/>
          <w:szCs w:val="18"/>
        </w:rPr>
        <w:t>Center for American Progress, ‘</w:t>
      </w:r>
      <w:hyperlink r:id="rId18" w:history="1">
        <w:r w:rsidRPr="00C34F6A">
          <w:rPr>
            <w:rStyle w:val="Hyperlink"/>
            <w:sz w:val="18"/>
            <w:szCs w:val="18"/>
          </w:rPr>
          <w:t>The Demographic and Economic Impacts of DACA Recipients: Fall 2021 Edition</w:t>
        </w:r>
      </w:hyperlink>
      <w:r>
        <w:rPr>
          <w:sz w:val="18"/>
          <w:szCs w:val="18"/>
        </w:rPr>
        <w:t>,’ Nov 2021</w:t>
      </w:r>
    </w:p>
  </w:endnote>
  <w:endnote w:id="31">
    <w:p w14:paraId="15F5B3DA" w14:textId="58B3C312"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w:t>
      </w:r>
      <w:r>
        <w:rPr>
          <w:sz w:val="18"/>
          <w:szCs w:val="18"/>
        </w:rPr>
        <w:t>Migration Policy Institute, ‘</w:t>
      </w:r>
      <w:hyperlink r:id="rId19" w:history="1">
        <w:r w:rsidRPr="00C34F6A">
          <w:rPr>
            <w:rStyle w:val="Hyperlink"/>
            <w:sz w:val="18"/>
            <w:szCs w:val="18"/>
          </w:rPr>
          <w:t>At its 10</w:t>
        </w:r>
        <w:r w:rsidRPr="00C34F6A">
          <w:rPr>
            <w:rStyle w:val="Hyperlink"/>
            <w:sz w:val="18"/>
            <w:szCs w:val="18"/>
            <w:vertAlign w:val="superscript"/>
          </w:rPr>
          <w:t>th</w:t>
        </w:r>
        <w:r w:rsidRPr="00C34F6A">
          <w:rPr>
            <w:rStyle w:val="Hyperlink"/>
            <w:sz w:val="18"/>
            <w:szCs w:val="18"/>
          </w:rPr>
          <w:t xml:space="preserve"> Anniversary, DACA Faces a Tenuous Future Despite Societal Benefits</w:t>
        </w:r>
      </w:hyperlink>
      <w:r>
        <w:rPr>
          <w:sz w:val="18"/>
          <w:szCs w:val="18"/>
        </w:rPr>
        <w:t>,’ June 2022</w:t>
      </w:r>
    </w:p>
  </w:endnote>
  <w:endnote w:id="32">
    <w:p w14:paraId="2A1666EB" w14:textId="6F32D681" w:rsidR="00D617B1" w:rsidRPr="002F07C3" w:rsidRDefault="00D617B1" w:rsidP="002F07C3">
      <w:pPr>
        <w:pStyle w:val="EndnoteText"/>
        <w:rPr>
          <w:sz w:val="18"/>
          <w:szCs w:val="18"/>
        </w:rPr>
      </w:pPr>
      <w:r w:rsidRPr="002F07C3">
        <w:rPr>
          <w:rStyle w:val="EndnoteReference"/>
          <w:sz w:val="18"/>
          <w:szCs w:val="18"/>
        </w:rPr>
        <w:endnoteRef/>
      </w:r>
      <w:r w:rsidRPr="002F07C3">
        <w:rPr>
          <w:sz w:val="18"/>
          <w:szCs w:val="18"/>
        </w:rPr>
        <w:t xml:space="preserve"> </w:t>
      </w:r>
      <w:r>
        <w:rPr>
          <w:sz w:val="18"/>
          <w:szCs w:val="18"/>
        </w:rPr>
        <w:t>Center for American Progress, ‘</w:t>
      </w:r>
      <w:hyperlink r:id="rId20" w:history="1">
        <w:r w:rsidRPr="00C34F6A">
          <w:rPr>
            <w:rStyle w:val="Hyperlink"/>
            <w:sz w:val="18"/>
            <w:szCs w:val="18"/>
          </w:rPr>
          <w:t>The Demographic and Economic Impacts of DACA Recipients: Fall 2021 Edition</w:t>
        </w:r>
      </w:hyperlink>
      <w:r>
        <w:rPr>
          <w:sz w:val="18"/>
          <w:szCs w:val="18"/>
        </w:rPr>
        <w:t>,’ Nov 2021</w:t>
      </w:r>
    </w:p>
  </w:endnote>
  <w:endnote w:id="33">
    <w:p w14:paraId="2920A487" w14:textId="77777777" w:rsidR="00D617B1" w:rsidRDefault="00D617B1" w:rsidP="00DE5261">
      <w:pPr>
        <w:pStyle w:val="FootnoteText"/>
        <w:rPr>
          <w:rFonts w:eastAsiaTheme="minorEastAsia"/>
          <w:sz w:val="18"/>
          <w:szCs w:val="18"/>
        </w:rPr>
      </w:pPr>
      <w:r w:rsidRPr="002F07C3">
        <w:rPr>
          <w:rStyle w:val="EndnoteReference"/>
          <w:sz w:val="18"/>
          <w:szCs w:val="18"/>
        </w:rPr>
        <w:endnoteRef/>
      </w:r>
      <w:r w:rsidRPr="002F07C3">
        <w:rPr>
          <w:sz w:val="18"/>
          <w:szCs w:val="18"/>
        </w:rPr>
        <w:t xml:space="preserve"> </w:t>
      </w:r>
      <w:r w:rsidRPr="002F07C3">
        <w:rPr>
          <w:rFonts w:eastAsiaTheme="minorEastAsia"/>
          <w:sz w:val="18"/>
          <w:szCs w:val="18"/>
        </w:rPr>
        <w:t>Some examples of regularization measures taken during COVID-19 are listed below (non-exhaustive list):</w:t>
      </w:r>
    </w:p>
    <w:p w14:paraId="6BEF26A9" w14:textId="77777777" w:rsidR="00D617B1" w:rsidRDefault="00D617B1" w:rsidP="00DE5261">
      <w:pPr>
        <w:pStyle w:val="FootnoteText"/>
        <w:numPr>
          <w:ilvl w:val="0"/>
          <w:numId w:val="11"/>
        </w:numPr>
        <w:rPr>
          <w:rFonts w:eastAsiaTheme="minorEastAsia"/>
          <w:sz w:val="18"/>
          <w:szCs w:val="18"/>
        </w:rPr>
      </w:pPr>
      <w:r w:rsidRPr="002F07C3">
        <w:rPr>
          <w:rFonts w:eastAsiaTheme="minorEastAsia"/>
          <w:sz w:val="18"/>
          <w:szCs w:val="18"/>
        </w:rPr>
        <w:t>In Portugal in 2020, more than 356,000 immigrants – including young people and children on the move and their families – who had already filed requests for residence or asylum at the were provisionally regularized under two decrees published in the first months of the COVID-19 outbreak. Provisional regularization allowed people to access the national healthcare system and other public services, social support measures, housing, formal employment, and bank accounts.</w:t>
      </w:r>
    </w:p>
    <w:p w14:paraId="63BB61BF" w14:textId="77777777" w:rsidR="00D617B1" w:rsidRDefault="00D617B1" w:rsidP="00DE5261">
      <w:pPr>
        <w:pStyle w:val="FootnoteText"/>
        <w:numPr>
          <w:ilvl w:val="0"/>
          <w:numId w:val="11"/>
        </w:numPr>
        <w:rPr>
          <w:rFonts w:eastAsiaTheme="minorEastAsia"/>
          <w:sz w:val="18"/>
          <w:szCs w:val="18"/>
        </w:rPr>
      </w:pPr>
      <w:r w:rsidRPr="00DE5261">
        <w:rPr>
          <w:rFonts w:eastAsiaTheme="minorEastAsia"/>
          <w:sz w:val="18"/>
          <w:szCs w:val="18"/>
        </w:rPr>
        <w:t>In Azerbaijan, people whose asylum claims were refused prior to COVID-19 were granted temporary suspension of the requirement to return, not been detained and have been issued with temporary residence permits. Others on temporary visas who had been unable to return to their countries of origin were granted automatic extensions of stay, irrespective of their visa category, without need for additional documentation.</w:t>
      </w:r>
    </w:p>
    <w:p w14:paraId="29514AC6" w14:textId="77777777" w:rsidR="00F70F26" w:rsidRDefault="00D617B1" w:rsidP="00926CE6">
      <w:pPr>
        <w:pStyle w:val="FootnoteText"/>
        <w:numPr>
          <w:ilvl w:val="0"/>
          <w:numId w:val="11"/>
        </w:numPr>
        <w:rPr>
          <w:rFonts w:eastAsiaTheme="minorEastAsia"/>
          <w:sz w:val="18"/>
          <w:szCs w:val="18"/>
        </w:rPr>
      </w:pPr>
      <w:r w:rsidRPr="00DE5261">
        <w:rPr>
          <w:rFonts w:eastAsiaTheme="minorEastAsia"/>
          <w:sz w:val="18"/>
          <w:szCs w:val="18"/>
        </w:rPr>
        <w:t xml:space="preserve">In Canada, during the pandemic, people with refused asylum claims became eligible to apply for permanent residency if they had been working in the health-care sector. Migrants who fell out of status during the pandemic were granted an extension beyond the standard 90-day period to seek to regularize their status, and granted permission to work during the application period. Processing of urgent protection claims from victims of trafficking and family violence were expedited. </w:t>
      </w:r>
    </w:p>
    <w:p w14:paraId="150FF3AA" w14:textId="6516A69F" w:rsidR="00D617B1" w:rsidRPr="00926CE6" w:rsidRDefault="00F70F26" w:rsidP="00F70F26">
      <w:pPr>
        <w:pStyle w:val="FootnoteText"/>
        <w:rPr>
          <w:rStyle w:val="EndnoteReference"/>
          <w:rFonts w:eastAsiaTheme="minorEastAsia"/>
          <w:sz w:val="18"/>
          <w:szCs w:val="18"/>
          <w:vertAlign w:val="baseline"/>
        </w:rPr>
      </w:pPr>
      <w:r>
        <w:rPr>
          <w:rFonts w:eastAsiaTheme="minorEastAsia"/>
          <w:sz w:val="18"/>
          <w:szCs w:val="18"/>
        </w:rPr>
        <w:t xml:space="preserve">        </w:t>
      </w:r>
      <w:r w:rsidR="00D617B1" w:rsidRPr="00926CE6">
        <w:rPr>
          <w:rFonts w:eastAsiaTheme="minorEastAsia"/>
          <w:sz w:val="18"/>
          <w:szCs w:val="18"/>
        </w:rPr>
        <w:t>For more on these and other examples see:</w:t>
      </w:r>
    </w:p>
    <w:p w14:paraId="20037BE1" w14:textId="3EBAF3DD" w:rsidR="00D617B1" w:rsidRPr="002F07C3" w:rsidRDefault="00D617B1" w:rsidP="002F07C3">
      <w:pPr>
        <w:pStyle w:val="ListParagraph"/>
        <w:numPr>
          <w:ilvl w:val="0"/>
          <w:numId w:val="10"/>
        </w:numPr>
        <w:spacing w:line="240" w:lineRule="auto"/>
        <w:rPr>
          <w:rFonts w:eastAsiaTheme="minorEastAsia"/>
          <w:sz w:val="18"/>
          <w:szCs w:val="18"/>
        </w:rPr>
      </w:pPr>
      <w:r>
        <w:rPr>
          <w:rFonts w:eastAsiaTheme="minorEastAsia"/>
          <w:sz w:val="18"/>
          <w:szCs w:val="18"/>
        </w:rPr>
        <w:t xml:space="preserve">UN Network on Migration, </w:t>
      </w:r>
      <w:hyperlink r:id="rId21" w:history="1">
        <w:r w:rsidRPr="00DE5261">
          <w:rPr>
            <w:rStyle w:val="Hyperlink"/>
            <w:rFonts w:eastAsiaTheme="minorEastAsia"/>
            <w:sz w:val="18"/>
            <w:szCs w:val="18"/>
          </w:rPr>
          <w:t>Temporary Regularisation Programmes Snapshot</w:t>
        </w:r>
      </w:hyperlink>
      <w:r w:rsidRPr="002F07C3">
        <w:rPr>
          <w:rFonts w:eastAsiaTheme="minorEastAsia"/>
          <w:sz w:val="18"/>
          <w:szCs w:val="18"/>
        </w:rPr>
        <w:t xml:space="preserve"> </w:t>
      </w:r>
    </w:p>
    <w:p w14:paraId="2FAD1BE6" w14:textId="51ED5AFB" w:rsidR="00D617B1" w:rsidRPr="002F07C3" w:rsidRDefault="00D617B1" w:rsidP="002F07C3">
      <w:pPr>
        <w:pStyle w:val="ListParagraph"/>
        <w:numPr>
          <w:ilvl w:val="0"/>
          <w:numId w:val="10"/>
        </w:numPr>
        <w:spacing w:line="240" w:lineRule="auto"/>
        <w:rPr>
          <w:rFonts w:eastAsiaTheme="minorEastAsia"/>
          <w:sz w:val="18"/>
          <w:szCs w:val="18"/>
        </w:rPr>
      </w:pPr>
      <w:r w:rsidRPr="002F07C3">
        <w:rPr>
          <w:rFonts w:eastAsiaTheme="minorEastAsia"/>
          <w:sz w:val="18"/>
          <w:szCs w:val="18"/>
        </w:rPr>
        <w:t>UN</w:t>
      </w:r>
      <w:r>
        <w:rPr>
          <w:rFonts w:eastAsiaTheme="minorEastAsia"/>
          <w:sz w:val="18"/>
          <w:szCs w:val="18"/>
        </w:rPr>
        <w:t xml:space="preserve"> Network on Migration</w:t>
      </w:r>
      <w:r w:rsidRPr="002F07C3">
        <w:rPr>
          <w:rFonts w:eastAsiaTheme="minorEastAsia"/>
          <w:sz w:val="18"/>
          <w:szCs w:val="18"/>
        </w:rPr>
        <w:t>, Policy Brief: ‘</w:t>
      </w:r>
      <w:hyperlink r:id="rId22" w:history="1">
        <w:r w:rsidRPr="00DE5261">
          <w:rPr>
            <w:rStyle w:val="Hyperlink"/>
            <w:rFonts w:eastAsiaTheme="minorEastAsia"/>
            <w:sz w:val="18"/>
            <w:szCs w:val="18"/>
          </w:rPr>
          <w:t>COVID-19 and Immigration Detention: What Can Governments and Other Stakeholders Do?</w:t>
        </w:r>
      </w:hyperlink>
      <w:r w:rsidRPr="002F07C3">
        <w:rPr>
          <w:rFonts w:eastAsiaTheme="minorEastAsia"/>
          <w:sz w:val="18"/>
          <w:szCs w:val="18"/>
        </w:rPr>
        <w:t>’</w:t>
      </w:r>
      <w:r>
        <w:rPr>
          <w:rFonts w:eastAsiaTheme="minorEastAsia"/>
          <w:sz w:val="18"/>
          <w:szCs w:val="18"/>
        </w:rPr>
        <w:t xml:space="preserve"> and accompanying Annex</w:t>
      </w:r>
    </w:p>
    <w:p w14:paraId="1783F887" w14:textId="47C8ECCC" w:rsidR="00D617B1" w:rsidRPr="002F07C3" w:rsidRDefault="002C1454" w:rsidP="002F07C3">
      <w:pPr>
        <w:pStyle w:val="ListParagraph"/>
        <w:numPr>
          <w:ilvl w:val="0"/>
          <w:numId w:val="10"/>
        </w:numPr>
        <w:spacing w:line="240" w:lineRule="auto"/>
        <w:rPr>
          <w:rFonts w:eastAsiaTheme="minorEastAsia"/>
          <w:sz w:val="18"/>
          <w:szCs w:val="18"/>
        </w:rPr>
      </w:pPr>
      <w:r>
        <w:rPr>
          <w:rFonts w:eastAsiaTheme="minorEastAsia"/>
          <w:sz w:val="18"/>
          <w:szCs w:val="18"/>
        </w:rPr>
        <w:t>UN Network on Migration</w:t>
      </w:r>
      <w:r w:rsidR="00D617B1" w:rsidRPr="002F07C3">
        <w:rPr>
          <w:rFonts w:eastAsiaTheme="minorEastAsia"/>
          <w:sz w:val="18"/>
          <w:szCs w:val="18"/>
        </w:rPr>
        <w:t>, Guidance Note: ‘</w:t>
      </w:r>
      <w:hyperlink r:id="rId23" w:history="1">
        <w:r w:rsidR="00D617B1" w:rsidRPr="00DE5261">
          <w:rPr>
            <w:rStyle w:val="Hyperlink"/>
            <w:rFonts w:eastAsiaTheme="minorEastAsia"/>
            <w:sz w:val="18"/>
            <w:szCs w:val="18"/>
          </w:rPr>
          <w:t>Regular Pathways for Admission and Stay for Migrants in Situations of Vulnerability</w:t>
        </w:r>
      </w:hyperlink>
      <w:r w:rsidR="00D617B1" w:rsidRPr="002F07C3">
        <w:rPr>
          <w:rFonts w:eastAsiaTheme="minorEastAsia"/>
          <w:sz w:val="18"/>
          <w:szCs w:val="18"/>
        </w:rPr>
        <w:t>,’ July 2021</w:t>
      </w:r>
    </w:p>
  </w:endnote>
  <w:endnote w:id="34">
    <w:p w14:paraId="0C83A9E3" w14:textId="77CCF7A7" w:rsidR="00D617B1" w:rsidRDefault="00D617B1" w:rsidP="002F07C3">
      <w:pPr>
        <w:pStyle w:val="EndnoteText"/>
      </w:pPr>
      <w:r w:rsidRPr="002F07C3">
        <w:rPr>
          <w:rStyle w:val="EndnoteReference"/>
          <w:sz w:val="18"/>
          <w:szCs w:val="18"/>
        </w:rPr>
        <w:endnoteRef/>
      </w:r>
      <w:r w:rsidRPr="002F07C3">
        <w:rPr>
          <w:sz w:val="18"/>
          <w:szCs w:val="18"/>
        </w:rPr>
        <w:t xml:space="preserve"> PICU</w:t>
      </w:r>
      <w:r>
        <w:rPr>
          <w:sz w:val="18"/>
          <w:szCs w:val="18"/>
        </w:rPr>
        <w:t>M</w:t>
      </w:r>
      <w:r w:rsidRPr="002F07C3">
        <w:rPr>
          <w:sz w:val="18"/>
          <w:szCs w:val="18"/>
        </w:rPr>
        <w:t>,</w:t>
      </w:r>
      <w:r>
        <w:rPr>
          <w:sz w:val="18"/>
          <w:szCs w:val="18"/>
        </w:rPr>
        <w:t xml:space="preserve"> ‘</w:t>
      </w:r>
      <w:hyperlink r:id="rId24" w:history="1">
        <w:r w:rsidRPr="00B10E1C">
          <w:rPr>
            <w:rStyle w:val="Hyperlink"/>
            <w:sz w:val="18"/>
            <w:szCs w:val="18"/>
          </w:rPr>
          <w:t>Regularisation mechanisms and programmes: Why they matter and how to design them</w:t>
        </w:r>
      </w:hyperlink>
      <w:r>
        <w:rPr>
          <w:sz w:val="18"/>
          <w:szCs w:val="18"/>
        </w:rPr>
        <w:t>,’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4664C" w14:textId="77777777" w:rsidR="002E3DE7" w:rsidRDefault="002E3DE7">
      <w:pPr>
        <w:spacing w:after="0" w:line="240" w:lineRule="auto"/>
      </w:pPr>
      <w:r>
        <w:separator/>
      </w:r>
    </w:p>
  </w:footnote>
  <w:footnote w:type="continuationSeparator" w:id="0">
    <w:p w14:paraId="2915FB87" w14:textId="77777777" w:rsidR="002E3DE7" w:rsidRDefault="002E3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2685" w14:textId="548D40D9" w:rsidR="00311409" w:rsidRDefault="00311409" w:rsidP="00311409">
    <w:pPr>
      <w:pStyle w:val="Header"/>
      <w:jc w:val="right"/>
    </w:pPr>
    <w:r>
      <w:rPr>
        <w:noProof/>
        <w:lang w:eastAsia="nl-NL"/>
      </w:rPr>
      <w:drawing>
        <wp:inline distT="0" distB="0" distL="0" distR="0" wp14:anchorId="49FD9D66" wp14:editId="218C205B">
          <wp:extent cx="1854680" cy="24594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3480" cy="2524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8D5"/>
    <w:multiLevelType w:val="hybridMultilevel"/>
    <w:tmpl w:val="6A36352A"/>
    <w:lvl w:ilvl="0" w:tplc="EB06D36A">
      <w:start w:val="1"/>
      <w:numFmt w:val="bullet"/>
      <w:lvlText w:val=""/>
      <w:lvlJc w:val="left"/>
      <w:pPr>
        <w:ind w:left="720" w:hanging="360"/>
      </w:pPr>
      <w:rPr>
        <w:rFonts w:ascii="Symbol" w:hAnsi="Symbol" w:hint="default"/>
      </w:rPr>
    </w:lvl>
    <w:lvl w:ilvl="1" w:tplc="0876E1C4">
      <w:start w:val="1"/>
      <w:numFmt w:val="bullet"/>
      <w:lvlText w:val="o"/>
      <w:lvlJc w:val="left"/>
      <w:pPr>
        <w:ind w:left="1440" w:hanging="360"/>
      </w:pPr>
      <w:rPr>
        <w:rFonts w:ascii="Courier New" w:hAnsi="Courier New" w:hint="default"/>
      </w:rPr>
    </w:lvl>
    <w:lvl w:ilvl="2" w:tplc="9E26823C">
      <w:start w:val="1"/>
      <w:numFmt w:val="bullet"/>
      <w:lvlText w:val=""/>
      <w:lvlJc w:val="left"/>
      <w:pPr>
        <w:ind w:left="2160" w:hanging="360"/>
      </w:pPr>
      <w:rPr>
        <w:rFonts w:ascii="Wingdings" w:hAnsi="Wingdings" w:hint="default"/>
      </w:rPr>
    </w:lvl>
    <w:lvl w:ilvl="3" w:tplc="B8924C74">
      <w:start w:val="1"/>
      <w:numFmt w:val="bullet"/>
      <w:lvlText w:val=""/>
      <w:lvlJc w:val="left"/>
      <w:pPr>
        <w:ind w:left="2880" w:hanging="360"/>
      </w:pPr>
      <w:rPr>
        <w:rFonts w:ascii="Symbol" w:hAnsi="Symbol" w:hint="default"/>
      </w:rPr>
    </w:lvl>
    <w:lvl w:ilvl="4" w:tplc="86BEBAA0">
      <w:start w:val="1"/>
      <w:numFmt w:val="bullet"/>
      <w:lvlText w:val="o"/>
      <w:lvlJc w:val="left"/>
      <w:pPr>
        <w:ind w:left="3600" w:hanging="360"/>
      </w:pPr>
      <w:rPr>
        <w:rFonts w:ascii="Courier New" w:hAnsi="Courier New" w:hint="default"/>
      </w:rPr>
    </w:lvl>
    <w:lvl w:ilvl="5" w:tplc="2BA01E3C">
      <w:start w:val="1"/>
      <w:numFmt w:val="bullet"/>
      <w:lvlText w:val=""/>
      <w:lvlJc w:val="left"/>
      <w:pPr>
        <w:ind w:left="4320" w:hanging="360"/>
      </w:pPr>
      <w:rPr>
        <w:rFonts w:ascii="Wingdings" w:hAnsi="Wingdings" w:hint="default"/>
      </w:rPr>
    </w:lvl>
    <w:lvl w:ilvl="6" w:tplc="44AE431C">
      <w:start w:val="1"/>
      <w:numFmt w:val="bullet"/>
      <w:lvlText w:val=""/>
      <w:lvlJc w:val="left"/>
      <w:pPr>
        <w:ind w:left="5040" w:hanging="360"/>
      </w:pPr>
      <w:rPr>
        <w:rFonts w:ascii="Symbol" w:hAnsi="Symbol" w:hint="default"/>
      </w:rPr>
    </w:lvl>
    <w:lvl w:ilvl="7" w:tplc="DB746F1A">
      <w:start w:val="1"/>
      <w:numFmt w:val="bullet"/>
      <w:lvlText w:val="o"/>
      <w:lvlJc w:val="left"/>
      <w:pPr>
        <w:ind w:left="5760" w:hanging="360"/>
      </w:pPr>
      <w:rPr>
        <w:rFonts w:ascii="Courier New" w:hAnsi="Courier New" w:hint="default"/>
      </w:rPr>
    </w:lvl>
    <w:lvl w:ilvl="8" w:tplc="B7E675FE">
      <w:start w:val="1"/>
      <w:numFmt w:val="bullet"/>
      <w:lvlText w:val=""/>
      <w:lvlJc w:val="left"/>
      <w:pPr>
        <w:ind w:left="6480" w:hanging="360"/>
      </w:pPr>
      <w:rPr>
        <w:rFonts w:ascii="Wingdings" w:hAnsi="Wingdings" w:hint="default"/>
      </w:rPr>
    </w:lvl>
  </w:abstractNum>
  <w:abstractNum w:abstractNumId="1" w15:restartNumberingAfterBreak="0">
    <w:nsid w:val="0489D01C"/>
    <w:multiLevelType w:val="hybridMultilevel"/>
    <w:tmpl w:val="64EE5B8A"/>
    <w:lvl w:ilvl="0" w:tplc="224AD238">
      <w:start w:val="1"/>
      <w:numFmt w:val="bullet"/>
      <w:lvlText w:val=""/>
      <w:lvlJc w:val="left"/>
      <w:pPr>
        <w:ind w:left="720" w:hanging="360"/>
      </w:pPr>
      <w:rPr>
        <w:rFonts w:ascii="Symbol" w:hAnsi="Symbol" w:hint="default"/>
      </w:rPr>
    </w:lvl>
    <w:lvl w:ilvl="1" w:tplc="5ED6B6D6">
      <w:start w:val="1"/>
      <w:numFmt w:val="bullet"/>
      <w:lvlText w:val="o"/>
      <w:lvlJc w:val="left"/>
      <w:pPr>
        <w:ind w:left="1440" w:hanging="360"/>
      </w:pPr>
      <w:rPr>
        <w:rFonts w:ascii="Courier New" w:hAnsi="Courier New" w:hint="default"/>
      </w:rPr>
    </w:lvl>
    <w:lvl w:ilvl="2" w:tplc="AB2099F0">
      <w:start w:val="1"/>
      <w:numFmt w:val="bullet"/>
      <w:lvlText w:val=""/>
      <w:lvlJc w:val="left"/>
      <w:pPr>
        <w:ind w:left="2160" w:hanging="360"/>
      </w:pPr>
      <w:rPr>
        <w:rFonts w:ascii="Wingdings" w:hAnsi="Wingdings" w:hint="default"/>
      </w:rPr>
    </w:lvl>
    <w:lvl w:ilvl="3" w:tplc="06288A6E">
      <w:start w:val="1"/>
      <w:numFmt w:val="bullet"/>
      <w:lvlText w:val=""/>
      <w:lvlJc w:val="left"/>
      <w:pPr>
        <w:ind w:left="2880" w:hanging="360"/>
      </w:pPr>
      <w:rPr>
        <w:rFonts w:ascii="Symbol" w:hAnsi="Symbol" w:hint="default"/>
      </w:rPr>
    </w:lvl>
    <w:lvl w:ilvl="4" w:tplc="16E6EFDC">
      <w:start w:val="1"/>
      <w:numFmt w:val="bullet"/>
      <w:lvlText w:val="o"/>
      <w:lvlJc w:val="left"/>
      <w:pPr>
        <w:ind w:left="3600" w:hanging="360"/>
      </w:pPr>
      <w:rPr>
        <w:rFonts w:ascii="Courier New" w:hAnsi="Courier New" w:hint="default"/>
      </w:rPr>
    </w:lvl>
    <w:lvl w:ilvl="5" w:tplc="930CA40E">
      <w:start w:val="1"/>
      <w:numFmt w:val="bullet"/>
      <w:lvlText w:val=""/>
      <w:lvlJc w:val="left"/>
      <w:pPr>
        <w:ind w:left="4320" w:hanging="360"/>
      </w:pPr>
      <w:rPr>
        <w:rFonts w:ascii="Wingdings" w:hAnsi="Wingdings" w:hint="default"/>
      </w:rPr>
    </w:lvl>
    <w:lvl w:ilvl="6" w:tplc="40846822">
      <w:start w:val="1"/>
      <w:numFmt w:val="bullet"/>
      <w:lvlText w:val=""/>
      <w:lvlJc w:val="left"/>
      <w:pPr>
        <w:ind w:left="5040" w:hanging="360"/>
      </w:pPr>
      <w:rPr>
        <w:rFonts w:ascii="Symbol" w:hAnsi="Symbol" w:hint="default"/>
      </w:rPr>
    </w:lvl>
    <w:lvl w:ilvl="7" w:tplc="40BCFE84">
      <w:start w:val="1"/>
      <w:numFmt w:val="bullet"/>
      <w:lvlText w:val="o"/>
      <w:lvlJc w:val="left"/>
      <w:pPr>
        <w:ind w:left="5760" w:hanging="360"/>
      </w:pPr>
      <w:rPr>
        <w:rFonts w:ascii="Courier New" w:hAnsi="Courier New" w:hint="default"/>
      </w:rPr>
    </w:lvl>
    <w:lvl w:ilvl="8" w:tplc="D05AC8BC">
      <w:start w:val="1"/>
      <w:numFmt w:val="bullet"/>
      <w:lvlText w:val=""/>
      <w:lvlJc w:val="left"/>
      <w:pPr>
        <w:ind w:left="6480" w:hanging="360"/>
      </w:pPr>
      <w:rPr>
        <w:rFonts w:ascii="Wingdings" w:hAnsi="Wingdings" w:hint="default"/>
      </w:rPr>
    </w:lvl>
  </w:abstractNum>
  <w:abstractNum w:abstractNumId="2" w15:restartNumberingAfterBreak="0">
    <w:nsid w:val="05833CB9"/>
    <w:multiLevelType w:val="hybridMultilevel"/>
    <w:tmpl w:val="C5C6C3B6"/>
    <w:lvl w:ilvl="0" w:tplc="98101402">
      <w:start w:val="1"/>
      <w:numFmt w:val="bullet"/>
      <w:lvlText w:val=""/>
      <w:lvlJc w:val="left"/>
      <w:pPr>
        <w:ind w:left="720" w:hanging="360"/>
      </w:pPr>
      <w:rPr>
        <w:rFonts w:ascii="Symbol" w:hAnsi="Symbol" w:hint="default"/>
      </w:rPr>
    </w:lvl>
    <w:lvl w:ilvl="1" w:tplc="0FBAC4B0">
      <w:start w:val="1"/>
      <w:numFmt w:val="bullet"/>
      <w:lvlText w:val="o"/>
      <w:lvlJc w:val="left"/>
      <w:pPr>
        <w:ind w:left="1440" w:hanging="360"/>
      </w:pPr>
      <w:rPr>
        <w:rFonts w:ascii="Courier New" w:hAnsi="Courier New" w:hint="default"/>
      </w:rPr>
    </w:lvl>
    <w:lvl w:ilvl="2" w:tplc="16CA9956">
      <w:start w:val="1"/>
      <w:numFmt w:val="bullet"/>
      <w:lvlText w:val=""/>
      <w:lvlJc w:val="left"/>
      <w:pPr>
        <w:ind w:left="2160" w:hanging="360"/>
      </w:pPr>
      <w:rPr>
        <w:rFonts w:ascii="Wingdings" w:hAnsi="Wingdings" w:hint="default"/>
      </w:rPr>
    </w:lvl>
    <w:lvl w:ilvl="3" w:tplc="1EFC0B74">
      <w:start w:val="1"/>
      <w:numFmt w:val="bullet"/>
      <w:lvlText w:val=""/>
      <w:lvlJc w:val="left"/>
      <w:pPr>
        <w:ind w:left="2880" w:hanging="360"/>
      </w:pPr>
      <w:rPr>
        <w:rFonts w:ascii="Symbol" w:hAnsi="Symbol" w:hint="default"/>
      </w:rPr>
    </w:lvl>
    <w:lvl w:ilvl="4" w:tplc="CF02F550">
      <w:start w:val="1"/>
      <w:numFmt w:val="bullet"/>
      <w:lvlText w:val="o"/>
      <w:lvlJc w:val="left"/>
      <w:pPr>
        <w:ind w:left="3600" w:hanging="360"/>
      </w:pPr>
      <w:rPr>
        <w:rFonts w:ascii="Courier New" w:hAnsi="Courier New" w:hint="default"/>
      </w:rPr>
    </w:lvl>
    <w:lvl w:ilvl="5" w:tplc="965E0AC0">
      <w:start w:val="1"/>
      <w:numFmt w:val="bullet"/>
      <w:lvlText w:val=""/>
      <w:lvlJc w:val="left"/>
      <w:pPr>
        <w:ind w:left="4320" w:hanging="360"/>
      </w:pPr>
      <w:rPr>
        <w:rFonts w:ascii="Wingdings" w:hAnsi="Wingdings" w:hint="default"/>
      </w:rPr>
    </w:lvl>
    <w:lvl w:ilvl="6" w:tplc="BC9C5DCA">
      <w:start w:val="1"/>
      <w:numFmt w:val="bullet"/>
      <w:lvlText w:val=""/>
      <w:lvlJc w:val="left"/>
      <w:pPr>
        <w:ind w:left="5040" w:hanging="360"/>
      </w:pPr>
      <w:rPr>
        <w:rFonts w:ascii="Symbol" w:hAnsi="Symbol" w:hint="default"/>
      </w:rPr>
    </w:lvl>
    <w:lvl w:ilvl="7" w:tplc="7C402CAC">
      <w:start w:val="1"/>
      <w:numFmt w:val="bullet"/>
      <w:lvlText w:val="o"/>
      <w:lvlJc w:val="left"/>
      <w:pPr>
        <w:ind w:left="5760" w:hanging="360"/>
      </w:pPr>
      <w:rPr>
        <w:rFonts w:ascii="Courier New" w:hAnsi="Courier New" w:hint="default"/>
      </w:rPr>
    </w:lvl>
    <w:lvl w:ilvl="8" w:tplc="1BCA9D66">
      <w:start w:val="1"/>
      <w:numFmt w:val="bullet"/>
      <w:lvlText w:val=""/>
      <w:lvlJc w:val="left"/>
      <w:pPr>
        <w:ind w:left="6480" w:hanging="360"/>
      </w:pPr>
      <w:rPr>
        <w:rFonts w:ascii="Wingdings" w:hAnsi="Wingdings" w:hint="default"/>
      </w:rPr>
    </w:lvl>
  </w:abstractNum>
  <w:abstractNum w:abstractNumId="3" w15:restartNumberingAfterBreak="0">
    <w:nsid w:val="0BDD5C3E"/>
    <w:multiLevelType w:val="hybridMultilevel"/>
    <w:tmpl w:val="A552CA7C"/>
    <w:lvl w:ilvl="0" w:tplc="6B4EF7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159CD"/>
    <w:multiLevelType w:val="hybridMultilevel"/>
    <w:tmpl w:val="8F74F698"/>
    <w:lvl w:ilvl="0" w:tplc="F1EC914C">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B358E"/>
    <w:multiLevelType w:val="hybridMultilevel"/>
    <w:tmpl w:val="8B828412"/>
    <w:lvl w:ilvl="0" w:tplc="6B4EF7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E27A5"/>
    <w:multiLevelType w:val="hybridMultilevel"/>
    <w:tmpl w:val="6E3EBBE6"/>
    <w:lvl w:ilvl="0" w:tplc="0C9C14D4">
      <w:start w:val="1"/>
      <w:numFmt w:val="bullet"/>
      <w:lvlText w:val=""/>
      <w:lvlJc w:val="left"/>
      <w:pPr>
        <w:ind w:left="720" w:hanging="360"/>
      </w:pPr>
      <w:rPr>
        <w:rFonts w:ascii="Symbol" w:hAnsi="Symbol" w:hint="default"/>
      </w:rPr>
    </w:lvl>
    <w:lvl w:ilvl="1" w:tplc="757EFAC2">
      <w:start w:val="1"/>
      <w:numFmt w:val="bullet"/>
      <w:lvlText w:val="o"/>
      <w:lvlJc w:val="left"/>
      <w:pPr>
        <w:ind w:left="1440" w:hanging="360"/>
      </w:pPr>
      <w:rPr>
        <w:rFonts w:ascii="Courier New" w:hAnsi="Courier New" w:hint="default"/>
      </w:rPr>
    </w:lvl>
    <w:lvl w:ilvl="2" w:tplc="95F8D4F2">
      <w:start w:val="1"/>
      <w:numFmt w:val="bullet"/>
      <w:lvlText w:val=""/>
      <w:lvlJc w:val="left"/>
      <w:pPr>
        <w:ind w:left="2160" w:hanging="360"/>
      </w:pPr>
      <w:rPr>
        <w:rFonts w:ascii="Wingdings" w:hAnsi="Wingdings" w:hint="default"/>
      </w:rPr>
    </w:lvl>
    <w:lvl w:ilvl="3" w:tplc="DCA8DA4A">
      <w:start w:val="1"/>
      <w:numFmt w:val="bullet"/>
      <w:lvlText w:val=""/>
      <w:lvlJc w:val="left"/>
      <w:pPr>
        <w:ind w:left="2880" w:hanging="360"/>
      </w:pPr>
      <w:rPr>
        <w:rFonts w:ascii="Symbol" w:hAnsi="Symbol" w:hint="default"/>
      </w:rPr>
    </w:lvl>
    <w:lvl w:ilvl="4" w:tplc="EA64A8E8">
      <w:start w:val="1"/>
      <w:numFmt w:val="bullet"/>
      <w:lvlText w:val="o"/>
      <w:lvlJc w:val="left"/>
      <w:pPr>
        <w:ind w:left="3600" w:hanging="360"/>
      </w:pPr>
      <w:rPr>
        <w:rFonts w:ascii="Courier New" w:hAnsi="Courier New" w:hint="default"/>
      </w:rPr>
    </w:lvl>
    <w:lvl w:ilvl="5" w:tplc="62FCF95A">
      <w:start w:val="1"/>
      <w:numFmt w:val="bullet"/>
      <w:lvlText w:val=""/>
      <w:lvlJc w:val="left"/>
      <w:pPr>
        <w:ind w:left="4320" w:hanging="360"/>
      </w:pPr>
      <w:rPr>
        <w:rFonts w:ascii="Wingdings" w:hAnsi="Wingdings" w:hint="default"/>
      </w:rPr>
    </w:lvl>
    <w:lvl w:ilvl="6" w:tplc="A5D21DA6">
      <w:start w:val="1"/>
      <w:numFmt w:val="bullet"/>
      <w:lvlText w:val=""/>
      <w:lvlJc w:val="left"/>
      <w:pPr>
        <w:ind w:left="5040" w:hanging="360"/>
      </w:pPr>
      <w:rPr>
        <w:rFonts w:ascii="Symbol" w:hAnsi="Symbol" w:hint="default"/>
      </w:rPr>
    </w:lvl>
    <w:lvl w:ilvl="7" w:tplc="D85CC5DE">
      <w:start w:val="1"/>
      <w:numFmt w:val="bullet"/>
      <w:lvlText w:val="o"/>
      <w:lvlJc w:val="left"/>
      <w:pPr>
        <w:ind w:left="5760" w:hanging="360"/>
      </w:pPr>
      <w:rPr>
        <w:rFonts w:ascii="Courier New" w:hAnsi="Courier New" w:hint="default"/>
      </w:rPr>
    </w:lvl>
    <w:lvl w:ilvl="8" w:tplc="7C7C2766">
      <w:start w:val="1"/>
      <w:numFmt w:val="bullet"/>
      <w:lvlText w:val=""/>
      <w:lvlJc w:val="left"/>
      <w:pPr>
        <w:ind w:left="6480" w:hanging="360"/>
      </w:pPr>
      <w:rPr>
        <w:rFonts w:ascii="Wingdings" w:hAnsi="Wingdings" w:hint="default"/>
      </w:rPr>
    </w:lvl>
  </w:abstractNum>
  <w:abstractNum w:abstractNumId="7" w15:restartNumberingAfterBreak="0">
    <w:nsid w:val="4CEE7CC8"/>
    <w:multiLevelType w:val="hybridMultilevel"/>
    <w:tmpl w:val="D1740426"/>
    <w:lvl w:ilvl="0" w:tplc="6B4EF7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B237F"/>
    <w:multiLevelType w:val="hybridMultilevel"/>
    <w:tmpl w:val="357EA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B6C2C"/>
    <w:multiLevelType w:val="hybridMultilevel"/>
    <w:tmpl w:val="F95261F2"/>
    <w:lvl w:ilvl="0" w:tplc="EB7A2B3C">
      <w:start w:val="1"/>
      <w:numFmt w:val="bullet"/>
      <w:lvlText w:val=""/>
      <w:lvlJc w:val="left"/>
      <w:pPr>
        <w:ind w:left="720" w:hanging="360"/>
      </w:pPr>
      <w:rPr>
        <w:rFonts w:ascii="Symbol" w:hAnsi="Symbol" w:hint="default"/>
      </w:rPr>
    </w:lvl>
    <w:lvl w:ilvl="1" w:tplc="23BEA01C">
      <w:start w:val="1"/>
      <w:numFmt w:val="bullet"/>
      <w:lvlText w:val="o"/>
      <w:lvlJc w:val="left"/>
      <w:pPr>
        <w:ind w:left="1440" w:hanging="360"/>
      </w:pPr>
      <w:rPr>
        <w:rFonts w:ascii="Courier New" w:hAnsi="Courier New" w:hint="default"/>
      </w:rPr>
    </w:lvl>
    <w:lvl w:ilvl="2" w:tplc="BEA69D14">
      <w:start w:val="1"/>
      <w:numFmt w:val="bullet"/>
      <w:lvlText w:val=""/>
      <w:lvlJc w:val="left"/>
      <w:pPr>
        <w:ind w:left="2160" w:hanging="360"/>
      </w:pPr>
      <w:rPr>
        <w:rFonts w:ascii="Wingdings" w:hAnsi="Wingdings" w:hint="default"/>
      </w:rPr>
    </w:lvl>
    <w:lvl w:ilvl="3" w:tplc="B492D61C">
      <w:start w:val="1"/>
      <w:numFmt w:val="bullet"/>
      <w:lvlText w:val=""/>
      <w:lvlJc w:val="left"/>
      <w:pPr>
        <w:ind w:left="2880" w:hanging="360"/>
      </w:pPr>
      <w:rPr>
        <w:rFonts w:ascii="Symbol" w:hAnsi="Symbol" w:hint="default"/>
      </w:rPr>
    </w:lvl>
    <w:lvl w:ilvl="4" w:tplc="AD146BA4">
      <w:start w:val="1"/>
      <w:numFmt w:val="bullet"/>
      <w:lvlText w:val="o"/>
      <w:lvlJc w:val="left"/>
      <w:pPr>
        <w:ind w:left="3600" w:hanging="360"/>
      </w:pPr>
      <w:rPr>
        <w:rFonts w:ascii="Courier New" w:hAnsi="Courier New" w:hint="default"/>
      </w:rPr>
    </w:lvl>
    <w:lvl w:ilvl="5" w:tplc="DF94D79E">
      <w:start w:val="1"/>
      <w:numFmt w:val="bullet"/>
      <w:lvlText w:val=""/>
      <w:lvlJc w:val="left"/>
      <w:pPr>
        <w:ind w:left="4320" w:hanging="360"/>
      </w:pPr>
      <w:rPr>
        <w:rFonts w:ascii="Wingdings" w:hAnsi="Wingdings" w:hint="default"/>
      </w:rPr>
    </w:lvl>
    <w:lvl w:ilvl="6" w:tplc="4230B040">
      <w:start w:val="1"/>
      <w:numFmt w:val="bullet"/>
      <w:lvlText w:val=""/>
      <w:lvlJc w:val="left"/>
      <w:pPr>
        <w:ind w:left="5040" w:hanging="360"/>
      </w:pPr>
      <w:rPr>
        <w:rFonts w:ascii="Symbol" w:hAnsi="Symbol" w:hint="default"/>
      </w:rPr>
    </w:lvl>
    <w:lvl w:ilvl="7" w:tplc="FC2E0A4A">
      <w:start w:val="1"/>
      <w:numFmt w:val="bullet"/>
      <w:lvlText w:val="o"/>
      <w:lvlJc w:val="left"/>
      <w:pPr>
        <w:ind w:left="5760" w:hanging="360"/>
      </w:pPr>
      <w:rPr>
        <w:rFonts w:ascii="Courier New" w:hAnsi="Courier New" w:hint="default"/>
      </w:rPr>
    </w:lvl>
    <w:lvl w:ilvl="8" w:tplc="F27C367C">
      <w:start w:val="1"/>
      <w:numFmt w:val="bullet"/>
      <w:lvlText w:val=""/>
      <w:lvlJc w:val="left"/>
      <w:pPr>
        <w:ind w:left="6480" w:hanging="360"/>
      </w:pPr>
      <w:rPr>
        <w:rFonts w:ascii="Wingdings" w:hAnsi="Wingdings" w:hint="default"/>
      </w:rPr>
    </w:lvl>
  </w:abstractNum>
  <w:abstractNum w:abstractNumId="10" w15:restartNumberingAfterBreak="0">
    <w:nsid w:val="594E243D"/>
    <w:multiLevelType w:val="hybridMultilevel"/>
    <w:tmpl w:val="D7C2DD14"/>
    <w:lvl w:ilvl="0" w:tplc="D1DA45A8">
      <w:start w:val="1"/>
      <w:numFmt w:val="bullet"/>
      <w:lvlText w:val=""/>
      <w:lvlJc w:val="left"/>
      <w:pPr>
        <w:ind w:left="720" w:hanging="360"/>
      </w:pPr>
      <w:rPr>
        <w:rFonts w:ascii="Symbol" w:hAnsi="Symbol" w:hint="default"/>
      </w:rPr>
    </w:lvl>
    <w:lvl w:ilvl="1" w:tplc="BC664FEC">
      <w:start w:val="1"/>
      <w:numFmt w:val="bullet"/>
      <w:lvlText w:val="o"/>
      <w:lvlJc w:val="left"/>
      <w:pPr>
        <w:ind w:left="1440" w:hanging="360"/>
      </w:pPr>
      <w:rPr>
        <w:rFonts w:ascii="Courier New" w:hAnsi="Courier New" w:hint="default"/>
      </w:rPr>
    </w:lvl>
    <w:lvl w:ilvl="2" w:tplc="AA24AED6">
      <w:start w:val="1"/>
      <w:numFmt w:val="bullet"/>
      <w:lvlText w:val=""/>
      <w:lvlJc w:val="left"/>
      <w:pPr>
        <w:ind w:left="2160" w:hanging="360"/>
      </w:pPr>
      <w:rPr>
        <w:rFonts w:ascii="Wingdings" w:hAnsi="Wingdings" w:hint="default"/>
      </w:rPr>
    </w:lvl>
    <w:lvl w:ilvl="3" w:tplc="F2C8A8EA">
      <w:start w:val="1"/>
      <w:numFmt w:val="bullet"/>
      <w:lvlText w:val=""/>
      <w:lvlJc w:val="left"/>
      <w:pPr>
        <w:ind w:left="2880" w:hanging="360"/>
      </w:pPr>
      <w:rPr>
        <w:rFonts w:ascii="Symbol" w:hAnsi="Symbol" w:hint="default"/>
      </w:rPr>
    </w:lvl>
    <w:lvl w:ilvl="4" w:tplc="B29C9208">
      <w:start w:val="1"/>
      <w:numFmt w:val="bullet"/>
      <w:lvlText w:val="o"/>
      <w:lvlJc w:val="left"/>
      <w:pPr>
        <w:ind w:left="3600" w:hanging="360"/>
      </w:pPr>
      <w:rPr>
        <w:rFonts w:ascii="Courier New" w:hAnsi="Courier New" w:hint="default"/>
      </w:rPr>
    </w:lvl>
    <w:lvl w:ilvl="5" w:tplc="AD32E1C4">
      <w:start w:val="1"/>
      <w:numFmt w:val="bullet"/>
      <w:lvlText w:val=""/>
      <w:lvlJc w:val="left"/>
      <w:pPr>
        <w:ind w:left="4320" w:hanging="360"/>
      </w:pPr>
      <w:rPr>
        <w:rFonts w:ascii="Wingdings" w:hAnsi="Wingdings" w:hint="default"/>
      </w:rPr>
    </w:lvl>
    <w:lvl w:ilvl="6" w:tplc="C548F3E8">
      <w:start w:val="1"/>
      <w:numFmt w:val="bullet"/>
      <w:lvlText w:val=""/>
      <w:lvlJc w:val="left"/>
      <w:pPr>
        <w:ind w:left="5040" w:hanging="360"/>
      </w:pPr>
      <w:rPr>
        <w:rFonts w:ascii="Symbol" w:hAnsi="Symbol" w:hint="default"/>
      </w:rPr>
    </w:lvl>
    <w:lvl w:ilvl="7" w:tplc="C1902796">
      <w:start w:val="1"/>
      <w:numFmt w:val="bullet"/>
      <w:lvlText w:val="o"/>
      <w:lvlJc w:val="left"/>
      <w:pPr>
        <w:ind w:left="5760" w:hanging="360"/>
      </w:pPr>
      <w:rPr>
        <w:rFonts w:ascii="Courier New" w:hAnsi="Courier New" w:hint="default"/>
      </w:rPr>
    </w:lvl>
    <w:lvl w:ilvl="8" w:tplc="0CA09A5C">
      <w:start w:val="1"/>
      <w:numFmt w:val="bullet"/>
      <w:lvlText w:val=""/>
      <w:lvlJc w:val="left"/>
      <w:pPr>
        <w:ind w:left="6480" w:hanging="360"/>
      </w:pPr>
      <w:rPr>
        <w:rFonts w:ascii="Wingdings" w:hAnsi="Wingdings" w:hint="default"/>
      </w:rPr>
    </w:lvl>
  </w:abstractNum>
  <w:abstractNum w:abstractNumId="11" w15:restartNumberingAfterBreak="0">
    <w:nsid w:val="5C017512"/>
    <w:multiLevelType w:val="hybridMultilevel"/>
    <w:tmpl w:val="F014EB0E"/>
    <w:lvl w:ilvl="0" w:tplc="2B863B3C">
      <w:start w:val="1"/>
      <w:numFmt w:val="upperRoman"/>
      <w:lvlText w:val="%1."/>
      <w:lvlJc w:val="left"/>
      <w:pPr>
        <w:ind w:left="720" w:hanging="360"/>
      </w:pPr>
    </w:lvl>
    <w:lvl w:ilvl="1" w:tplc="D3D42B0C">
      <w:start w:val="1"/>
      <w:numFmt w:val="lowerLetter"/>
      <w:lvlText w:val="%2."/>
      <w:lvlJc w:val="left"/>
      <w:pPr>
        <w:ind w:left="1440" w:hanging="360"/>
      </w:pPr>
    </w:lvl>
    <w:lvl w:ilvl="2" w:tplc="DAE87CFA">
      <w:start w:val="1"/>
      <w:numFmt w:val="lowerRoman"/>
      <w:lvlText w:val="%3."/>
      <w:lvlJc w:val="right"/>
      <w:pPr>
        <w:ind w:left="2160" w:hanging="180"/>
      </w:pPr>
    </w:lvl>
    <w:lvl w:ilvl="3" w:tplc="26B8D26E">
      <w:start w:val="1"/>
      <w:numFmt w:val="decimal"/>
      <w:lvlText w:val="%4."/>
      <w:lvlJc w:val="left"/>
      <w:pPr>
        <w:ind w:left="2880" w:hanging="360"/>
      </w:pPr>
    </w:lvl>
    <w:lvl w:ilvl="4" w:tplc="799A99FC">
      <w:start w:val="1"/>
      <w:numFmt w:val="lowerLetter"/>
      <w:lvlText w:val="%5."/>
      <w:lvlJc w:val="left"/>
      <w:pPr>
        <w:ind w:left="3600" w:hanging="360"/>
      </w:pPr>
    </w:lvl>
    <w:lvl w:ilvl="5" w:tplc="CBE494E4">
      <w:start w:val="1"/>
      <w:numFmt w:val="lowerRoman"/>
      <w:lvlText w:val="%6."/>
      <w:lvlJc w:val="right"/>
      <w:pPr>
        <w:ind w:left="4320" w:hanging="180"/>
      </w:pPr>
    </w:lvl>
    <w:lvl w:ilvl="6" w:tplc="6A50F29E">
      <w:start w:val="1"/>
      <w:numFmt w:val="decimal"/>
      <w:lvlText w:val="%7."/>
      <w:lvlJc w:val="left"/>
      <w:pPr>
        <w:ind w:left="5040" w:hanging="360"/>
      </w:pPr>
    </w:lvl>
    <w:lvl w:ilvl="7" w:tplc="3A205618">
      <w:start w:val="1"/>
      <w:numFmt w:val="lowerLetter"/>
      <w:lvlText w:val="%8."/>
      <w:lvlJc w:val="left"/>
      <w:pPr>
        <w:ind w:left="5760" w:hanging="360"/>
      </w:pPr>
    </w:lvl>
    <w:lvl w:ilvl="8" w:tplc="2A125A8E">
      <w:start w:val="1"/>
      <w:numFmt w:val="lowerRoman"/>
      <w:lvlText w:val="%9."/>
      <w:lvlJc w:val="right"/>
      <w:pPr>
        <w:ind w:left="6480" w:hanging="180"/>
      </w:pPr>
    </w:lvl>
  </w:abstractNum>
  <w:abstractNum w:abstractNumId="12" w15:restartNumberingAfterBreak="0">
    <w:nsid w:val="7407F96B"/>
    <w:multiLevelType w:val="hybridMultilevel"/>
    <w:tmpl w:val="CC4C3F7C"/>
    <w:lvl w:ilvl="0" w:tplc="CDE8C776">
      <w:start w:val="1"/>
      <w:numFmt w:val="bullet"/>
      <w:lvlText w:val=""/>
      <w:lvlJc w:val="left"/>
      <w:pPr>
        <w:ind w:left="720" w:hanging="360"/>
      </w:pPr>
      <w:rPr>
        <w:rFonts w:ascii="Symbol" w:hAnsi="Symbol" w:hint="default"/>
      </w:rPr>
    </w:lvl>
    <w:lvl w:ilvl="1" w:tplc="6D607A76">
      <w:start w:val="1"/>
      <w:numFmt w:val="bullet"/>
      <w:lvlText w:val="o"/>
      <w:lvlJc w:val="left"/>
      <w:pPr>
        <w:ind w:left="1440" w:hanging="360"/>
      </w:pPr>
      <w:rPr>
        <w:rFonts w:ascii="Courier New" w:hAnsi="Courier New" w:hint="default"/>
      </w:rPr>
    </w:lvl>
    <w:lvl w:ilvl="2" w:tplc="6986D4BC">
      <w:start w:val="1"/>
      <w:numFmt w:val="bullet"/>
      <w:lvlText w:val=""/>
      <w:lvlJc w:val="left"/>
      <w:pPr>
        <w:ind w:left="2160" w:hanging="360"/>
      </w:pPr>
      <w:rPr>
        <w:rFonts w:ascii="Wingdings" w:hAnsi="Wingdings" w:hint="default"/>
      </w:rPr>
    </w:lvl>
    <w:lvl w:ilvl="3" w:tplc="C09E21D6">
      <w:start w:val="1"/>
      <w:numFmt w:val="bullet"/>
      <w:lvlText w:val=""/>
      <w:lvlJc w:val="left"/>
      <w:pPr>
        <w:ind w:left="2880" w:hanging="360"/>
      </w:pPr>
      <w:rPr>
        <w:rFonts w:ascii="Symbol" w:hAnsi="Symbol" w:hint="default"/>
      </w:rPr>
    </w:lvl>
    <w:lvl w:ilvl="4" w:tplc="696E17DA">
      <w:start w:val="1"/>
      <w:numFmt w:val="bullet"/>
      <w:lvlText w:val="o"/>
      <w:lvlJc w:val="left"/>
      <w:pPr>
        <w:ind w:left="3600" w:hanging="360"/>
      </w:pPr>
      <w:rPr>
        <w:rFonts w:ascii="Courier New" w:hAnsi="Courier New" w:hint="default"/>
      </w:rPr>
    </w:lvl>
    <w:lvl w:ilvl="5" w:tplc="67F80A94">
      <w:start w:val="1"/>
      <w:numFmt w:val="bullet"/>
      <w:lvlText w:val=""/>
      <w:lvlJc w:val="left"/>
      <w:pPr>
        <w:ind w:left="4320" w:hanging="360"/>
      </w:pPr>
      <w:rPr>
        <w:rFonts w:ascii="Wingdings" w:hAnsi="Wingdings" w:hint="default"/>
      </w:rPr>
    </w:lvl>
    <w:lvl w:ilvl="6" w:tplc="48DA4160">
      <w:start w:val="1"/>
      <w:numFmt w:val="bullet"/>
      <w:lvlText w:val=""/>
      <w:lvlJc w:val="left"/>
      <w:pPr>
        <w:ind w:left="5040" w:hanging="360"/>
      </w:pPr>
      <w:rPr>
        <w:rFonts w:ascii="Symbol" w:hAnsi="Symbol" w:hint="default"/>
      </w:rPr>
    </w:lvl>
    <w:lvl w:ilvl="7" w:tplc="5600C66A">
      <w:start w:val="1"/>
      <w:numFmt w:val="bullet"/>
      <w:lvlText w:val="o"/>
      <w:lvlJc w:val="left"/>
      <w:pPr>
        <w:ind w:left="5760" w:hanging="360"/>
      </w:pPr>
      <w:rPr>
        <w:rFonts w:ascii="Courier New" w:hAnsi="Courier New" w:hint="default"/>
      </w:rPr>
    </w:lvl>
    <w:lvl w:ilvl="8" w:tplc="727EDFCA">
      <w:start w:val="1"/>
      <w:numFmt w:val="bullet"/>
      <w:lvlText w:val=""/>
      <w:lvlJc w:val="left"/>
      <w:pPr>
        <w:ind w:left="6480" w:hanging="360"/>
      </w:pPr>
      <w:rPr>
        <w:rFonts w:ascii="Wingdings" w:hAnsi="Wingdings" w:hint="default"/>
      </w:rPr>
    </w:lvl>
  </w:abstractNum>
  <w:abstractNum w:abstractNumId="13" w15:restartNumberingAfterBreak="0">
    <w:nsid w:val="7B2D6E56"/>
    <w:multiLevelType w:val="hybridMultilevel"/>
    <w:tmpl w:val="01266FE8"/>
    <w:lvl w:ilvl="0" w:tplc="9334A484">
      <w:start w:val="1"/>
      <w:numFmt w:val="bullet"/>
      <w:lvlText w:val=""/>
      <w:lvlJc w:val="left"/>
      <w:pPr>
        <w:ind w:left="720" w:hanging="360"/>
      </w:pPr>
      <w:rPr>
        <w:rFonts w:ascii="Symbol" w:hAnsi="Symbol" w:hint="default"/>
      </w:rPr>
    </w:lvl>
    <w:lvl w:ilvl="1" w:tplc="D16A5DF8">
      <w:start w:val="1"/>
      <w:numFmt w:val="bullet"/>
      <w:lvlText w:val="o"/>
      <w:lvlJc w:val="left"/>
      <w:pPr>
        <w:ind w:left="1440" w:hanging="360"/>
      </w:pPr>
      <w:rPr>
        <w:rFonts w:ascii="Courier New" w:hAnsi="Courier New" w:hint="default"/>
      </w:rPr>
    </w:lvl>
    <w:lvl w:ilvl="2" w:tplc="5D3884DA">
      <w:start w:val="1"/>
      <w:numFmt w:val="bullet"/>
      <w:lvlText w:val=""/>
      <w:lvlJc w:val="left"/>
      <w:pPr>
        <w:ind w:left="2160" w:hanging="360"/>
      </w:pPr>
      <w:rPr>
        <w:rFonts w:ascii="Wingdings" w:hAnsi="Wingdings" w:hint="default"/>
      </w:rPr>
    </w:lvl>
    <w:lvl w:ilvl="3" w:tplc="286AF7D6">
      <w:start w:val="1"/>
      <w:numFmt w:val="bullet"/>
      <w:lvlText w:val=""/>
      <w:lvlJc w:val="left"/>
      <w:pPr>
        <w:ind w:left="2880" w:hanging="360"/>
      </w:pPr>
      <w:rPr>
        <w:rFonts w:ascii="Symbol" w:hAnsi="Symbol" w:hint="default"/>
      </w:rPr>
    </w:lvl>
    <w:lvl w:ilvl="4" w:tplc="5BF2A574">
      <w:start w:val="1"/>
      <w:numFmt w:val="bullet"/>
      <w:lvlText w:val="o"/>
      <w:lvlJc w:val="left"/>
      <w:pPr>
        <w:ind w:left="3600" w:hanging="360"/>
      </w:pPr>
      <w:rPr>
        <w:rFonts w:ascii="Courier New" w:hAnsi="Courier New" w:hint="default"/>
      </w:rPr>
    </w:lvl>
    <w:lvl w:ilvl="5" w:tplc="DF52D3B4">
      <w:start w:val="1"/>
      <w:numFmt w:val="bullet"/>
      <w:lvlText w:val=""/>
      <w:lvlJc w:val="left"/>
      <w:pPr>
        <w:ind w:left="4320" w:hanging="360"/>
      </w:pPr>
      <w:rPr>
        <w:rFonts w:ascii="Wingdings" w:hAnsi="Wingdings" w:hint="default"/>
      </w:rPr>
    </w:lvl>
    <w:lvl w:ilvl="6" w:tplc="42288E30">
      <w:start w:val="1"/>
      <w:numFmt w:val="bullet"/>
      <w:lvlText w:val=""/>
      <w:lvlJc w:val="left"/>
      <w:pPr>
        <w:ind w:left="5040" w:hanging="360"/>
      </w:pPr>
      <w:rPr>
        <w:rFonts w:ascii="Symbol" w:hAnsi="Symbol" w:hint="default"/>
      </w:rPr>
    </w:lvl>
    <w:lvl w:ilvl="7" w:tplc="38C07AC0">
      <w:start w:val="1"/>
      <w:numFmt w:val="bullet"/>
      <w:lvlText w:val="o"/>
      <w:lvlJc w:val="left"/>
      <w:pPr>
        <w:ind w:left="5760" w:hanging="360"/>
      </w:pPr>
      <w:rPr>
        <w:rFonts w:ascii="Courier New" w:hAnsi="Courier New" w:hint="default"/>
      </w:rPr>
    </w:lvl>
    <w:lvl w:ilvl="8" w:tplc="BABAF8D4">
      <w:start w:val="1"/>
      <w:numFmt w:val="bullet"/>
      <w:lvlText w:val=""/>
      <w:lvlJc w:val="left"/>
      <w:pPr>
        <w:ind w:left="6480" w:hanging="360"/>
      </w:pPr>
      <w:rPr>
        <w:rFonts w:ascii="Wingdings" w:hAnsi="Wingdings" w:hint="default"/>
      </w:rPr>
    </w:lvl>
  </w:abstractNum>
  <w:num w:numId="1" w16cid:durableId="24672255">
    <w:abstractNumId w:val="9"/>
  </w:num>
  <w:num w:numId="2" w16cid:durableId="687680815">
    <w:abstractNumId w:val="2"/>
  </w:num>
  <w:num w:numId="3" w16cid:durableId="902253509">
    <w:abstractNumId w:val="10"/>
  </w:num>
  <w:num w:numId="4" w16cid:durableId="378894865">
    <w:abstractNumId w:val="0"/>
  </w:num>
  <w:num w:numId="5" w16cid:durableId="823281604">
    <w:abstractNumId w:val="13"/>
  </w:num>
  <w:num w:numId="6" w16cid:durableId="264774313">
    <w:abstractNumId w:val="1"/>
  </w:num>
  <w:num w:numId="7" w16cid:durableId="1734229162">
    <w:abstractNumId w:val="6"/>
  </w:num>
  <w:num w:numId="8" w16cid:durableId="1966890909">
    <w:abstractNumId w:val="12"/>
  </w:num>
  <w:num w:numId="9" w16cid:durableId="291718477">
    <w:abstractNumId w:val="11"/>
  </w:num>
  <w:num w:numId="10" w16cid:durableId="705102476">
    <w:abstractNumId w:val="3"/>
  </w:num>
  <w:num w:numId="11" w16cid:durableId="1889298709">
    <w:abstractNumId w:val="7"/>
  </w:num>
  <w:num w:numId="12" w16cid:durableId="746416612">
    <w:abstractNumId w:val="8"/>
  </w:num>
  <w:num w:numId="13" w16cid:durableId="1205471">
    <w:abstractNumId w:val="5"/>
  </w:num>
  <w:num w:numId="14" w16cid:durableId="1924413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DCEE4C"/>
    <w:rsid w:val="0005343F"/>
    <w:rsid w:val="00092015"/>
    <w:rsid w:val="000B32B1"/>
    <w:rsid w:val="000B4E77"/>
    <w:rsid w:val="000C0E8C"/>
    <w:rsid w:val="0010211F"/>
    <w:rsid w:val="00106DCE"/>
    <w:rsid w:val="00112861"/>
    <w:rsid w:val="00137649"/>
    <w:rsid w:val="00144693"/>
    <w:rsid w:val="001548D3"/>
    <w:rsid w:val="001C3419"/>
    <w:rsid w:val="002126FB"/>
    <w:rsid w:val="0025305A"/>
    <w:rsid w:val="002533E5"/>
    <w:rsid w:val="00256FE4"/>
    <w:rsid w:val="0026581D"/>
    <w:rsid w:val="00271C37"/>
    <w:rsid w:val="002B03D0"/>
    <w:rsid w:val="002C1454"/>
    <w:rsid w:val="002E3DE7"/>
    <w:rsid w:val="002F07C3"/>
    <w:rsid w:val="002F2EF5"/>
    <w:rsid w:val="00311409"/>
    <w:rsid w:val="003247E0"/>
    <w:rsid w:val="003258EC"/>
    <w:rsid w:val="00332215"/>
    <w:rsid w:val="003337B8"/>
    <w:rsid w:val="00352352"/>
    <w:rsid w:val="00353DA0"/>
    <w:rsid w:val="003565B0"/>
    <w:rsid w:val="00356B8F"/>
    <w:rsid w:val="0036785D"/>
    <w:rsid w:val="003B4300"/>
    <w:rsid w:val="003D3767"/>
    <w:rsid w:val="003E0595"/>
    <w:rsid w:val="003E5511"/>
    <w:rsid w:val="00437293"/>
    <w:rsid w:val="00445195"/>
    <w:rsid w:val="0049084C"/>
    <w:rsid w:val="00491BD1"/>
    <w:rsid w:val="004A7BCA"/>
    <w:rsid w:val="004D6DD9"/>
    <w:rsid w:val="004F0157"/>
    <w:rsid w:val="004FA0BA"/>
    <w:rsid w:val="00531803"/>
    <w:rsid w:val="005F7CB8"/>
    <w:rsid w:val="006A9016"/>
    <w:rsid w:val="006B3EFD"/>
    <w:rsid w:val="006D50B0"/>
    <w:rsid w:val="006D79D5"/>
    <w:rsid w:val="007404DE"/>
    <w:rsid w:val="00745481"/>
    <w:rsid w:val="00747D5D"/>
    <w:rsid w:val="00767294"/>
    <w:rsid w:val="007B2F27"/>
    <w:rsid w:val="007B410C"/>
    <w:rsid w:val="007C6259"/>
    <w:rsid w:val="008806FC"/>
    <w:rsid w:val="00894012"/>
    <w:rsid w:val="008B1840"/>
    <w:rsid w:val="008DF7FB"/>
    <w:rsid w:val="008F1274"/>
    <w:rsid w:val="00926CE6"/>
    <w:rsid w:val="00947FB9"/>
    <w:rsid w:val="00962B70"/>
    <w:rsid w:val="009729A5"/>
    <w:rsid w:val="009B51DF"/>
    <w:rsid w:val="009B54EC"/>
    <w:rsid w:val="009C213E"/>
    <w:rsid w:val="009F5539"/>
    <w:rsid w:val="00A13170"/>
    <w:rsid w:val="00A161CD"/>
    <w:rsid w:val="00A64E75"/>
    <w:rsid w:val="00A65555"/>
    <w:rsid w:val="00A71CAA"/>
    <w:rsid w:val="00A84962"/>
    <w:rsid w:val="00AB41AC"/>
    <w:rsid w:val="00AD12A9"/>
    <w:rsid w:val="00AE4E07"/>
    <w:rsid w:val="00AFC3EC"/>
    <w:rsid w:val="00B0102F"/>
    <w:rsid w:val="00B10E1C"/>
    <w:rsid w:val="00B27DB2"/>
    <w:rsid w:val="00B36C20"/>
    <w:rsid w:val="00B6345C"/>
    <w:rsid w:val="00B827B1"/>
    <w:rsid w:val="00BA1A8B"/>
    <w:rsid w:val="00BF18F8"/>
    <w:rsid w:val="00C34F6A"/>
    <w:rsid w:val="00C65744"/>
    <w:rsid w:val="00C72317"/>
    <w:rsid w:val="00C966DB"/>
    <w:rsid w:val="00C97CFF"/>
    <w:rsid w:val="00CC40DD"/>
    <w:rsid w:val="00CD5C6C"/>
    <w:rsid w:val="00D43C79"/>
    <w:rsid w:val="00D617B1"/>
    <w:rsid w:val="00D67FAE"/>
    <w:rsid w:val="00D7569B"/>
    <w:rsid w:val="00DE5261"/>
    <w:rsid w:val="00E08DD2"/>
    <w:rsid w:val="00E71B83"/>
    <w:rsid w:val="00E804AD"/>
    <w:rsid w:val="00E8380A"/>
    <w:rsid w:val="00E83D7D"/>
    <w:rsid w:val="00E8611A"/>
    <w:rsid w:val="00E91ED4"/>
    <w:rsid w:val="00EA4070"/>
    <w:rsid w:val="00EC2BDC"/>
    <w:rsid w:val="00ED181D"/>
    <w:rsid w:val="00EF6ABE"/>
    <w:rsid w:val="00F07D6C"/>
    <w:rsid w:val="00F31359"/>
    <w:rsid w:val="00F31880"/>
    <w:rsid w:val="00F5175D"/>
    <w:rsid w:val="00F70F26"/>
    <w:rsid w:val="00F734E8"/>
    <w:rsid w:val="00F766DA"/>
    <w:rsid w:val="00F775C9"/>
    <w:rsid w:val="00F77F22"/>
    <w:rsid w:val="00FA246B"/>
    <w:rsid w:val="00FC023D"/>
    <w:rsid w:val="00FC4C2D"/>
    <w:rsid w:val="00FCE9B3"/>
    <w:rsid w:val="00FF6128"/>
    <w:rsid w:val="0108DA8E"/>
    <w:rsid w:val="0116E8DE"/>
    <w:rsid w:val="012A3B50"/>
    <w:rsid w:val="013B0B75"/>
    <w:rsid w:val="01467BB6"/>
    <w:rsid w:val="0151F50C"/>
    <w:rsid w:val="016476E7"/>
    <w:rsid w:val="018D1925"/>
    <w:rsid w:val="01B8047A"/>
    <w:rsid w:val="01EE54D5"/>
    <w:rsid w:val="01FCD23D"/>
    <w:rsid w:val="0201B7C0"/>
    <w:rsid w:val="0204E712"/>
    <w:rsid w:val="020ED662"/>
    <w:rsid w:val="0215D86C"/>
    <w:rsid w:val="0263AAE2"/>
    <w:rsid w:val="026AF86E"/>
    <w:rsid w:val="0270C0DA"/>
    <w:rsid w:val="027AADB0"/>
    <w:rsid w:val="027D05AB"/>
    <w:rsid w:val="0297475A"/>
    <w:rsid w:val="02A486F2"/>
    <w:rsid w:val="02B1D037"/>
    <w:rsid w:val="02B39E54"/>
    <w:rsid w:val="02B4D0DA"/>
    <w:rsid w:val="02CD1726"/>
    <w:rsid w:val="02E8C450"/>
    <w:rsid w:val="030125B3"/>
    <w:rsid w:val="0318F59F"/>
    <w:rsid w:val="03210221"/>
    <w:rsid w:val="0328E986"/>
    <w:rsid w:val="03467DFA"/>
    <w:rsid w:val="034BE755"/>
    <w:rsid w:val="036E191F"/>
    <w:rsid w:val="038F484F"/>
    <w:rsid w:val="0392416B"/>
    <w:rsid w:val="039D8821"/>
    <w:rsid w:val="03A0B773"/>
    <w:rsid w:val="03B6FFD7"/>
    <w:rsid w:val="03DA8A03"/>
    <w:rsid w:val="03EFED29"/>
    <w:rsid w:val="03F5392B"/>
    <w:rsid w:val="04062266"/>
    <w:rsid w:val="0421B74D"/>
    <w:rsid w:val="044089C1"/>
    <w:rsid w:val="0450A13B"/>
    <w:rsid w:val="04741B60"/>
    <w:rsid w:val="049C17A9"/>
    <w:rsid w:val="04C941BF"/>
    <w:rsid w:val="04D051B6"/>
    <w:rsid w:val="04D6997A"/>
    <w:rsid w:val="04E35DDC"/>
    <w:rsid w:val="050CE903"/>
    <w:rsid w:val="05251316"/>
    <w:rsid w:val="05572996"/>
    <w:rsid w:val="057D81A8"/>
    <w:rsid w:val="0583FC9A"/>
    <w:rsid w:val="05A8619C"/>
    <w:rsid w:val="05DC5A22"/>
    <w:rsid w:val="05E447A8"/>
    <w:rsid w:val="05F2487A"/>
    <w:rsid w:val="06194AD8"/>
    <w:rsid w:val="061A662D"/>
    <w:rsid w:val="0620C9B9"/>
    <w:rsid w:val="062C00F4"/>
    <w:rsid w:val="06351AEB"/>
    <w:rsid w:val="06509661"/>
    <w:rsid w:val="06A27F15"/>
    <w:rsid w:val="06A5DB46"/>
    <w:rsid w:val="06B57654"/>
    <w:rsid w:val="06D85835"/>
    <w:rsid w:val="0700F90F"/>
    <w:rsid w:val="07020222"/>
    <w:rsid w:val="0731A788"/>
    <w:rsid w:val="0758B952"/>
    <w:rsid w:val="075C52BD"/>
    <w:rsid w:val="07661033"/>
    <w:rsid w:val="07684DE7"/>
    <w:rsid w:val="077078D6"/>
    <w:rsid w:val="077834F8"/>
    <w:rsid w:val="077C8233"/>
    <w:rsid w:val="07969B1C"/>
    <w:rsid w:val="07B23A7F"/>
    <w:rsid w:val="07D0EB4C"/>
    <w:rsid w:val="07D33E65"/>
    <w:rsid w:val="07D50F53"/>
    <w:rsid w:val="07D8F43D"/>
    <w:rsid w:val="080C07CA"/>
    <w:rsid w:val="0819EF1D"/>
    <w:rsid w:val="081ED441"/>
    <w:rsid w:val="0833FC37"/>
    <w:rsid w:val="083880D5"/>
    <w:rsid w:val="083C705E"/>
    <w:rsid w:val="085C0A82"/>
    <w:rsid w:val="087CAB1D"/>
    <w:rsid w:val="089A3552"/>
    <w:rsid w:val="08A561A8"/>
    <w:rsid w:val="08AA2C7D"/>
    <w:rsid w:val="08B72FD4"/>
    <w:rsid w:val="08D814D8"/>
    <w:rsid w:val="08EA7857"/>
    <w:rsid w:val="08F489B3"/>
    <w:rsid w:val="0901E094"/>
    <w:rsid w:val="090C5353"/>
    <w:rsid w:val="091313C2"/>
    <w:rsid w:val="0913FAE4"/>
    <w:rsid w:val="0929E93C"/>
    <w:rsid w:val="09582F86"/>
    <w:rsid w:val="0974C49E"/>
    <w:rsid w:val="097E6CF9"/>
    <w:rsid w:val="09959C2E"/>
    <w:rsid w:val="09A2FA42"/>
    <w:rsid w:val="09BA9CF4"/>
    <w:rsid w:val="09DF45BE"/>
    <w:rsid w:val="09F5A387"/>
    <w:rsid w:val="0A147C8C"/>
    <w:rsid w:val="0A2E86A5"/>
    <w:rsid w:val="0A313480"/>
    <w:rsid w:val="0A5A59C7"/>
    <w:rsid w:val="0A916708"/>
    <w:rsid w:val="0AD40E08"/>
    <w:rsid w:val="0AE3C51E"/>
    <w:rsid w:val="0B451331"/>
    <w:rsid w:val="0B4E7FCF"/>
    <w:rsid w:val="0B593C00"/>
    <w:rsid w:val="0B597D65"/>
    <w:rsid w:val="0B5A9234"/>
    <w:rsid w:val="0B6F512F"/>
    <w:rsid w:val="0B8406DC"/>
    <w:rsid w:val="0B84F863"/>
    <w:rsid w:val="0B8A7006"/>
    <w:rsid w:val="0B925361"/>
    <w:rsid w:val="0B9BEA0A"/>
    <w:rsid w:val="0B9D8552"/>
    <w:rsid w:val="0BABC958"/>
    <w:rsid w:val="0BDCEC9B"/>
    <w:rsid w:val="0C057F82"/>
    <w:rsid w:val="0C079D47"/>
    <w:rsid w:val="0C25F7F6"/>
    <w:rsid w:val="0C28467F"/>
    <w:rsid w:val="0C3BBF0A"/>
    <w:rsid w:val="0C4ABC2D"/>
    <w:rsid w:val="0C61E24B"/>
    <w:rsid w:val="0C6EC33A"/>
    <w:rsid w:val="0CC1B237"/>
    <w:rsid w:val="0CE86CB5"/>
    <w:rsid w:val="0D0F6B08"/>
    <w:rsid w:val="0D17CF7B"/>
    <w:rsid w:val="0D362A95"/>
    <w:rsid w:val="0D37975E"/>
    <w:rsid w:val="0D37BA6B"/>
    <w:rsid w:val="0D49131E"/>
    <w:rsid w:val="0D8A6C03"/>
    <w:rsid w:val="0DA5ACD1"/>
    <w:rsid w:val="0DE14A71"/>
    <w:rsid w:val="0E1376F7"/>
    <w:rsid w:val="0E171777"/>
    <w:rsid w:val="0E20D90E"/>
    <w:rsid w:val="0E2461D2"/>
    <w:rsid w:val="0E31D669"/>
    <w:rsid w:val="0E3D73E7"/>
    <w:rsid w:val="0E483551"/>
    <w:rsid w:val="0E5BCDDA"/>
    <w:rsid w:val="0E816D3C"/>
    <w:rsid w:val="0E8930A1"/>
    <w:rsid w:val="0E8E0E17"/>
    <w:rsid w:val="0EB9D6B4"/>
    <w:rsid w:val="0EC099DC"/>
    <w:rsid w:val="0ED367BF"/>
    <w:rsid w:val="0EDA0B9D"/>
    <w:rsid w:val="0EDB2EFA"/>
    <w:rsid w:val="0EE0B825"/>
    <w:rsid w:val="0EE4E37F"/>
    <w:rsid w:val="0EF898A5"/>
    <w:rsid w:val="0F0C44DB"/>
    <w:rsid w:val="0F1393E2"/>
    <w:rsid w:val="0F263C64"/>
    <w:rsid w:val="0F37B729"/>
    <w:rsid w:val="0F4F1C2F"/>
    <w:rsid w:val="0F5C71E4"/>
    <w:rsid w:val="0F5FE741"/>
    <w:rsid w:val="0F7409EF"/>
    <w:rsid w:val="0F79E021"/>
    <w:rsid w:val="0F7B4D52"/>
    <w:rsid w:val="0FBCA96F"/>
    <w:rsid w:val="10084C60"/>
    <w:rsid w:val="100F3908"/>
    <w:rsid w:val="1021F0F2"/>
    <w:rsid w:val="103257E3"/>
    <w:rsid w:val="104ACD7B"/>
    <w:rsid w:val="10569D0E"/>
    <w:rsid w:val="10747F48"/>
    <w:rsid w:val="10770378"/>
    <w:rsid w:val="1079A719"/>
    <w:rsid w:val="1099DC3D"/>
    <w:rsid w:val="10AEF9FA"/>
    <w:rsid w:val="10B158B0"/>
    <w:rsid w:val="10D3878A"/>
    <w:rsid w:val="10D9FE4F"/>
    <w:rsid w:val="10F24307"/>
    <w:rsid w:val="110D1817"/>
    <w:rsid w:val="1126FA4F"/>
    <w:rsid w:val="11534872"/>
    <w:rsid w:val="115EF995"/>
    <w:rsid w:val="11886117"/>
    <w:rsid w:val="11A4A4E5"/>
    <w:rsid w:val="11A6AC90"/>
    <w:rsid w:val="11B0AB5B"/>
    <w:rsid w:val="11C02F4E"/>
    <w:rsid w:val="11C143C0"/>
    <w:rsid w:val="11C2ED9C"/>
    <w:rsid w:val="11C5C2BB"/>
    <w:rsid w:val="11C8E627"/>
    <w:rsid w:val="1211AC5F"/>
    <w:rsid w:val="12253EB5"/>
    <w:rsid w:val="122DF40C"/>
    <w:rsid w:val="1235AC9E"/>
    <w:rsid w:val="12464797"/>
    <w:rsid w:val="124B34A4"/>
    <w:rsid w:val="124D1C26"/>
    <w:rsid w:val="12537B52"/>
    <w:rsid w:val="125A4F8D"/>
    <w:rsid w:val="12E166C8"/>
    <w:rsid w:val="12E9C8A0"/>
    <w:rsid w:val="12ECFFA0"/>
    <w:rsid w:val="12F5FC35"/>
    <w:rsid w:val="12F9C647"/>
    <w:rsid w:val="12FA33BD"/>
    <w:rsid w:val="13321D04"/>
    <w:rsid w:val="133437C9"/>
    <w:rsid w:val="13343E6F"/>
    <w:rsid w:val="133FED22"/>
    <w:rsid w:val="134C7BBC"/>
    <w:rsid w:val="1362DC69"/>
    <w:rsid w:val="13678E4D"/>
    <w:rsid w:val="13BAD15F"/>
    <w:rsid w:val="13F23E85"/>
    <w:rsid w:val="1406FDD5"/>
    <w:rsid w:val="141B4958"/>
    <w:rsid w:val="1429B591"/>
    <w:rsid w:val="14373C5A"/>
    <w:rsid w:val="1444933B"/>
    <w:rsid w:val="145706E7"/>
    <w:rsid w:val="145F6C9E"/>
    <w:rsid w:val="146A85E4"/>
    <w:rsid w:val="147CB0EE"/>
    <w:rsid w:val="148CC915"/>
    <w:rsid w:val="14A87595"/>
    <w:rsid w:val="14CC5A97"/>
    <w:rsid w:val="14E30F32"/>
    <w:rsid w:val="14E63ABF"/>
    <w:rsid w:val="14FD4F9B"/>
    <w:rsid w:val="15482E51"/>
    <w:rsid w:val="1561E031"/>
    <w:rsid w:val="15762382"/>
    <w:rsid w:val="15B4D700"/>
    <w:rsid w:val="15D7EA31"/>
    <w:rsid w:val="15F1128E"/>
    <w:rsid w:val="16029566"/>
    <w:rsid w:val="165E1D86"/>
    <w:rsid w:val="166BD88B"/>
    <w:rsid w:val="1673A6E2"/>
    <w:rsid w:val="167B71A9"/>
    <w:rsid w:val="168AB945"/>
    <w:rsid w:val="1699ABE1"/>
    <w:rsid w:val="16BBA83E"/>
    <w:rsid w:val="16C2EBB8"/>
    <w:rsid w:val="16F09B56"/>
    <w:rsid w:val="16F5A8D4"/>
    <w:rsid w:val="17077E97"/>
    <w:rsid w:val="170D29E0"/>
    <w:rsid w:val="1719B8BA"/>
    <w:rsid w:val="17262419"/>
    <w:rsid w:val="172CD372"/>
    <w:rsid w:val="17332C7A"/>
    <w:rsid w:val="1737EC0A"/>
    <w:rsid w:val="173E6157"/>
    <w:rsid w:val="17A49CEB"/>
    <w:rsid w:val="17AFF0B7"/>
    <w:rsid w:val="17B78E24"/>
    <w:rsid w:val="17DD8273"/>
    <w:rsid w:val="17FCC5B7"/>
    <w:rsid w:val="1800A255"/>
    <w:rsid w:val="18034B87"/>
    <w:rsid w:val="1807A8EC"/>
    <w:rsid w:val="1841C4D8"/>
    <w:rsid w:val="18529FEC"/>
    <w:rsid w:val="185C24EA"/>
    <w:rsid w:val="18821140"/>
    <w:rsid w:val="18854D31"/>
    <w:rsid w:val="188BC5C5"/>
    <w:rsid w:val="18A17F2C"/>
    <w:rsid w:val="18A34EF8"/>
    <w:rsid w:val="18EC77C2"/>
    <w:rsid w:val="18ECA28E"/>
    <w:rsid w:val="18FDD3C3"/>
    <w:rsid w:val="19015B2A"/>
    <w:rsid w:val="190AAD7D"/>
    <w:rsid w:val="193A3628"/>
    <w:rsid w:val="19505F04"/>
    <w:rsid w:val="1961B7A4"/>
    <w:rsid w:val="197E9B04"/>
    <w:rsid w:val="19B63C5A"/>
    <w:rsid w:val="19C745BC"/>
    <w:rsid w:val="19C82D19"/>
    <w:rsid w:val="1A0CA6CA"/>
    <w:rsid w:val="1A1AE343"/>
    <w:rsid w:val="1A2A4E6D"/>
    <w:rsid w:val="1A32E748"/>
    <w:rsid w:val="1A582E0B"/>
    <w:rsid w:val="1A6F2B59"/>
    <w:rsid w:val="1A9D2B8B"/>
    <w:rsid w:val="1AAE6B64"/>
    <w:rsid w:val="1ACDBE49"/>
    <w:rsid w:val="1AFFFF0B"/>
    <w:rsid w:val="1B0B9BAE"/>
    <w:rsid w:val="1B255D6F"/>
    <w:rsid w:val="1B2B6E89"/>
    <w:rsid w:val="1B39582E"/>
    <w:rsid w:val="1B438082"/>
    <w:rsid w:val="1B466F30"/>
    <w:rsid w:val="1B4FD191"/>
    <w:rsid w:val="1B52D662"/>
    <w:rsid w:val="1B6FA12F"/>
    <w:rsid w:val="1B9495FF"/>
    <w:rsid w:val="1BD659AE"/>
    <w:rsid w:val="1BF2259F"/>
    <w:rsid w:val="1BFC178D"/>
    <w:rsid w:val="1BFF4AC5"/>
    <w:rsid w:val="1C241884"/>
    <w:rsid w:val="1C452D38"/>
    <w:rsid w:val="1C61E93B"/>
    <w:rsid w:val="1C69ACF6"/>
    <w:rsid w:val="1C71D6EA"/>
    <w:rsid w:val="1C746FC0"/>
    <w:rsid w:val="1C76B88D"/>
    <w:rsid w:val="1C85F00A"/>
    <w:rsid w:val="1C9E011D"/>
    <w:rsid w:val="1CCC8419"/>
    <w:rsid w:val="1CD61D1E"/>
    <w:rsid w:val="1CDED351"/>
    <w:rsid w:val="1CE37BFD"/>
    <w:rsid w:val="1CE3A58C"/>
    <w:rsid w:val="1CE3FC7E"/>
    <w:rsid w:val="1CF156B1"/>
    <w:rsid w:val="1CF2C445"/>
    <w:rsid w:val="1D02014B"/>
    <w:rsid w:val="1D29C748"/>
    <w:rsid w:val="1D55A8AE"/>
    <w:rsid w:val="1D566DF8"/>
    <w:rsid w:val="1D766A02"/>
    <w:rsid w:val="1D7E814B"/>
    <w:rsid w:val="1D9EA4AC"/>
    <w:rsid w:val="1DB9B9A3"/>
    <w:rsid w:val="1DBFE8E5"/>
    <w:rsid w:val="1DE492CD"/>
    <w:rsid w:val="1DFBEF08"/>
    <w:rsid w:val="1E379FCD"/>
    <w:rsid w:val="1E3D969F"/>
    <w:rsid w:val="1E3FC9C1"/>
    <w:rsid w:val="1E729DD5"/>
    <w:rsid w:val="1E833767"/>
    <w:rsid w:val="1E8D2D4F"/>
    <w:rsid w:val="1E8DB4ED"/>
    <w:rsid w:val="1E9C445B"/>
    <w:rsid w:val="1EA735EE"/>
    <w:rsid w:val="1EA741F1"/>
    <w:rsid w:val="1EC61017"/>
    <w:rsid w:val="1EDE81CB"/>
    <w:rsid w:val="1EF6EB36"/>
    <w:rsid w:val="1F3BAD7C"/>
    <w:rsid w:val="1F3C25A7"/>
    <w:rsid w:val="1F429C7C"/>
    <w:rsid w:val="1F5B2057"/>
    <w:rsid w:val="1F81DC87"/>
    <w:rsid w:val="1F845152"/>
    <w:rsid w:val="1F9C7042"/>
    <w:rsid w:val="1FC4BD9D"/>
    <w:rsid w:val="1FF01252"/>
    <w:rsid w:val="205CEE88"/>
    <w:rsid w:val="206FE72B"/>
    <w:rsid w:val="20731B4F"/>
    <w:rsid w:val="207A522C"/>
    <w:rsid w:val="209BDEBC"/>
    <w:rsid w:val="20A5411D"/>
    <w:rsid w:val="20BEE8C7"/>
    <w:rsid w:val="20DB4FD7"/>
    <w:rsid w:val="20DCE23D"/>
    <w:rsid w:val="20DE6CDD"/>
    <w:rsid w:val="20DEEB2F"/>
    <w:rsid w:val="20E165B0"/>
    <w:rsid w:val="20F15A65"/>
    <w:rsid w:val="2101380D"/>
    <w:rsid w:val="21196B5D"/>
    <w:rsid w:val="216F408F"/>
    <w:rsid w:val="217AA254"/>
    <w:rsid w:val="2199A2C8"/>
    <w:rsid w:val="219FDAFD"/>
    <w:rsid w:val="21D0A2CA"/>
    <w:rsid w:val="21F57A22"/>
    <w:rsid w:val="22772038"/>
    <w:rsid w:val="229653BD"/>
    <w:rsid w:val="22A3696F"/>
    <w:rsid w:val="22A50601"/>
    <w:rsid w:val="22CF5113"/>
    <w:rsid w:val="22FD3A5E"/>
    <w:rsid w:val="2314EF3E"/>
    <w:rsid w:val="2318DB46"/>
    <w:rsid w:val="2327B314"/>
    <w:rsid w:val="23CCB58A"/>
    <w:rsid w:val="23EA4153"/>
    <w:rsid w:val="23EB176C"/>
    <w:rsid w:val="24010F20"/>
    <w:rsid w:val="2404A688"/>
    <w:rsid w:val="241993CA"/>
    <w:rsid w:val="2442C5D1"/>
    <w:rsid w:val="24523D9A"/>
    <w:rsid w:val="245AB705"/>
    <w:rsid w:val="246CD856"/>
    <w:rsid w:val="2471C07D"/>
    <w:rsid w:val="24759B40"/>
    <w:rsid w:val="2476E664"/>
    <w:rsid w:val="2487AAC0"/>
    <w:rsid w:val="249058ED"/>
    <w:rsid w:val="24A00615"/>
    <w:rsid w:val="24A91302"/>
    <w:rsid w:val="24B8AD25"/>
    <w:rsid w:val="24E05E75"/>
    <w:rsid w:val="24EA6BE7"/>
    <w:rsid w:val="25168375"/>
    <w:rsid w:val="25383193"/>
    <w:rsid w:val="25519B98"/>
    <w:rsid w:val="25965F3F"/>
    <w:rsid w:val="25AF68DA"/>
    <w:rsid w:val="25B30B85"/>
    <w:rsid w:val="25C698C2"/>
    <w:rsid w:val="25F11E0B"/>
    <w:rsid w:val="2600718D"/>
    <w:rsid w:val="2606F1D5"/>
    <w:rsid w:val="260A17C9"/>
    <w:rsid w:val="26145610"/>
    <w:rsid w:val="2618B930"/>
    <w:rsid w:val="2628D0AA"/>
    <w:rsid w:val="262B5401"/>
    <w:rsid w:val="262E38E9"/>
    <w:rsid w:val="26494C08"/>
    <w:rsid w:val="2657992D"/>
    <w:rsid w:val="26685D90"/>
    <w:rsid w:val="266D13EB"/>
    <w:rsid w:val="267C2ED6"/>
    <w:rsid w:val="26977898"/>
    <w:rsid w:val="26991F76"/>
    <w:rsid w:val="26B168E0"/>
    <w:rsid w:val="26CEAD9D"/>
    <w:rsid w:val="26DCEE4C"/>
    <w:rsid w:val="26E50029"/>
    <w:rsid w:val="272301A4"/>
    <w:rsid w:val="274192F6"/>
    <w:rsid w:val="275CCC41"/>
    <w:rsid w:val="277EA1B7"/>
    <w:rsid w:val="278C93ED"/>
    <w:rsid w:val="279038E2"/>
    <w:rsid w:val="27C45469"/>
    <w:rsid w:val="27C4A10B"/>
    <w:rsid w:val="2808E44C"/>
    <w:rsid w:val="2817F794"/>
    <w:rsid w:val="2817FF37"/>
    <w:rsid w:val="283EEC36"/>
    <w:rsid w:val="285A8E1E"/>
    <w:rsid w:val="2886FA33"/>
    <w:rsid w:val="28924566"/>
    <w:rsid w:val="28985B55"/>
    <w:rsid w:val="28C16048"/>
    <w:rsid w:val="290ABCD7"/>
    <w:rsid w:val="29219CE9"/>
    <w:rsid w:val="2928E60B"/>
    <w:rsid w:val="2946C006"/>
    <w:rsid w:val="294D783A"/>
    <w:rsid w:val="295059F2"/>
    <w:rsid w:val="2964BD3B"/>
    <w:rsid w:val="29654FC4"/>
    <w:rsid w:val="297736C8"/>
    <w:rsid w:val="29975748"/>
    <w:rsid w:val="29A4B4AD"/>
    <w:rsid w:val="29AC1014"/>
    <w:rsid w:val="29B3C7F5"/>
    <w:rsid w:val="29D6EB46"/>
    <w:rsid w:val="29E850E1"/>
    <w:rsid w:val="2A0C859A"/>
    <w:rsid w:val="2A11C651"/>
    <w:rsid w:val="2A3A6552"/>
    <w:rsid w:val="2A440323"/>
    <w:rsid w:val="2A4C8C10"/>
    <w:rsid w:val="2A9B3A94"/>
    <w:rsid w:val="2AA465C2"/>
    <w:rsid w:val="2AAC30E7"/>
    <w:rsid w:val="2AB0627F"/>
    <w:rsid w:val="2AB796D2"/>
    <w:rsid w:val="2ABE9774"/>
    <w:rsid w:val="2AC13A9B"/>
    <w:rsid w:val="2AC9F889"/>
    <w:rsid w:val="2ACD9FA7"/>
    <w:rsid w:val="2AD67181"/>
    <w:rsid w:val="2AED602C"/>
    <w:rsid w:val="2AF19B1A"/>
    <w:rsid w:val="2AF45447"/>
    <w:rsid w:val="2AFA8372"/>
    <w:rsid w:val="2AFD652A"/>
    <w:rsid w:val="2B00C4C6"/>
    <w:rsid w:val="2B040D09"/>
    <w:rsid w:val="2B0BB5F4"/>
    <w:rsid w:val="2B22A2E7"/>
    <w:rsid w:val="2B487294"/>
    <w:rsid w:val="2B5F1A30"/>
    <w:rsid w:val="2B6A7519"/>
    <w:rsid w:val="2B84DA03"/>
    <w:rsid w:val="2B939B67"/>
    <w:rsid w:val="2B97BF3B"/>
    <w:rsid w:val="2BA855FB"/>
    <w:rsid w:val="2BAEBE59"/>
    <w:rsid w:val="2BB706CB"/>
    <w:rsid w:val="2BDB911D"/>
    <w:rsid w:val="2BF69A3B"/>
    <w:rsid w:val="2C076EC2"/>
    <w:rsid w:val="2C17CD89"/>
    <w:rsid w:val="2C1AF2D8"/>
    <w:rsid w:val="2C40C18F"/>
    <w:rsid w:val="2C6EE05A"/>
    <w:rsid w:val="2C749461"/>
    <w:rsid w:val="2C75BD06"/>
    <w:rsid w:val="2C7D3F5C"/>
    <w:rsid w:val="2C9024A8"/>
    <w:rsid w:val="2C98122E"/>
    <w:rsid w:val="2C9FFEDC"/>
    <w:rsid w:val="2CA342DB"/>
    <w:rsid w:val="2CA62E34"/>
    <w:rsid w:val="2CAD6055"/>
    <w:rsid w:val="2CB424E7"/>
    <w:rsid w:val="2CBA9908"/>
    <w:rsid w:val="2CBAC69B"/>
    <w:rsid w:val="2CBFFD80"/>
    <w:rsid w:val="2CD3C165"/>
    <w:rsid w:val="2CD9DF77"/>
    <w:rsid w:val="2CE2D54A"/>
    <w:rsid w:val="2CE442F5"/>
    <w:rsid w:val="2CF9C7EA"/>
    <w:rsid w:val="2D0C2DC9"/>
    <w:rsid w:val="2D0FB64B"/>
    <w:rsid w:val="2D116F52"/>
    <w:rsid w:val="2D119036"/>
    <w:rsid w:val="2D14D6E4"/>
    <w:rsid w:val="2D26FEB5"/>
    <w:rsid w:val="2D7AF4D5"/>
    <w:rsid w:val="2D94FF51"/>
    <w:rsid w:val="2D9C2950"/>
    <w:rsid w:val="2DC4E4B7"/>
    <w:rsid w:val="2DD02292"/>
    <w:rsid w:val="2DDE9B7C"/>
    <w:rsid w:val="2DDF8066"/>
    <w:rsid w:val="2DEE3898"/>
    <w:rsid w:val="2DFF629B"/>
    <w:rsid w:val="2E101267"/>
    <w:rsid w:val="2E130A23"/>
    <w:rsid w:val="2E2F6451"/>
    <w:rsid w:val="2E4F6434"/>
    <w:rsid w:val="2E929CF9"/>
    <w:rsid w:val="2EAA98A1"/>
    <w:rsid w:val="2EB9F296"/>
    <w:rsid w:val="2ECBAAC3"/>
    <w:rsid w:val="2ED00F2F"/>
    <w:rsid w:val="2EE5EB0A"/>
    <w:rsid w:val="2F2A83E6"/>
    <w:rsid w:val="2F38E863"/>
    <w:rsid w:val="2F69210D"/>
    <w:rsid w:val="2F81E9A0"/>
    <w:rsid w:val="2F980051"/>
    <w:rsid w:val="2F9BFCAF"/>
    <w:rsid w:val="2FA489FC"/>
    <w:rsid w:val="2FBCB9BE"/>
    <w:rsid w:val="2FC3ACE7"/>
    <w:rsid w:val="2FCFB2F0"/>
    <w:rsid w:val="2FD23488"/>
    <w:rsid w:val="2FDFEB86"/>
    <w:rsid w:val="2FF3B32F"/>
    <w:rsid w:val="2FF9C250"/>
    <w:rsid w:val="2FFEB8D0"/>
    <w:rsid w:val="302FE7B7"/>
    <w:rsid w:val="3055C2F7"/>
    <w:rsid w:val="30805801"/>
    <w:rsid w:val="30824288"/>
    <w:rsid w:val="3095CE16"/>
    <w:rsid w:val="309848EC"/>
    <w:rsid w:val="30AB0631"/>
    <w:rsid w:val="30CC722D"/>
    <w:rsid w:val="30DB5D42"/>
    <w:rsid w:val="31140125"/>
    <w:rsid w:val="311A4DD6"/>
    <w:rsid w:val="312011B0"/>
    <w:rsid w:val="3120E181"/>
    <w:rsid w:val="313AAFDF"/>
    <w:rsid w:val="313B2E3E"/>
    <w:rsid w:val="314D7EAF"/>
    <w:rsid w:val="315B8D3C"/>
    <w:rsid w:val="31670C4C"/>
    <w:rsid w:val="316772A9"/>
    <w:rsid w:val="316C33E9"/>
    <w:rsid w:val="319F5FED"/>
    <w:rsid w:val="31ADC535"/>
    <w:rsid w:val="31B8C110"/>
    <w:rsid w:val="31BAB684"/>
    <w:rsid w:val="31D10B7D"/>
    <w:rsid w:val="31FAC8AB"/>
    <w:rsid w:val="3209AB81"/>
    <w:rsid w:val="3219EF3B"/>
    <w:rsid w:val="3221B94D"/>
    <w:rsid w:val="3246D692"/>
    <w:rsid w:val="32587B68"/>
    <w:rsid w:val="325C0A7D"/>
    <w:rsid w:val="32687074"/>
    <w:rsid w:val="326ED127"/>
    <w:rsid w:val="3288BBDB"/>
    <w:rsid w:val="3288F05B"/>
    <w:rsid w:val="3289AD24"/>
    <w:rsid w:val="329F4992"/>
    <w:rsid w:val="32B538F3"/>
    <w:rsid w:val="32C2EE30"/>
    <w:rsid w:val="33215F0E"/>
    <w:rsid w:val="3329DA8C"/>
    <w:rsid w:val="33344091"/>
    <w:rsid w:val="333DABA8"/>
    <w:rsid w:val="333E8DBD"/>
    <w:rsid w:val="33538479"/>
    <w:rsid w:val="336D0A07"/>
    <w:rsid w:val="3370C632"/>
    <w:rsid w:val="3376C38B"/>
    <w:rsid w:val="339B6FD9"/>
    <w:rsid w:val="339D761B"/>
    <w:rsid w:val="339E6A2D"/>
    <w:rsid w:val="33A748F9"/>
    <w:rsid w:val="33D6C3B1"/>
    <w:rsid w:val="3424C0BC"/>
    <w:rsid w:val="34253AC2"/>
    <w:rsid w:val="344E5399"/>
    <w:rsid w:val="34536325"/>
    <w:rsid w:val="345A6BE1"/>
    <w:rsid w:val="345CD1C0"/>
    <w:rsid w:val="346EF6AD"/>
    <w:rsid w:val="348A1B0B"/>
    <w:rsid w:val="348E86C6"/>
    <w:rsid w:val="34930C99"/>
    <w:rsid w:val="34A368A0"/>
    <w:rsid w:val="34B1A714"/>
    <w:rsid w:val="34B5A892"/>
    <w:rsid w:val="34B94ACC"/>
    <w:rsid w:val="34C6F7FC"/>
    <w:rsid w:val="34EAA64A"/>
    <w:rsid w:val="350732E9"/>
    <w:rsid w:val="352A8444"/>
    <w:rsid w:val="358C8AA3"/>
    <w:rsid w:val="35901C2A"/>
    <w:rsid w:val="35997490"/>
    <w:rsid w:val="359FC9A5"/>
    <w:rsid w:val="35BAF0D1"/>
    <w:rsid w:val="35D7929C"/>
    <w:rsid w:val="36065E34"/>
    <w:rsid w:val="363217D9"/>
    <w:rsid w:val="36352482"/>
    <w:rsid w:val="364D7775"/>
    <w:rsid w:val="36729060"/>
    <w:rsid w:val="36763656"/>
    <w:rsid w:val="36841429"/>
    <w:rsid w:val="36981F34"/>
    <w:rsid w:val="37128F74"/>
    <w:rsid w:val="3722D811"/>
    <w:rsid w:val="3723BD55"/>
    <w:rsid w:val="372C176E"/>
    <w:rsid w:val="3749A59A"/>
    <w:rsid w:val="3756C132"/>
    <w:rsid w:val="375C617E"/>
    <w:rsid w:val="378A64EB"/>
    <w:rsid w:val="3792EC2E"/>
    <w:rsid w:val="37A87B91"/>
    <w:rsid w:val="37B6A71A"/>
    <w:rsid w:val="37C79482"/>
    <w:rsid w:val="37DC0E7D"/>
    <w:rsid w:val="37E79D48"/>
    <w:rsid w:val="37E865B9"/>
    <w:rsid w:val="3802B98F"/>
    <w:rsid w:val="3809CAB5"/>
    <w:rsid w:val="38364552"/>
    <w:rsid w:val="384A39F0"/>
    <w:rsid w:val="3888F356"/>
    <w:rsid w:val="388D4161"/>
    <w:rsid w:val="38A547F1"/>
    <w:rsid w:val="38B994D8"/>
    <w:rsid w:val="38D72EA1"/>
    <w:rsid w:val="38D76A67"/>
    <w:rsid w:val="38F711F0"/>
    <w:rsid w:val="38F831DF"/>
    <w:rsid w:val="3903A7E1"/>
    <w:rsid w:val="394EA1AC"/>
    <w:rsid w:val="39762D09"/>
    <w:rsid w:val="3977DEDE"/>
    <w:rsid w:val="397B7364"/>
    <w:rsid w:val="397CA3D4"/>
    <w:rsid w:val="3984CA83"/>
    <w:rsid w:val="39A24212"/>
    <w:rsid w:val="39C2BCDE"/>
    <w:rsid w:val="39CB980C"/>
    <w:rsid w:val="39E6050F"/>
    <w:rsid w:val="39F7E738"/>
    <w:rsid w:val="3A18EF35"/>
    <w:rsid w:val="3A197D2D"/>
    <w:rsid w:val="3A24C3B7"/>
    <w:rsid w:val="3A29BBE5"/>
    <w:rsid w:val="3A44FD83"/>
    <w:rsid w:val="3A68C7F5"/>
    <w:rsid w:val="3A7541EC"/>
    <w:rsid w:val="3A7CBA7A"/>
    <w:rsid w:val="3A7CDCA8"/>
    <w:rsid w:val="3A9C34DE"/>
    <w:rsid w:val="3AAE9B6A"/>
    <w:rsid w:val="3ADF4BEB"/>
    <w:rsid w:val="3AE5EAF4"/>
    <w:rsid w:val="3AED69E9"/>
    <w:rsid w:val="3B019902"/>
    <w:rsid w:val="3B0A7811"/>
    <w:rsid w:val="3B13931F"/>
    <w:rsid w:val="3B610578"/>
    <w:rsid w:val="3B6EFE4D"/>
    <w:rsid w:val="3B7BD8D2"/>
    <w:rsid w:val="3B85C676"/>
    <w:rsid w:val="3B92E3E8"/>
    <w:rsid w:val="3B9C7F4B"/>
    <w:rsid w:val="3B9F9732"/>
    <w:rsid w:val="3BB10C03"/>
    <w:rsid w:val="3BC58C46"/>
    <w:rsid w:val="3BC82CB8"/>
    <w:rsid w:val="3C06D922"/>
    <w:rsid w:val="3C0C316E"/>
    <w:rsid w:val="3C0F0B29"/>
    <w:rsid w:val="3C1DE108"/>
    <w:rsid w:val="3C584CF7"/>
    <w:rsid w:val="3C665D51"/>
    <w:rsid w:val="3C8416A8"/>
    <w:rsid w:val="3C9E1E7E"/>
    <w:rsid w:val="3CCF24D2"/>
    <w:rsid w:val="3D19CB6A"/>
    <w:rsid w:val="3D1B1DA2"/>
    <w:rsid w:val="3D4851A1"/>
    <w:rsid w:val="3D5E74D0"/>
    <w:rsid w:val="3DA101C8"/>
    <w:rsid w:val="3DB055D0"/>
    <w:rsid w:val="3DB39E13"/>
    <w:rsid w:val="3DDF0671"/>
    <w:rsid w:val="3DEFBBF7"/>
    <w:rsid w:val="3E2C12DF"/>
    <w:rsid w:val="3E320E6F"/>
    <w:rsid w:val="3E415676"/>
    <w:rsid w:val="3E45A667"/>
    <w:rsid w:val="3E50B2E1"/>
    <w:rsid w:val="3E60B0FB"/>
    <w:rsid w:val="3E62EC6B"/>
    <w:rsid w:val="3E858FCB"/>
    <w:rsid w:val="3E883C9B"/>
    <w:rsid w:val="3E9C472E"/>
    <w:rsid w:val="3EAF51B5"/>
    <w:rsid w:val="3EB97632"/>
    <w:rsid w:val="3EF712EB"/>
    <w:rsid w:val="3EFA4531"/>
    <w:rsid w:val="3F0C5F81"/>
    <w:rsid w:val="3F2D4720"/>
    <w:rsid w:val="3F4FE75B"/>
    <w:rsid w:val="3F511616"/>
    <w:rsid w:val="3F77F778"/>
    <w:rsid w:val="3F7BE1A6"/>
    <w:rsid w:val="3FADE077"/>
    <w:rsid w:val="3FB38D76"/>
    <w:rsid w:val="3FC3C828"/>
    <w:rsid w:val="3FFA24B3"/>
    <w:rsid w:val="4006C2B6"/>
    <w:rsid w:val="40351443"/>
    <w:rsid w:val="405202ED"/>
    <w:rsid w:val="405EF58F"/>
    <w:rsid w:val="406A88F6"/>
    <w:rsid w:val="40724B04"/>
    <w:rsid w:val="407F8599"/>
    <w:rsid w:val="40961592"/>
    <w:rsid w:val="40A9BA10"/>
    <w:rsid w:val="40D3771C"/>
    <w:rsid w:val="4105B84D"/>
    <w:rsid w:val="4114FF7C"/>
    <w:rsid w:val="411D1ED7"/>
    <w:rsid w:val="41351A2A"/>
    <w:rsid w:val="41595F15"/>
    <w:rsid w:val="41718FA1"/>
    <w:rsid w:val="4179B995"/>
    <w:rsid w:val="41851663"/>
    <w:rsid w:val="418853A3"/>
    <w:rsid w:val="41A29317"/>
    <w:rsid w:val="42091E66"/>
    <w:rsid w:val="42243493"/>
    <w:rsid w:val="4226C449"/>
    <w:rsid w:val="423AB139"/>
    <w:rsid w:val="425417BD"/>
    <w:rsid w:val="4268E3F1"/>
    <w:rsid w:val="42E251B8"/>
    <w:rsid w:val="42EB2E38"/>
    <w:rsid w:val="42F0FCD9"/>
    <w:rsid w:val="43032937"/>
    <w:rsid w:val="430D6002"/>
    <w:rsid w:val="431D777C"/>
    <w:rsid w:val="432F5880"/>
    <w:rsid w:val="433FFC71"/>
    <w:rsid w:val="434177BB"/>
    <w:rsid w:val="4368755D"/>
    <w:rsid w:val="437AE493"/>
    <w:rsid w:val="43890CEE"/>
    <w:rsid w:val="438A8700"/>
    <w:rsid w:val="43BC704A"/>
    <w:rsid w:val="43D2BA04"/>
    <w:rsid w:val="43DCEEEC"/>
    <w:rsid w:val="43ED8FC6"/>
    <w:rsid w:val="43F8CABD"/>
    <w:rsid w:val="43FC4178"/>
    <w:rsid w:val="4421AD46"/>
    <w:rsid w:val="4433C149"/>
    <w:rsid w:val="443D590F"/>
    <w:rsid w:val="4452FABA"/>
    <w:rsid w:val="446AA0DD"/>
    <w:rsid w:val="447E1817"/>
    <w:rsid w:val="448BCA4E"/>
    <w:rsid w:val="44B05928"/>
    <w:rsid w:val="44B15A57"/>
    <w:rsid w:val="44B947DD"/>
    <w:rsid w:val="44BCB725"/>
    <w:rsid w:val="44BF0B99"/>
    <w:rsid w:val="44C258C0"/>
    <w:rsid w:val="44C4611E"/>
    <w:rsid w:val="44E3CA17"/>
    <w:rsid w:val="45384CE5"/>
    <w:rsid w:val="454F3778"/>
    <w:rsid w:val="45505E58"/>
    <w:rsid w:val="4552DD81"/>
    <w:rsid w:val="455C2FD4"/>
    <w:rsid w:val="456986B5"/>
    <w:rsid w:val="4580E941"/>
    <w:rsid w:val="45817810"/>
    <w:rsid w:val="45923EF2"/>
    <w:rsid w:val="45986583"/>
    <w:rsid w:val="45A0D3CD"/>
    <w:rsid w:val="45AE3858"/>
    <w:rsid w:val="45B3884B"/>
    <w:rsid w:val="464500C4"/>
    <w:rsid w:val="46505300"/>
    <w:rsid w:val="466520B6"/>
    <w:rsid w:val="468EA083"/>
    <w:rsid w:val="469A02E7"/>
    <w:rsid w:val="46A78553"/>
    <w:rsid w:val="46B89951"/>
    <w:rsid w:val="46EE6C6D"/>
    <w:rsid w:val="4707D57B"/>
    <w:rsid w:val="47105074"/>
    <w:rsid w:val="47112892"/>
    <w:rsid w:val="471CB9A2"/>
    <w:rsid w:val="47306B7F"/>
    <w:rsid w:val="4768DBD6"/>
    <w:rsid w:val="47A82267"/>
    <w:rsid w:val="47C6C94F"/>
    <w:rsid w:val="47D92630"/>
    <w:rsid w:val="47DE99D0"/>
    <w:rsid w:val="47E29D0A"/>
    <w:rsid w:val="4802ED93"/>
    <w:rsid w:val="4814E8DE"/>
    <w:rsid w:val="484D1FDE"/>
    <w:rsid w:val="4871BE3D"/>
    <w:rsid w:val="487A4DBA"/>
    <w:rsid w:val="4890C086"/>
    <w:rsid w:val="48AF7311"/>
    <w:rsid w:val="48C35941"/>
    <w:rsid w:val="48DA7492"/>
    <w:rsid w:val="48DB9F3C"/>
    <w:rsid w:val="48E5CE3C"/>
    <w:rsid w:val="48F81C90"/>
    <w:rsid w:val="49141F71"/>
    <w:rsid w:val="4919E368"/>
    <w:rsid w:val="492062EA"/>
    <w:rsid w:val="49464105"/>
    <w:rsid w:val="49510A2F"/>
    <w:rsid w:val="4958B339"/>
    <w:rsid w:val="496299B0"/>
    <w:rsid w:val="4965FD94"/>
    <w:rsid w:val="497BC20D"/>
    <w:rsid w:val="4983CA4B"/>
    <w:rsid w:val="4984CB7A"/>
    <w:rsid w:val="498CB900"/>
    <w:rsid w:val="498DDC5D"/>
    <w:rsid w:val="4995C9E3"/>
    <w:rsid w:val="49BFFED3"/>
    <w:rsid w:val="49E69D26"/>
    <w:rsid w:val="49F84E72"/>
    <w:rsid w:val="49FA5CDB"/>
    <w:rsid w:val="4A038969"/>
    <w:rsid w:val="4A05771A"/>
    <w:rsid w:val="4A075480"/>
    <w:rsid w:val="4A124AA2"/>
    <w:rsid w:val="4A157C0B"/>
    <w:rsid w:val="4A347E6D"/>
    <w:rsid w:val="4A663824"/>
    <w:rsid w:val="4A684186"/>
    <w:rsid w:val="4AC8E1CE"/>
    <w:rsid w:val="4AD3698C"/>
    <w:rsid w:val="4AEF105A"/>
    <w:rsid w:val="4AF05C56"/>
    <w:rsid w:val="4AFE6A11"/>
    <w:rsid w:val="4B17926E"/>
    <w:rsid w:val="4B1A5307"/>
    <w:rsid w:val="4B259921"/>
    <w:rsid w:val="4B2F38CD"/>
    <w:rsid w:val="4B319A44"/>
    <w:rsid w:val="4B38FDC6"/>
    <w:rsid w:val="4B3DA037"/>
    <w:rsid w:val="4B6AA513"/>
    <w:rsid w:val="4B826D87"/>
    <w:rsid w:val="4B9A4508"/>
    <w:rsid w:val="4BBAE623"/>
    <w:rsid w:val="4BBB4B50"/>
    <w:rsid w:val="4BF30C7D"/>
    <w:rsid w:val="4C20D953"/>
    <w:rsid w:val="4C21C22E"/>
    <w:rsid w:val="4C5959F3"/>
    <w:rsid w:val="4CD6B9D7"/>
    <w:rsid w:val="4CF96882"/>
    <w:rsid w:val="4D27F649"/>
    <w:rsid w:val="4D3E7947"/>
    <w:rsid w:val="4D6558C2"/>
    <w:rsid w:val="4D77585E"/>
    <w:rsid w:val="4D7B1683"/>
    <w:rsid w:val="4D85CC20"/>
    <w:rsid w:val="4DA03E00"/>
    <w:rsid w:val="4DB570D4"/>
    <w:rsid w:val="4DC2F497"/>
    <w:rsid w:val="4DCAA134"/>
    <w:rsid w:val="4DD92A27"/>
    <w:rsid w:val="4DDBF6FE"/>
    <w:rsid w:val="4E3E1311"/>
    <w:rsid w:val="4E47F630"/>
    <w:rsid w:val="4E5012A9"/>
    <w:rsid w:val="4E521B07"/>
    <w:rsid w:val="4E583C9D"/>
    <w:rsid w:val="4EA6805D"/>
    <w:rsid w:val="4EA96AEA"/>
    <w:rsid w:val="4ECC8516"/>
    <w:rsid w:val="4EE044D9"/>
    <w:rsid w:val="4EF75E6B"/>
    <w:rsid w:val="4F1E39A0"/>
    <w:rsid w:val="4F2AAD3F"/>
    <w:rsid w:val="4F443125"/>
    <w:rsid w:val="4F4BDC6F"/>
    <w:rsid w:val="4F513330"/>
    <w:rsid w:val="4F5EC4F8"/>
    <w:rsid w:val="4F8FA46E"/>
    <w:rsid w:val="4FF47A11"/>
    <w:rsid w:val="5032BC9C"/>
    <w:rsid w:val="5055DEAA"/>
    <w:rsid w:val="50709150"/>
    <w:rsid w:val="5076437D"/>
    <w:rsid w:val="508A9794"/>
    <w:rsid w:val="508E4B53"/>
    <w:rsid w:val="50C10C4E"/>
    <w:rsid w:val="50DA96BD"/>
    <w:rsid w:val="50E16CFC"/>
    <w:rsid w:val="50E7CFF1"/>
    <w:rsid w:val="512D85BA"/>
    <w:rsid w:val="515227E5"/>
    <w:rsid w:val="515615DC"/>
    <w:rsid w:val="516BBD3C"/>
    <w:rsid w:val="51854F10"/>
    <w:rsid w:val="5186C25B"/>
    <w:rsid w:val="5187B36B"/>
    <w:rsid w:val="5189BBC9"/>
    <w:rsid w:val="518D1304"/>
    <w:rsid w:val="5194105C"/>
    <w:rsid w:val="5197CAE5"/>
    <w:rsid w:val="519EA0C3"/>
    <w:rsid w:val="51A3C283"/>
    <w:rsid w:val="51B1B7DC"/>
    <w:rsid w:val="51B595EE"/>
    <w:rsid w:val="51B75EDB"/>
    <w:rsid w:val="51FDF3F9"/>
    <w:rsid w:val="52238D10"/>
    <w:rsid w:val="52390C9A"/>
    <w:rsid w:val="52401C37"/>
    <w:rsid w:val="5252634D"/>
    <w:rsid w:val="529219FF"/>
    <w:rsid w:val="52A56DE5"/>
    <w:rsid w:val="52A5E937"/>
    <w:rsid w:val="52B0D62D"/>
    <w:rsid w:val="52C2B83D"/>
    <w:rsid w:val="53097BF6"/>
    <w:rsid w:val="530A2602"/>
    <w:rsid w:val="53118434"/>
    <w:rsid w:val="53282C9C"/>
    <w:rsid w:val="532BADC0"/>
    <w:rsid w:val="53333484"/>
    <w:rsid w:val="5334BEA3"/>
    <w:rsid w:val="53364942"/>
    <w:rsid w:val="5347E34F"/>
    <w:rsid w:val="535638FF"/>
    <w:rsid w:val="53642534"/>
    <w:rsid w:val="536CD843"/>
    <w:rsid w:val="538FD285"/>
    <w:rsid w:val="5397D516"/>
    <w:rsid w:val="53B0EA8D"/>
    <w:rsid w:val="53D3732D"/>
    <w:rsid w:val="53E14A1F"/>
    <w:rsid w:val="53FE1E62"/>
    <w:rsid w:val="5404EDE4"/>
    <w:rsid w:val="541BA20F"/>
    <w:rsid w:val="54246CFE"/>
    <w:rsid w:val="5456FB72"/>
    <w:rsid w:val="54583FF1"/>
    <w:rsid w:val="54686C60"/>
    <w:rsid w:val="546D407F"/>
    <w:rsid w:val="548FBCF4"/>
    <w:rsid w:val="5491F7D8"/>
    <w:rsid w:val="54A5F663"/>
    <w:rsid w:val="54CF6BA7"/>
    <w:rsid w:val="54F38A78"/>
    <w:rsid w:val="54F67098"/>
    <w:rsid w:val="553FAADF"/>
    <w:rsid w:val="554FBBDB"/>
    <w:rsid w:val="556218A3"/>
    <w:rsid w:val="5576EC91"/>
    <w:rsid w:val="5577BCF9"/>
    <w:rsid w:val="5594B839"/>
    <w:rsid w:val="55967850"/>
    <w:rsid w:val="55AB4FE5"/>
    <w:rsid w:val="55BB1DF3"/>
    <w:rsid w:val="55BCD445"/>
    <w:rsid w:val="55CA0650"/>
    <w:rsid w:val="56197616"/>
    <w:rsid w:val="561D5B07"/>
    <w:rsid w:val="561F3E82"/>
    <w:rsid w:val="56269838"/>
    <w:rsid w:val="56578EB8"/>
    <w:rsid w:val="56604DDF"/>
    <w:rsid w:val="56A66F61"/>
    <w:rsid w:val="56BF25BC"/>
    <w:rsid w:val="56C77347"/>
    <w:rsid w:val="56DF86D1"/>
    <w:rsid w:val="57025283"/>
    <w:rsid w:val="57130175"/>
    <w:rsid w:val="57194874"/>
    <w:rsid w:val="571CB82C"/>
    <w:rsid w:val="572BE54F"/>
    <w:rsid w:val="5745D69E"/>
    <w:rsid w:val="57585B1D"/>
    <w:rsid w:val="5765AB83"/>
    <w:rsid w:val="57EAF3CC"/>
    <w:rsid w:val="57F249CA"/>
    <w:rsid w:val="58053727"/>
    <w:rsid w:val="5821B6F4"/>
    <w:rsid w:val="582E2E23"/>
    <w:rsid w:val="58643481"/>
    <w:rsid w:val="587309E2"/>
    <w:rsid w:val="58875C9D"/>
    <w:rsid w:val="588D3FBE"/>
    <w:rsid w:val="588E4748"/>
    <w:rsid w:val="58A27DD4"/>
    <w:rsid w:val="58B046F6"/>
    <w:rsid w:val="58B3F439"/>
    <w:rsid w:val="58E223F5"/>
    <w:rsid w:val="58E4EA79"/>
    <w:rsid w:val="58E85387"/>
    <w:rsid w:val="58F648B8"/>
    <w:rsid w:val="58F9B08C"/>
    <w:rsid w:val="590C1B5F"/>
    <w:rsid w:val="5918AD84"/>
    <w:rsid w:val="594E8EA9"/>
    <w:rsid w:val="5954FBC9"/>
    <w:rsid w:val="595DFB3D"/>
    <w:rsid w:val="596C1A1E"/>
    <w:rsid w:val="5997EEA1"/>
    <w:rsid w:val="59ABEDAD"/>
    <w:rsid w:val="59C0A7D3"/>
    <w:rsid w:val="59FB688A"/>
    <w:rsid w:val="5A0F7E4B"/>
    <w:rsid w:val="5A489170"/>
    <w:rsid w:val="5A68EDB3"/>
    <w:rsid w:val="5A787114"/>
    <w:rsid w:val="5A7EA4E8"/>
    <w:rsid w:val="5A7F3182"/>
    <w:rsid w:val="5A9D0AF0"/>
    <w:rsid w:val="5AC3F57C"/>
    <w:rsid w:val="5AD20F84"/>
    <w:rsid w:val="5AE599AD"/>
    <w:rsid w:val="5AF2A848"/>
    <w:rsid w:val="5B1537E7"/>
    <w:rsid w:val="5B38F468"/>
    <w:rsid w:val="5B5811F6"/>
    <w:rsid w:val="5B665C8D"/>
    <w:rsid w:val="5B7C9ECA"/>
    <w:rsid w:val="5BB36D31"/>
    <w:rsid w:val="5BC63D29"/>
    <w:rsid w:val="5BF64AFB"/>
    <w:rsid w:val="5C066275"/>
    <w:rsid w:val="5C1C8BB4"/>
    <w:rsid w:val="5C241FA3"/>
    <w:rsid w:val="5C296639"/>
    <w:rsid w:val="5C324CFD"/>
    <w:rsid w:val="5C33B9C6"/>
    <w:rsid w:val="5C6BF863"/>
    <w:rsid w:val="5C7C5801"/>
    <w:rsid w:val="5C7F9465"/>
    <w:rsid w:val="5C8E8006"/>
    <w:rsid w:val="5CA1FA69"/>
    <w:rsid w:val="5CB05E3C"/>
    <w:rsid w:val="5CB2DD65"/>
    <w:rsid w:val="5CBC2FB8"/>
    <w:rsid w:val="5CD93250"/>
    <w:rsid w:val="5CF41F35"/>
    <w:rsid w:val="5CF57DFB"/>
    <w:rsid w:val="5D18579B"/>
    <w:rsid w:val="5D3AD0F4"/>
    <w:rsid w:val="5D4A94B7"/>
    <w:rsid w:val="5D6C51EA"/>
    <w:rsid w:val="5D6C7196"/>
    <w:rsid w:val="5D7414C0"/>
    <w:rsid w:val="5D752D01"/>
    <w:rsid w:val="5D7CB239"/>
    <w:rsid w:val="5D8A0C80"/>
    <w:rsid w:val="5DB61344"/>
    <w:rsid w:val="5DB67E70"/>
    <w:rsid w:val="5DBDB640"/>
    <w:rsid w:val="5DC33975"/>
    <w:rsid w:val="5DCB88A9"/>
    <w:rsid w:val="5DD91861"/>
    <w:rsid w:val="5E20AD94"/>
    <w:rsid w:val="5E31F96A"/>
    <w:rsid w:val="5E39327D"/>
    <w:rsid w:val="5E39CA5E"/>
    <w:rsid w:val="5E3EC05A"/>
    <w:rsid w:val="5E453FC3"/>
    <w:rsid w:val="5E4CE655"/>
    <w:rsid w:val="5E58E02E"/>
    <w:rsid w:val="5E66409E"/>
    <w:rsid w:val="5E6B7192"/>
    <w:rsid w:val="5E6F8234"/>
    <w:rsid w:val="5E7B1E14"/>
    <w:rsid w:val="5E97B5F4"/>
    <w:rsid w:val="5EA0CA6E"/>
    <w:rsid w:val="5EA0ED8F"/>
    <w:rsid w:val="5EAA0981"/>
    <w:rsid w:val="5EB9AB3A"/>
    <w:rsid w:val="5EBDA749"/>
    <w:rsid w:val="5EC67677"/>
    <w:rsid w:val="5ED0A888"/>
    <w:rsid w:val="5EF150B8"/>
    <w:rsid w:val="5EF99D3C"/>
    <w:rsid w:val="5F04EAFD"/>
    <w:rsid w:val="5F10FD62"/>
    <w:rsid w:val="5F2A2D17"/>
    <w:rsid w:val="5F3FF190"/>
    <w:rsid w:val="5F520BE0"/>
    <w:rsid w:val="5F6F0D9B"/>
    <w:rsid w:val="5F7889B6"/>
    <w:rsid w:val="5F842E56"/>
    <w:rsid w:val="5F9EAC18"/>
    <w:rsid w:val="5FAA54D2"/>
    <w:rsid w:val="5FD19AB1"/>
    <w:rsid w:val="5FE7FEFE"/>
    <w:rsid w:val="5FF1D029"/>
    <w:rsid w:val="60121E4E"/>
    <w:rsid w:val="6045854F"/>
    <w:rsid w:val="606C78E9"/>
    <w:rsid w:val="607D519E"/>
    <w:rsid w:val="6081B915"/>
    <w:rsid w:val="60A8E0DE"/>
    <w:rsid w:val="60F5F012"/>
    <w:rsid w:val="61145A17"/>
    <w:rsid w:val="61238E37"/>
    <w:rsid w:val="61284256"/>
    <w:rsid w:val="615EF294"/>
    <w:rsid w:val="6188F6EE"/>
    <w:rsid w:val="61947E51"/>
    <w:rsid w:val="61A31254"/>
    <w:rsid w:val="61ADEEAF"/>
    <w:rsid w:val="61D96F4B"/>
    <w:rsid w:val="61F6F98A"/>
    <w:rsid w:val="6216301F"/>
    <w:rsid w:val="621D8976"/>
    <w:rsid w:val="62200DCC"/>
    <w:rsid w:val="6236CA7A"/>
    <w:rsid w:val="62372177"/>
    <w:rsid w:val="623E5C0C"/>
    <w:rsid w:val="624F103E"/>
    <w:rsid w:val="6253D0A1"/>
    <w:rsid w:val="62615175"/>
    <w:rsid w:val="62B07989"/>
    <w:rsid w:val="62B7DAA6"/>
    <w:rsid w:val="62BC956B"/>
    <w:rsid w:val="62E2B48F"/>
    <w:rsid w:val="636BCA0C"/>
    <w:rsid w:val="6384F269"/>
    <w:rsid w:val="639010BA"/>
    <w:rsid w:val="639F509D"/>
    <w:rsid w:val="63AF54A2"/>
    <w:rsid w:val="63B871EC"/>
    <w:rsid w:val="63C36F1A"/>
    <w:rsid w:val="63F9FDE8"/>
    <w:rsid w:val="6406C274"/>
    <w:rsid w:val="64253378"/>
    <w:rsid w:val="642B062E"/>
    <w:rsid w:val="642D74B4"/>
    <w:rsid w:val="6447A13C"/>
    <w:rsid w:val="6491AD5F"/>
    <w:rsid w:val="64B157D4"/>
    <w:rsid w:val="64BA0655"/>
    <w:rsid w:val="64EB8D71"/>
    <w:rsid w:val="64F6CA48"/>
    <w:rsid w:val="65671689"/>
    <w:rsid w:val="65742C81"/>
    <w:rsid w:val="65810B61"/>
    <w:rsid w:val="659823C4"/>
    <w:rsid w:val="659E12F5"/>
    <w:rsid w:val="65AD30D5"/>
    <w:rsid w:val="65AF50BD"/>
    <w:rsid w:val="65B0128D"/>
    <w:rsid w:val="65BF0B37"/>
    <w:rsid w:val="65C6D68F"/>
    <w:rsid w:val="65D18CCF"/>
    <w:rsid w:val="65DBDC0F"/>
    <w:rsid w:val="65EE75F4"/>
    <w:rsid w:val="660F646E"/>
    <w:rsid w:val="66378766"/>
    <w:rsid w:val="66428773"/>
    <w:rsid w:val="6661686B"/>
    <w:rsid w:val="66BF0312"/>
    <w:rsid w:val="66C0C5B3"/>
    <w:rsid w:val="66DE2695"/>
    <w:rsid w:val="66EE6ACA"/>
    <w:rsid w:val="66FDD6D9"/>
    <w:rsid w:val="671C0F47"/>
    <w:rsid w:val="6724C6C5"/>
    <w:rsid w:val="672564EB"/>
    <w:rsid w:val="674F89CC"/>
    <w:rsid w:val="6792552F"/>
    <w:rsid w:val="67D16B04"/>
    <w:rsid w:val="67E368B0"/>
    <w:rsid w:val="67F310E3"/>
    <w:rsid w:val="67FD3C1D"/>
    <w:rsid w:val="6819D082"/>
    <w:rsid w:val="68445CE9"/>
    <w:rsid w:val="6866F24F"/>
    <w:rsid w:val="6869DD25"/>
    <w:rsid w:val="688034D0"/>
    <w:rsid w:val="688F0DC6"/>
    <w:rsid w:val="68B96921"/>
    <w:rsid w:val="68C1354C"/>
    <w:rsid w:val="68CD6F0B"/>
    <w:rsid w:val="68DD31F2"/>
    <w:rsid w:val="692FDA54"/>
    <w:rsid w:val="69500B11"/>
    <w:rsid w:val="69883D98"/>
    <w:rsid w:val="6998986D"/>
    <w:rsid w:val="699DBEDF"/>
    <w:rsid w:val="69A5A9F7"/>
    <w:rsid w:val="69CB6AF4"/>
    <w:rsid w:val="69E37D15"/>
    <w:rsid w:val="6A228122"/>
    <w:rsid w:val="6A2919D5"/>
    <w:rsid w:val="6A2D722B"/>
    <w:rsid w:val="6A3213A3"/>
    <w:rsid w:val="6A3E8568"/>
    <w:rsid w:val="6A49DF01"/>
    <w:rsid w:val="6A741A4B"/>
    <w:rsid w:val="6A94E4D2"/>
    <w:rsid w:val="6AE6083F"/>
    <w:rsid w:val="6AEA2891"/>
    <w:rsid w:val="6AF21B92"/>
    <w:rsid w:val="6AFE9500"/>
    <w:rsid w:val="6B22383A"/>
    <w:rsid w:val="6B284338"/>
    <w:rsid w:val="6B3A2F1C"/>
    <w:rsid w:val="6B660BCC"/>
    <w:rsid w:val="6B708B8E"/>
    <w:rsid w:val="6B76DBF1"/>
    <w:rsid w:val="6B91B4FF"/>
    <w:rsid w:val="6B97A0A8"/>
    <w:rsid w:val="6B982E42"/>
    <w:rsid w:val="6BE36E05"/>
    <w:rsid w:val="6BEB5B8B"/>
    <w:rsid w:val="6C102128"/>
    <w:rsid w:val="6C128F13"/>
    <w:rsid w:val="6C1F5E3C"/>
    <w:rsid w:val="6C274197"/>
    <w:rsid w:val="6C2C7B4B"/>
    <w:rsid w:val="6C30B533"/>
    <w:rsid w:val="6C372EDA"/>
    <w:rsid w:val="6C38A2B9"/>
    <w:rsid w:val="6C4D3694"/>
    <w:rsid w:val="6C7BECD0"/>
    <w:rsid w:val="6C98BAAE"/>
    <w:rsid w:val="6CAAEC13"/>
    <w:rsid w:val="6CC869D8"/>
    <w:rsid w:val="6CDD8413"/>
    <w:rsid w:val="6CF1C972"/>
    <w:rsid w:val="6CF81F69"/>
    <w:rsid w:val="6D1B40F8"/>
    <w:rsid w:val="6D92524A"/>
    <w:rsid w:val="6DC311F8"/>
    <w:rsid w:val="6DD456FA"/>
    <w:rsid w:val="6DED46E8"/>
    <w:rsid w:val="6DED7949"/>
    <w:rsid w:val="6DFFD724"/>
    <w:rsid w:val="6E068FCE"/>
    <w:rsid w:val="6E132D5E"/>
    <w:rsid w:val="6E1E4A37"/>
    <w:rsid w:val="6E26CED1"/>
    <w:rsid w:val="6E407431"/>
    <w:rsid w:val="6E42994B"/>
    <w:rsid w:val="6E625267"/>
    <w:rsid w:val="6ED20867"/>
    <w:rsid w:val="6EDEA4E3"/>
    <w:rsid w:val="6F09FCC0"/>
    <w:rsid w:val="6F0DF8CF"/>
    <w:rsid w:val="6F3D9709"/>
    <w:rsid w:val="6F4ED850"/>
    <w:rsid w:val="6F6B8C69"/>
    <w:rsid w:val="6F84D756"/>
    <w:rsid w:val="6F96CD22"/>
    <w:rsid w:val="6F9A5220"/>
    <w:rsid w:val="6FB97962"/>
    <w:rsid w:val="7010CC49"/>
    <w:rsid w:val="70152C40"/>
    <w:rsid w:val="70320158"/>
    <w:rsid w:val="704B300D"/>
    <w:rsid w:val="704C624C"/>
    <w:rsid w:val="706FF583"/>
    <w:rsid w:val="7091F9A5"/>
    <w:rsid w:val="709F8718"/>
    <w:rsid w:val="70B4DF8D"/>
    <w:rsid w:val="70BDFB21"/>
    <w:rsid w:val="70C2F18D"/>
    <w:rsid w:val="70C94211"/>
    <w:rsid w:val="70CC1706"/>
    <w:rsid w:val="70D5F7E7"/>
    <w:rsid w:val="70D9676A"/>
    <w:rsid w:val="71042656"/>
    <w:rsid w:val="713BD8BA"/>
    <w:rsid w:val="717814F3"/>
    <w:rsid w:val="7179A800"/>
    <w:rsid w:val="719A6931"/>
    <w:rsid w:val="71D7E3DC"/>
    <w:rsid w:val="71F67C80"/>
    <w:rsid w:val="72017783"/>
    <w:rsid w:val="7219B0B4"/>
    <w:rsid w:val="7229A80B"/>
    <w:rsid w:val="723A9B9E"/>
    <w:rsid w:val="723B0429"/>
    <w:rsid w:val="724C6640"/>
    <w:rsid w:val="725FD942"/>
    <w:rsid w:val="7268768A"/>
    <w:rsid w:val="729DC53E"/>
    <w:rsid w:val="72E022DA"/>
    <w:rsid w:val="731B8DFC"/>
    <w:rsid w:val="732BEE18"/>
    <w:rsid w:val="7338203A"/>
    <w:rsid w:val="733EA0A9"/>
    <w:rsid w:val="73462DF9"/>
    <w:rsid w:val="735E2FFD"/>
    <w:rsid w:val="73E2E7EF"/>
    <w:rsid w:val="73F18FFA"/>
    <w:rsid w:val="73F9A4BE"/>
    <w:rsid w:val="7417223E"/>
    <w:rsid w:val="741C593E"/>
    <w:rsid w:val="74234622"/>
    <w:rsid w:val="7434349C"/>
    <w:rsid w:val="744BDFD8"/>
    <w:rsid w:val="748D7C84"/>
    <w:rsid w:val="74CC2A90"/>
    <w:rsid w:val="74D6CB14"/>
    <w:rsid w:val="74E5CDFF"/>
    <w:rsid w:val="74EB9BC1"/>
    <w:rsid w:val="7515F821"/>
    <w:rsid w:val="7520AA3B"/>
    <w:rsid w:val="753F8C66"/>
    <w:rsid w:val="75573B5B"/>
    <w:rsid w:val="7569C496"/>
    <w:rsid w:val="756A077A"/>
    <w:rsid w:val="75A0174C"/>
    <w:rsid w:val="75A4C250"/>
    <w:rsid w:val="75A8BF53"/>
    <w:rsid w:val="75ABF213"/>
    <w:rsid w:val="75BA3534"/>
    <w:rsid w:val="75C64082"/>
    <w:rsid w:val="75CBBF82"/>
    <w:rsid w:val="75CE23DD"/>
    <w:rsid w:val="75D004FD"/>
    <w:rsid w:val="75D64DD1"/>
    <w:rsid w:val="75D955CE"/>
    <w:rsid w:val="75DF84FF"/>
    <w:rsid w:val="7619AB1E"/>
    <w:rsid w:val="762B21EB"/>
    <w:rsid w:val="763BA86E"/>
    <w:rsid w:val="763D4F4C"/>
    <w:rsid w:val="76544DA9"/>
    <w:rsid w:val="7666FE62"/>
    <w:rsid w:val="766A61AC"/>
    <w:rsid w:val="767D97D1"/>
    <w:rsid w:val="76B794EF"/>
    <w:rsid w:val="76E5C2CC"/>
    <w:rsid w:val="770506B4"/>
    <w:rsid w:val="771E8C42"/>
    <w:rsid w:val="7722D18D"/>
    <w:rsid w:val="7727DD46"/>
    <w:rsid w:val="7769F43E"/>
    <w:rsid w:val="776BD55E"/>
    <w:rsid w:val="776CB323"/>
    <w:rsid w:val="777ADEBC"/>
    <w:rsid w:val="777B5560"/>
    <w:rsid w:val="777EF7A0"/>
    <w:rsid w:val="778D1438"/>
    <w:rsid w:val="77D642F7"/>
    <w:rsid w:val="77F17C7C"/>
    <w:rsid w:val="780A3078"/>
    <w:rsid w:val="780E6BD6"/>
    <w:rsid w:val="783C6BE1"/>
    <w:rsid w:val="7878320A"/>
    <w:rsid w:val="787C6BAE"/>
    <w:rsid w:val="788405CD"/>
    <w:rsid w:val="78B33CB9"/>
    <w:rsid w:val="78BA5CA3"/>
    <w:rsid w:val="78C9DE93"/>
    <w:rsid w:val="791725C1"/>
    <w:rsid w:val="793F7E34"/>
    <w:rsid w:val="793FF5AB"/>
    <w:rsid w:val="7953FF9C"/>
    <w:rsid w:val="797387A5"/>
    <w:rsid w:val="79842B07"/>
    <w:rsid w:val="798B1341"/>
    <w:rsid w:val="799F9BB3"/>
    <w:rsid w:val="79B56F7D"/>
    <w:rsid w:val="79B8C410"/>
    <w:rsid w:val="79C54C31"/>
    <w:rsid w:val="79C736D8"/>
    <w:rsid w:val="7A018E65"/>
    <w:rsid w:val="7A10584D"/>
    <w:rsid w:val="7A1476EE"/>
    <w:rsid w:val="7A20D7E3"/>
    <w:rsid w:val="7A271D23"/>
    <w:rsid w:val="7A7B613E"/>
    <w:rsid w:val="7AA2F33B"/>
    <w:rsid w:val="7AB7E0DD"/>
    <w:rsid w:val="7AE5B8A0"/>
    <w:rsid w:val="7AE647B2"/>
    <w:rsid w:val="7B04198F"/>
    <w:rsid w:val="7B08436D"/>
    <w:rsid w:val="7B470758"/>
    <w:rsid w:val="7B8CFFBB"/>
    <w:rsid w:val="7B8D7498"/>
    <w:rsid w:val="7B991730"/>
    <w:rsid w:val="7BA42E16"/>
    <w:rsid w:val="7BBDE1CF"/>
    <w:rsid w:val="7BFBB6E9"/>
    <w:rsid w:val="7C02DC84"/>
    <w:rsid w:val="7C047C3A"/>
    <w:rsid w:val="7C10F311"/>
    <w:rsid w:val="7C358206"/>
    <w:rsid w:val="7C360EA0"/>
    <w:rsid w:val="7C5CA4F3"/>
    <w:rsid w:val="7C60FA98"/>
    <w:rsid w:val="7C63DF80"/>
    <w:rsid w:val="7C6FDDF0"/>
    <w:rsid w:val="7C821813"/>
    <w:rsid w:val="7C9E972D"/>
    <w:rsid w:val="7CAD72EB"/>
    <w:rsid w:val="7CFED79A"/>
    <w:rsid w:val="7D0EEF14"/>
    <w:rsid w:val="7D21260A"/>
    <w:rsid w:val="7D296119"/>
    <w:rsid w:val="7D2D21CC"/>
    <w:rsid w:val="7D401223"/>
    <w:rsid w:val="7D652510"/>
    <w:rsid w:val="7D83E2D6"/>
    <w:rsid w:val="7D94FF1B"/>
    <w:rsid w:val="7DBD3F93"/>
    <w:rsid w:val="7DBF2DEC"/>
    <w:rsid w:val="7DCEAB63"/>
    <w:rsid w:val="7DD11ECA"/>
    <w:rsid w:val="7DE15FB6"/>
    <w:rsid w:val="7DE1A39A"/>
    <w:rsid w:val="7DF01943"/>
    <w:rsid w:val="7E036AB2"/>
    <w:rsid w:val="7E150F88"/>
    <w:rsid w:val="7E5CCF39"/>
    <w:rsid w:val="7E733414"/>
    <w:rsid w:val="7EB18CC4"/>
    <w:rsid w:val="7EB3D058"/>
    <w:rsid w:val="7EC50A7C"/>
    <w:rsid w:val="7ECB49F4"/>
    <w:rsid w:val="7ECE56F0"/>
    <w:rsid w:val="7F02FB8B"/>
    <w:rsid w:val="7F07CD33"/>
    <w:rsid w:val="7F380523"/>
    <w:rsid w:val="7F392017"/>
    <w:rsid w:val="7F4B3488"/>
    <w:rsid w:val="7F5312AB"/>
    <w:rsid w:val="7F63068B"/>
    <w:rsid w:val="7F780B90"/>
    <w:rsid w:val="7F79AEF3"/>
    <w:rsid w:val="7F7D3017"/>
    <w:rsid w:val="7FBE5A42"/>
    <w:rsid w:val="7FBFAE01"/>
    <w:rsid w:val="7FDE85B6"/>
    <w:rsid w:val="7FFC3369"/>
    <w:rsid w:val="7FFEB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EE4C"/>
  <w15:chartTrackingRefBased/>
  <w15:docId w15:val="{1700E172-63B1-48D5-8626-23498D60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rPr>
      <w:sz w:val="20"/>
      <w:szCs w:val="20"/>
    </w:rPr>
  </w:style>
  <w:style w:type="paragraph" w:styleId="EndnoteText">
    <w:name w:val="endnote text"/>
    <w:basedOn w:val="Normal"/>
    <w:link w:val="EndnoteTextChar"/>
    <w:uiPriority w:val="99"/>
    <w:unhideWhenUsed/>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7C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7CB8"/>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2F07C3"/>
    <w:rPr>
      <w:color w:val="605E5C"/>
      <w:shd w:val="clear" w:color="auto" w:fill="E1DFDD"/>
    </w:rPr>
  </w:style>
  <w:style w:type="character" w:styleId="FollowedHyperlink">
    <w:name w:val="FollowedHyperlink"/>
    <w:basedOn w:val="DefaultParagraphFont"/>
    <w:uiPriority w:val="99"/>
    <w:semiHidden/>
    <w:unhideWhenUsed/>
    <w:rsid w:val="002F07C3"/>
    <w:rPr>
      <w:color w:val="954F72" w:themeColor="followedHyperlink"/>
      <w:u w:val="single"/>
    </w:rPr>
  </w:style>
  <w:style w:type="paragraph" w:styleId="Header">
    <w:name w:val="header"/>
    <w:basedOn w:val="Normal"/>
    <w:link w:val="HeaderChar"/>
    <w:uiPriority w:val="99"/>
    <w:unhideWhenUsed/>
    <w:rsid w:val="008B1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840"/>
  </w:style>
  <w:style w:type="paragraph" w:styleId="Footer">
    <w:name w:val="footer"/>
    <w:basedOn w:val="Normal"/>
    <w:link w:val="FooterChar"/>
    <w:uiPriority w:val="99"/>
    <w:unhideWhenUsed/>
    <w:rsid w:val="008B1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1781">
      <w:bodyDiv w:val="1"/>
      <w:marLeft w:val="0"/>
      <w:marRight w:val="0"/>
      <w:marTop w:val="0"/>
      <w:marBottom w:val="0"/>
      <w:divBdr>
        <w:top w:val="none" w:sz="0" w:space="0" w:color="auto"/>
        <w:left w:val="none" w:sz="0" w:space="0" w:color="auto"/>
        <w:bottom w:val="none" w:sz="0" w:space="0" w:color="auto"/>
        <w:right w:val="none" w:sz="0" w:space="0" w:color="auto"/>
      </w:divBdr>
    </w:div>
    <w:div w:id="496842484">
      <w:bodyDiv w:val="1"/>
      <w:marLeft w:val="0"/>
      <w:marRight w:val="0"/>
      <w:marTop w:val="0"/>
      <w:marBottom w:val="0"/>
      <w:divBdr>
        <w:top w:val="none" w:sz="0" w:space="0" w:color="auto"/>
        <w:left w:val="none" w:sz="0" w:space="0" w:color="auto"/>
        <w:bottom w:val="none" w:sz="0" w:space="0" w:color="auto"/>
        <w:right w:val="none" w:sz="0" w:space="0" w:color="auto"/>
      </w:divBdr>
    </w:div>
    <w:div w:id="794375157">
      <w:bodyDiv w:val="1"/>
      <w:marLeft w:val="0"/>
      <w:marRight w:val="0"/>
      <w:marTop w:val="0"/>
      <w:marBottom w:val="0"/>
      <w:divBdr>
        <w:top w:val="none" w:sz="0" w:space="0" w:color="auto"/>
        <w:left w:val="none" w:sz="0" w:space="0" w:color="auto"/>
        <w:bottom w:val="none" w:sz="0" w:space="0" w:color="auto"/>
        <w:right w:val="none" w:sz="0" w:space="0" w:color="auto"/>
      </w:divBdr>
    </w:div>
    <w:div w:id="1114056681">
      <w:bodyDiv w:val="1"/>
      <w:marLeft w:val="0"/>
      <w:marRight w:val="0"/>
      <w:marTop w:val="0"/>
      <w:marBottom w:val="0"/>
      <w:divBdr>
        <w:top w:val="none" w:sz="0" w:space="0" w:color="auto"/>
        <w:left w:val="none" w:sz="0" w:space="0" w:color="auto"/>
        <w:bottom w:val="none" w:sz="0" w:space="0" w:color="auto"/>
        <w:right w:val="none" w:sz="0" w:space="0" w:color="auto"/>
      </w:divBdr>
    </w:div>
    <w:div w:id="2001077579">
      <w:bodyDiv w:val="1"/>
      <w:marLeft w:val="0"/>
      <w:marRight w:val="0"/>
      <w:marTop w:val="0"/>
      <w:marBottom w:val="0"/>
      <w:divBdr>
        <w:top w:val="none" w:sz="0" w:space="0" w:color="auto"/>
        <w:left w:val="none" w:sz="0" w:space="0" w:color="auto"/>
        <w:bottom w:val="none" w:sz="0" w:space="0" w:color="auto"/>
        <w:right w:val="none" w:sz="0" w:space="0" w:color="auto"/>
      </w:divBdr>
    </w:div>
    <w:div w:id="2025933911">
      <w:bodyDiv w:val="1"/>
      <w:marLeft w:val="0"/>
      <w:marRight w:val="0"/>
      <w:marTop w:val="0"/>
      <w:marBottom w:val="0"/>
      <w:divBdr>
        <w:top w:val="none" w:sz="0" w:space="0" w:color="auto"/>
        <w:left w:val="none" w:sz="0" w:space="0" w:color="auto"/>
        <w:bottom w:val="none" w:sz="0" w:space="0" w:color="auto"/>
        <w:right w:val="none" w:sz="0" w:space="0" w:color="auto"/>
      </w:divBdr>
    </w:div>
    <w:div w:id="20996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picum.org/wp-content/uploads/2023/01/Regularisation-mechanisms-and-programmes_Why-they-matter-and-how-to-design-them_EN.pdf" TargetMode="External"/><Relationship Id="rId13" Type="http://schemas.openxmlformats.org/officeDocument/2006/relationships/hyperlink" Target="https://www.whitehouse.gov/briefing-room/statements-releases/2022/06/10/fact-sheet-the-los-angeles-declaration-on-migration-and-protection-u-s-government-and-foreign-partner-deliverables/" TargetMode="External"/><Relationship Id="rId18" Type="http://schemas.openxmlformats.org/officeDocument/2006/relationships/hyperlink" Target="https://www.americanprogress.org/article/the-demographic-and-economic-impacts-of-daca-recipients-fall-2021-edition/" TargetMode="External"/><Relationship Id="rId3" Type="http://schemas.openxmlformats.org/officeDocument/2006/relationships/hyperlink" Target="https://www.unicef.org/documents/migratory-regularization-essential-condition-comprehensive-protection-rights-children" TargetMode="External"/><Relationship Id="rId21" Type="http://schemas.openxmlformats.org/officeDocument/2006/relationships/hyperlink" Target="https://migrationnetwork.un.org/system/files/resources_files/ATD_Temporary%20regularisation%20programmes.pdf" TargetMode="External"/><Relationship Id="rId7" Type="http://schemas.openxmlformats.org/officeDocument/2006/relationships/hyperlink" Target="https://www.unicef.org/media/110831/file/Children%20on%20the%20Move_FINAL.pdf" TargetMode="External"/><Relationship Id="rId12" Type="http://schemas.openxmlformats.org/officeDocument/2006/relationships/hyperlink" Target="https://www.unicef.nl/files/UNICEF%20FINAL%20edited%20comparative%20report-return%20and%20reintegration.pdf" TargetMode="External"/><Relationship Id="rId17" Type="http://schemas.openxmlformats.org/officeDocument/2006/relationships/hyperlink" Target="https://www.migrationpolicy.org/article/daca-10th-anniversary" TargetMode="External"/><Relationship Id="rId2" Type="http://schemas.openxmlformats.org/officeDocument/2006/relationships/hyperlink" Target="https://www.unicef.org/documents/migratory-regularization-essential-condition-comprehensive-protection-rights-children" TargetMode="External"/><Relationship Id="rId16" Type="http://schemas.openxmlformats.org/officeDocument/2006/relationships/hyperlink" Target="https://picum.org/wp-content/uploads/2023/01/Regularisation-mechanisms-and-programmes_Why-they-matter-and-how-to-design-them_EN.pdf" TargetMode="External"/><Relationship Id="rId20" Type="http://schemas.openxmlformats.org/officeDocument/2006/relationships/hyperlink" Target="https://www.americanprogress.org/article/the-demographic-and-economic-impacts-of-daca-recipients-fall-2021-edition/" TargetMode="External"/><Relationship Id="rId1" Type="http://schemas.openxmlformats.org/officeDocument/2006/relationships/hyperlink" Target="https://www.unicef.nl/media/2153668/7._rapport_silent_harm_unicef.pdf" TargetMode="External"/><Relationship Id="rId6" Type="http://schemas.openxmlformats.org/officeDocument/2006/relationships/hyperlink" Target="https://www.ohchr.org/sites/default/files/Documents/Issues/Migration/OHCHR_DLA_Piper_Study.pdf" TargetMode="External"/><Relationship Id="rId11" Type="http://schemas.openxmlformats.org/officeDocument/2006/relationships/hyperlink" Target="https://picum.org/wp-content/uploads/2022/04/Turning-18-and-undocumented_EN.pdf" TargetMode="External"/><Relationship Id="rId24" Type="http://schemas.openxmlformats.org/officeDocument/2006/relationships/hyperlink" Target="https://picum.org/wp-content/uploads/2023/01/Regularisation-mechanisms-and-programmes_Why-they-matter-and-how-to-design-them_EN.pdf" TargetMode="External"/><Relationship Id="rId5" Type="http://schemas.openxmlformats.org/officeDocument/2006/relationships/hyperlink" Target="https://www.oas.org/en/iachr/docs/annual/2021/Chapters/IA2021cap4A-en.pdf" TargetMode="External"/><Relationship Id="rId15" Type="http://schemas.openxmlformats.org/officeDocument/2006/relationships/hyperlink" Target="https://www.unicef.nl/files/UNICEF%20FINAL%20edited%20comparative%20report-return%20and%20reintegration.pdf" TargetMode="External"/><Relationship Id="rId23" Type="http://schemas.openxmlformats.org/officeDocument/2006/relationships/hyperlink" Target="https://migrationnetwork.un.org/sites/g/files/tmzbdl416/files/docs/guidance_note-_regular_pathways_for_admission_and_stay_for_migrants_in_situations_of_vulnerabilty_final.pdf" TargetMode="External"/><Relationship Id="rId10" Type="http://schemas.openxmlformats.org/officeDocument/2006/relationships/hyperlink" Target="https://ec.europa.eu/migrant-integration/ec.europa.eu/migrant-integration/index.cfm%3Faction%3Dmain.preview%26uuid%3D51A67CF7-9619-3DE5-0C782168C2318EE4_en" TargetMode="External"/><Relationship Id="rId19" Type="http://schemas.openxmlformats.org/officeDocument/2006/relationships/hyperlink" Target="https://www.migrationpolicy.org/article/daca-10th-anniversary" TargetMode="External"/><Relationship Id="rId4" Type="http://schemas.openxmlformats.org/officeDocument/2006/relationships/hyperlink" Target="https://www.unicef.org/press-releases/unicef-welcomes-government-colombia-decision-prevent-statelessness-thousands" TargetMode="External"/><Relationship Id="rId9" Type="http://schemas.openxmlformats.org/officeDocument/2006/relationships/hyperlink" Target="https://www.icmpd.org/file/download/54301/file/REGINE%2520Regularisations%2520in%2520Europe%2520-%2520Policy%2520Brief.pdf" TargetMode="External"/><Relationship Id="rId14" Type="http://schemas.openxmlformats.org/officeDocument/2006/relationships/hyperlink" Target="https://picum.org/wp-content/uploads/2023/01/Regularisation-mechanisms-and-programmes_Why-they-matter-and-how-to-design-them_EN.pdf" TargetMode="External"/><Relationship Id="rId22" Type="http://schemas.openxmlformats.org/officeDocument/2006/relationships/hyperlink" Target="https://migrationnetwork.un.org/sites/g/files/tmzbdl416/files/docs/un_network_on_migration_wg_atd_policy_brief_covid-19_and_immigration_deten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93A42.1FBC31A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42388-1FFB-3547-8371-FCDA6093DF55}"/>
</file>

<file path=customXml/itemProps2.xml><?xml version="1.0" encoding="utf-8"?>
<ds:datastoreItem xmlns:ds="http://schemas.openxmlformats.org/officeDocument/2006/customXml" ds:itemID="{D84C2894-EF27-4410-8A3C-61E1B1AD880A}"/>
</file>

<file path=customXml/itemProps3.xml><?xml version="1.0" encoding="utf-8"?>
<ds:datastoreItem xmlns:ds="http://schemas.openxmlformats.org/officeDocument/2006/customXml" ds:itemID="{40CA46C5-3C57-4D85-B6E9-87DDF69319F6}"/>
</file>

<file path=customXml/itemProps4.xml><?xml version="1.0" encoding="utf-8"?>
<ds:datastoreItem xmlns:ds="http://schemas.openxmlformats.org/officeDocument/2006/customXml" ds:itemID="{DEB9A0FF-9EE3-48A4-B7F9-3C70FDFC7275}"/>
</file>

<file path=docProps/app.xml><?xml version="1.0" encoding="utf-8"?>
<Properties xmlns="http://schemas.openxmlformats.org/officeDocument/2006/extended-properties" xmlns:vt="http://schemas.openxmlformats.org/officeDocument/2006/docPropsVTypes">
  <Template>Normal.dotm</Template>
  <TotalTime>29</TotalTime>
  <Pages>9</Pages>
  <Words>3103</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Farwell</dc:creator>
  <cp:keywords/>
  <dc:description/>
  <cp:lastModifiedBy>Isabela Zaleski Mori (OHCHR-Consultant)</cp:lastModifiedBy>
  <cp:revision>14</cp:revision>
  <dcterms:created xsi:type="dcterms:W3CDTF">2023-02-15T15:52:00Z</dcterms:created>
  <dcterms:modified xsi:type="dcterms:W3CDTF">2023-02-24T11:58:00Z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