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B3FB" w14:textId="552E8FF2" w:rsidR="00483883" w:rsidRPr="00DA3417" w:rsidRDefault="00C05A79" w:rsidP="00A320CD">
      <w:pPr>
        <w:spacing w:line="240" w:lineRule="auto"/>
        <w:rPr>
          <w:rFonts w:asciiTheme="minorHAnsi" w:hAnsiTheme="minorHAnsi" w:cstheme="minorHAnsi"/>
          <w:b/>
          <w:bCs/>
          <w:sz w:val="21"/>
          <w:szCs w:val="21"/>
        </w:rPr>
      </w:pPr>
      <w:r w:rsidRPr="00DA3417">
        <w:rPr>
          <w:rFonts w:asciiTheme="minorHAnsi" w:hAnsiTheme="minorHAnsi" w:cstheme="minorHAnsi"/>
          <w:b/>
          <w:bCs/>
          <w:sz w:val="21"/>
          <w:szCs w:val="21"/>
        </w:rPr>
        <w:t>S</w:t>
      </w:r>
      <w:r w:rsidR="000320D5" w:rsidRPr="00DA3417">
        <w:rPr>
          <w:rFonts w:asciiTheme="minorHAnsi" w:hAnsiTheme="minorHAnsi" w:cstheme="minorHAnsi"/>
          <w:b/>
          <w:bCs/>
          <w:sz w:val="21"/>
          <w:szCs w:val="21"/>
        </w:rPr>
        <w:t xml:space="preserve">ubmission </w:t>
      </w:r>
      <w:r w:rsidRPr="00DA3417">
        <w:rPr>
          <w:rFonts w:asciiTheme="minorHAnsi" w:hAnsiTheme="minorHAnsi" w:cstheme="minorHAnsi"/>
          <w:b/>
          <w:bCs/>
          <w:sz w:val="21"/>
          <w:szCs w:val="21"/>
        </w:rPr>
        <w:t xml:space="preserve">from the </w:t>
      </w:r>
      <w:hyperlink r:id="rId8" w:history="1">
        <w:r w:rsidRPr="00186C3A">
          <w:rPr>
            <w:rStyle w:val="Hyperlink"/>
            <w:rFonts w:asciiTheme="minorHAnsi" w:hAnsiTheme="minorHAnsi" w:cstheme="minorHAnsi"/>
            <w:b/>
            <w:bCs/>
            <w:sz w:val="21"/>
            <w:szCs w:val="21"/>
          </w:rPr>
          <w:t>International Disability and Development Consortium</w:t>
        </w:r>
        <w:r w:rsidR="00766F94" w:rsidRPr="00186C3A">
          <w:rPr>
            <w:rStyle w:val="Hyperlink"/>
            <w:rFonts w:asciiTheme="minorHAnsi" w:hAnsiTheme="minorHAnsi" w:cstheme="minorHAnsi"/>
            <w:b/>
            <w:bCs/>
            <w:sz w:val="21"/>
            <w:szCs w:val="21"/>
          </w:rPr>
          <w:t xml:space="preserve"> (IDDC)</w:t>
        </w:r>
      </w:hyperlink>
      <w:r w:rsidRPr="00DA3417">
        <w:rPr>
          <w:rFonts w:asciiTheme="minorHAnsi" w:hAnsiTheme="minorHAnsi" w:cstheme="minorHAnsi"/>
          <w:b/>
          <w:bCs/>
          <w:sz w:val="21"/>
          <w:szCs w:val="21"/>
        </w:rPr>
        <w:t xml:space="preserve"> </w:t>
      </w:r>
      <w:r w:rsidR="000320D5" w:rsidRPr="00DA3417">
        <w:rPr>
          <w:rFonts w:asciiTheme="minorHAnsi" w:hAnsiTheme="minorHAnsi" w:cstheme="minorHAnsi"/>
          <w:b/>
          <w:bCs/>
          <w:sz w:val="21"/>
          <w:szCs w:val="21"/>
        </w:rPr>
        <w:t xml:space="preserve">to </w:t>
      </w:r>
      <w:r w:rsidR="00766F94" w:rsidRPr="00DA3417">
        <w:rPr>
          <w:rFonts w:asciiTheme="minorHAnsi" w:hAnsiTheme="minorHAnsi" w:cstheme="minorHAnsi"/>
          <w:b/>
          <w:bCs/>
          <w:sz w:val="21"/>
          <w:szCs w:val="21"/>
        </w:rPr>
        <w:t xml:space="preserve">the </w:t>
      </w:r>
      <w:r w:rsidR="000320D5" w:rsidRPr="00DA3417">
        <w:rPr>
          <w:rFonts w:asciiTheme="minorHAnsi" w:hAnsiTheme="minorHAnsi" w:cstheme="minorHAnsi"/>
          <w:b/>
          <w:bCs/>
          <w:sz w:val="21"/>
          <w:szCs w:val="21"/>
        </w:rPr>
        <w:t>OHCHR</w:t>
      </w:r>
      <w:r w:rsidR="00766F94" w:rsidRPr="00DA3417">
        <w:rPr>
          <w:rFonts w:asciiTheme="minorHAnsi" w:hAnsiTheme="minorHAnsi" w:cstheme="minorHAnsi"/>
          <w:b/>
          <w:bCs/>
          <w:sz w:val="21"/>
          <w:szCs w:val="21"/>
        </w:rPr>
        <w:t xml:space="preserve"> </w:t>
      </w:r>
      <w:r w:rsidR="00766F94" w:rsidRPr="00DA3417">
        <w:rPr>
          <w:rFonts w:asciiTheme="minorHAnsi" w:hAnsiTheme="minorHAnsi" w:cstheme="minorHAnsi"/>
          <w:b/>
          <w:bCs/>
          <w:sz w:val="21"/>
          <w:szCs w:val="21"/>
        </w:rPr>
        <w:t>Call for Input: Human Rights Council resolution 54/6 on the centrality of care and support from a human rights perspective</w:t>
      </w:r>
      <w:r w:rsidR="00DA3417">
        <w:rPr>
          <w:rFonts w:asciiTheme="minorHAnsi" w:hAnsiTheme="minorHAnsi" w:cstheme="minorHAnsi"/>
          <w:b/>
          <w:bCs/>
          <w:sz w:val="21"/>
          <w:szCs w:val="21"/>
        </w:rPr>
        <w:t xml:space="preserve"> (</w:t>
      </w:r>
      <w:r w:rsidRPr="00DA3417">
        <w:rPr>
          <w:rFonts w:asciiTheme="minorHAnsi" w:hAnsiTheme="minorHAnsi" w:cstheme="minorHAnsi"/>
          <w:b/>
          <w:bCs/>
          <w:sz w:val="21"/>
          <w:szCs w:val="21"/>
        </w:rPr>
        <w:t>11</w:t>
      </w:r>
      <w:r w:rsidRPr="00DA3417">
        <w:rPr>
          <w:rFonts w:asciiTheme="minorHAnsi" w:hAnsiTheme="minorHAnsi" w:cstheme="minorHAnsi"/>
          <w:b/>
          <w:bCs/>
          <w:sz w:val="21"/>
          <w:szCs w:val="21"/>
          <w:vertAlign w:val="superscript"/>
        </w:rPr>
        <w:t>th</w:t>
      </w:r>
      <w:r w:rsidRPr="00DA3417">
        <w:rPr>
          <w:rFonts w:asciiTheme="minorHAnsi" w:hAnsiTheme="minorHAnsi" w:cstheme="minorHAnsi"/>
          <w:b/>
          <w:bCs/>
          <w:sz w:val="21"/>
          <w:szCs w:val="21"/>
        </w:rPr>
        <w:t xml:space="preserve"> </w:t>
      </w:r>
      <w:r w:rsidR="00D616B4" w:rsidRPr="00DA3417">
        <w:rPr>
          <w:rFonts w:asciiTheme="minorHAnsi" w:hAnsiTheme="minorHAnsi" w:cstheme="minorHAnsi"/>
          <w:b/>
          <w:bCs/>
          <w:sz w:val="21"/>
          <w:szCs w:val="21"/>
        </w:rPr>
        <w:t>April 2024</w:t>
      </w:r>
      <w:r w:rsidR="00DA3417">
        <w:rPr>
          <w:rFonts w:asciiTheme="minorHAnsi" w:hAnsiTheme="minorHAnsi" w:cstheme="minorHAnsi"/>
          <w:b/>
          <w:bCs/>
          <w:sz w:val="21"/>
          <w:szCs w:val="21"/>
        </w:rPr>
        <w:t>; for further information, contact: Sarah Collinson</w:t>
      </w:r>
      <w:r w:rsidR="00483883">
        <w:rPr>
          <w:rFonts w:asciiTheme="minorHAnsi" w:hAnsiTheme="minorHAnsi" w:cstheme="minorHAnsi"/>
          <w:b/>
          <w:bCs/>
          <w:sz w:val="21"/>
          <w:szCs w:val="21"/>
        </w:rPr>
        <w:t xml:space="preserve">: </w:t>
      </w:r>
      <w:hyperlink r:id="rId9" w:history="1">
        <w:r w:rsidR="00483883" w:rsidRPr="002F6468">
          <w:rPr>
            <w:rStyle w:val="Hyperlink"/>
            <w:rFonts w:asciiTheme="minorHAnsi" w:hAnsiTheme="minorHAnsi" w:cstheme="minorHAnsi"/>
            <w:b/>
            <w:bCs/>
            <w:sz w:val="21"/>
            <w:szCs w:val="21"/>
          </w:rPr>
          <w:t>scollinson@sightsavers.org</w:t>
        </w:r>
      </w:hyperlink>
      <w:r w:rsidR="00483883">
        <w:rPr>
          <w:rFonts w:asciiTheme="minorHAnsi" w:hAnsiTheme="minorHAnsi" w:cstheme="minorHAnsi"/>
          <w:b/>
          <w:bCs/>
          <w:sz w:val="21"/>
          <w:szCs w:val="21"/>
        </w:rPr>
        <w:t>)</w:t>
      </w:r>
    </w:p>
    <w:p w14:paraId="2E81027B" w14:textId="77777777" w:rsidR="00EC177D" w:rsidRPr="00917F73" w:rsidRDefault="00207660" w:rsidP="00A320CD">
      <w:pPr>
        <w:numPr>
          <w:ilvl w:val="0"/>
          <w:numId w:val="1"/>
        </w:numPr>
        <w:spacing w:afterLines="60" w:after="144" w:line="240" w:lineRule="auto"/>
        <w:ind w:left="0"/>
        <w:rPr>
          <w:rFonts w:asciiTheme="minorHAnsi" w:hAnsiTheme="minorHAnsi" w:cstheme="minorHAnsi"/>
          <w:color w:val="1F4E79" w:themeColor="accent5" w:themeShade="80"/>
          <w:sz w:val="21"/>
          <w:szCs w:val="21"/>
        </w:rPr>
      </w:pPr>
      <w:r w:rsidRPr="00917F73">
        <w:rPr>
          <w:rFonts w:asciiTheme="minorHAnsi" w:hAnsiTheme="minorHAnsi" w:cstheme="minorHAnsi"/>
          <w:b/>
          <w:bCs/>
          <w:sz w:val="21"/>
          <w:szCs w:val="21"/>
        </w:rPr>
        <w:t xml:space="preserve">In your country, regional or at the global level, how are the following rights recognized and protected under national, regional and/or international law? </w:t>
      </w:r>
    </w:p>
    <w:p w14:paraId="195D8454" w14:textId="1632A65C" w:rsidR="008D3FDF" w:rsidRPr="00917F73" w:rsidRDefault="00D5461E" w:rsidP="00A320CD">
      <w:pPr>
        <w:spacing w:afterLines="60" w:after="144"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color w:val="1F4E79" w:themeColor="accent5" w:themeShade="80"/>
          <w:sz w:val="21"/>
          <w:szCs w:val="21"/>
        </w:rPr>
        <w:t xml:space="preserve">- </w:t>
      </w:r>
      <w:r w:rsidR="008D18EC" w:rsidRPr="00917F73">
        <w:rPr>
          <w:rFonts w:asciiTheme="minorHAnsi" w:hAnsiTheme="minorHAnsi" w:cstheme="minorHAnsi"/>
          <w:color w:val="1F4E79" w:themeColor="accent5" w:themeShade="80"/>
          <w:sz w:val="21"/>
          <w:szCs w:val="21"/>
        </w:rPr>
        <w:t xml:space="preserve">Under </w:t>
      </w:r>
      <w:r w:rsidR="008D3FDF" w:rsidRPr="00917F73">
        <w:rPr>
          <w:rFonts w:asciiTheme="minorHAnsi" w:hAnsiTheme="minorHAnsi" w:cstheme="minorHAnsi"/>
          <w:color w:val="1F4E79" w:themeColor="accent5" w:themeShade="80"/>
          <w:sz w:val="21"/>
          <w:szCs w:val="21"/>
        </w:rPr>
        <w:t xml:space="preserve">CRPD </w:t>
      </w:r>
      <w:r w:rsidR="00C05A79" w:rsidRPr="00917F73">
        <w:rPr>
          <w:rFonts w:asciiTheme="minorHAnsi" w:hAnsiTheme="minorHAnsi" w:cstheme="minorHAnsi"/>
          <w:color w:val="1F4E79" w:themeColor="accent5" w:themeShade="80"/>
          <w:sz w:val="21"/>
          <w:szCs w:val="21"/>
        </w:rPr>
        <w:t>a</w:t>
      </w:r>
      <w:r w:rsidR="008D3FDF" w:rsidRPr="00917F73">
        <w:rPr>
          <w:rFonts w:asciiTheme="minorHAnsi" w:hAnsiTheme="minorHAnsi" w:cstheme="minorHAnsi"/>
          <w:color w:val="1F4E79" w:themeColor="accent5" w:themeShade="80"/>
          <w:sz w:val="21"/>
          <w:szCs w:val="21"/>
        </w:rPr>
        <w:t>rticle 19</w:t>
      </w:r>
      <w:bookmarkStart w:id="0" w:name="text"/>
      <w:bookmarkEnd w:id="0"/>
      <w:r w:rsidR="00CD5EFA">
        <w:rPr>
          <w:rFonts w:asciiTheme="minorHAnsi" w:hAnsiTheme="minorHAnsi" w:cstheme="minorHAnsi"/>
          <w:color w:val="1F4E79" w:themeColor="accent5" w:themeShade="80"/>
          <w:sz w:val="21"/>
          <w:szCs w:val="21"/>
        </w:rPr>
        <w:t xml:space="preserve">, </w:t>
      </w:r>
      <w:r w:rsidR="008D18EC" w:rsidRPr="00917F73">
        <w:rPr>
          <w:rFonts w:asciiTheme="minorHAnsi" w:hAnsiTheme="minorHAnsi" w:cstheme="minorHAnsi"/>
          <w:color w:val="1F4E79" w:themeColor="accent5" w:themeShade="80"/>
          <w:sz w:val="21"/>
          <w:szCs w:val="21"/>
        </w:rPr>
        <w:t>S</w:t>
      </w:r>
      <w:r w:rsidR="008D3FDF" w:rsidRPr="00917F73">
        <w:rPr>
          <w:rFonts w:asciiTheme="minorHAnsi" w:hAnsiTheme="minorHAnsi" w:cstheme="minorHAnsi"/>
          <w:color w:val="1F4E79" w:themeColor="accent5" w:themeShade="80"/>
          <w:sz w:val="21"/>
          <w:szCs w:val="21"/>
        </w:rPr>
        <w:t>tates Parties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14:paraId="33AA5C90" w14:textId="77777777" w:rsidR="008D3FDF" w:rsidRPr="00917F73" w:rsidRDefault="008D3FDF" w:rsidP="00917F73">
      <w:pPr>
        <w:pStyle w:val="ListParagraph"/>
        <w:spacing w:afterLines="60" w:after="144" w:line="240" w:lineRule="auto"/>
        <w:ind w:left="284"/>
        <w:rPr>
          <w:rFonts w:asciiTheme="minorHAnsi" w:hAnsiTheme="minorHAnsi" w:cstheme="minorHAnsi"/>
          <w:color w:val="1F4E79" w:themeColor="accent5" w:themeShade="80"/>
          <w:sz w:val="21"/>
          <w:szCs w:val="21"/>
        </w:rPr>
      </w:pPr>
      <w:r w:rsidRPr="00917F73">
        <w:rPr>
          <w:rFonts w:asciiTheme="minorHAnsi" w:hAnsiTheme="minorHAnsi" w:cstheme="minorHAnsi"/>
          <w:color w:val="1F4E79" w:themeColor="accent5" w:themeShade="80"/>
          <w:sz w:val="21"/>
          <w:szCs w:val="21"/>
        </w:rPr>
        <w:t xml:space="preserve">a) Persons with disabilities have the opportunity to choose their place of residence and where and with whom they live on an equal basis with others and are not obliged to live in a particular living </w:t>
      </w:r>
      <w:proofErr w:type="gramStart"/>
      <w:r w:rsidRPr="00917F73">
        <w:rPr>
          <w:rFonts w:asciiTheme="minorHAnsi" w:hAnsiTheme="minorHAnsi" w:cstheme="minorHAnsi"/>
          <w:color w:val="1F4E79" w:themeColor="accent5" w:themeShade="80"/>
          <w:sz w:val="21"/>
          <w:szCs w:val="21"/>
        </w:rPr>
        <w:t>arrangement;</w:t>
      </w:r>
      <w:proofErr w:type="gramEnd"/>
    </w:p>
    <w:p w14:paraId="29ADD62F" w14:textId="77777777" w:rsidR="008D3FDF" w:rsidRPr="00917F73" w:rsidRDefault="008D3FDF" w:rsidP="00917F73">
      <w:pPr>
        <w:pStyle w:val="ListParagraph"/>
        <w:spacing w:afterLines="60" w:after="144" w:line="240" w:lineRule="auto"/>
        <w:ind w:left="284"/>
        <w:rPr>
          <w:rFonts w:asciiTheme="minorHAnsi" w:hAnsiTheme="minorHAnsi" w:cstheme="minorHAnsi"/>
          <w:color w:val="1F4E79" w:themeColor="accent5" w:themeShade="80"/>
          <w:sz w:val="21"/>
          <w:szCs w:val="21"/>
        </w:rPr>
      </w:pPr>
      <w:r w:rsidRPr="00917F73">
        <w:rPr>
          <w:rFonts w:asciiTheme="minorHAnsi" w:hAnsiTheme="minorHAnsi" w:cstheme="minorHAnsi"/>
          <w:color w:val="1F4E79" w:themeColor="accent5" w:themeShade="80"/>
          <w:sz w:val="21"/>
          <w:szCs w:val="21"/>
        </w:rPr>
        <w:t xml:space="preserve">b) Persons with disabilities have access to a range of in-home, residential and other community support services, including personal assistance necessary to support living and inclusion in the community, and to prevent isolation or segregation from the </w:t>
      </w:r>
      <w:proofErr w:type="gramStart"/>
      <w:r w:rsidRPr="00917F73">
        <w:rPr>
          <w:rFonts w:asciiTheme="minorHAnsi" w:hAnsiTheme="minorHAnsi" w:cstheme="minorHAnsi"/>
          <w:color w:val="1F4E79" w:themeColor="accent5" w:themeShade="80"/>
          <w:sz w:val="21"/>
          <w:szCs w:val="21"/>
        </w:rPr>
        <w:t>community;</w:t>
      </w:r>
      <w:proofErr w:type="gramEnd"/>
    </w:p>
    <w:p w14:paraId="0C7716C4" w14:textId="44082BA5" w:rsidR="00207660" w:rsidRPr="00917F73" w:rsidRDefault="008D3FDF" w:rsidP="00917F73">
      <w:pPr>
        <w:pStyle w:val="ListParagraph"/>
        <w:spacing w:afterLines="60" w:after="144" w:line="240" w:lineRule="auto"/>
        <w:ind w:left="284"/>
        <w:rPr>
          <w:rFonts w:asciiTheme="minorHAnsi" w:hAnsiTheme="minorHAnsi" w:cstheme="minorHAnsi"/>
          <w:color w:val="1F4E79" w:themeColor="accent5" w:themeShade="80"/>
          <w:sz w:val="21"/>
          <w:szCs w:val="21"/>
        </w:rPr>
      </w:pPr>
      <w:r w:rsidRPr="00917F73">
        <w:rPr>
          <w:rFonts w:asciiTheme="minorHAnsi" w:hAnsiTheme="minorHAnsi" w:cstheme="minorHAnsi"/>
          <w:color w:val="1F4E79" w:themeColor="accent5" w:themeShade="80"/>
          <w:sz w:val="21"/>
          <w:szCs w:val="21"/>
        </w:rPr>
        <w:t>c) Community services and facilities for the general population are available on an equal basis to persons with disabilities and are responsive to their needs.</w:t>
      </w:r>
    </w:p>
    <w:p w14:paraId="58E1FD79" w14:textId="02A9792E" w:rsidR="00207660" w:rsidRPr="00917F73" w:rsidRDefault="00D5461E" w:rsidP="00A320CD">
      <w:pPr>
        <w:spacing w:afterLines="60" w:after="144" w:line="240" w:lineRule="auto"/>
        <w:rPr>
          <w:rFonts w:asciiTheme="minorHAnsi" w:hAnsiTheme="minorHAnsi" w:cstheme="minorHAnsi"/>
          <w:sz w:val="21"/>
          <w:szCs w:val="21"/>
        </w:rPr>
      </w:pPr>
      <w:r w:rsidRPr="00917F73">
        <w:rPr>
          <w:rFonts w:asciiTheme="minorHAnsi" w:hAnsiTheme="minorHAnsi" w:cstheme="minorHAnsi"/>
          <w:color w:val="1F4E79" w:themeColor="accent5" w:themeShade="80"/>
          <w:sz w:val="21"/>
          <w:szCs w:val="21"/>
        </w:rPr>
        <w:t xml:space="preserve">- </w:t>
      </w:r>
      <w:r w:rsidR="00207660" w:rsidRPr="00917F73">
        <w:rPr>
          <w:rFonts w:asciiTheme="minorHAnsi" w:hAnsiTheme="minorHAnsi" w:cstheme="minorHAnsi"/>
          <w:color w:val="1F4E79" w:themeColor="accent5" w:themeShade="80"/>
          <w:sz w:val="21"/>
          <w:szCs w:val="21"/>
        </w:rPr>
        <w:t>States</w:t>
      </w:r>
      <w:r w:rsidR="00080694" w:rsidRPr="00917F73">
        <w:rPr>
          <w:rFonts w:asciiTheme="minorHAnsi" w:hAnsiTheme="minorHAnsi" w:cstheme="minorHAnsi"/>
          <w:color w:val="1F4E79" w:themeColor="accent5" w:themeShade="80"/>
          <w:sz w:val="21"/>
          <w:szCs w:val="21"/>
        </w:rPr>
        <w:t xml:space="preserve"> Parties to the CRPD</w:t>
      </w:r>
      <w:r w:rsidR="00207660" w:rsidRPr="00917F73">
        <w:rPr>
          <w:rFonts w:asciiTheme="minorHAnsi" w:hAnsiTheme="minorHAnsi" w:cstheme="minorHAnsi"/>
          <w:color w:val="1F4E79" w:themeColor="accent5" w:themeShade="80"/>
          <w:sz w:val="21"/>
          <w:szCs w:val="21"/>
        </w:rPr>
        <w:t xml:space="preserve"> </w:t>
      </w:r>
      <w:r w:rsidR="00717532" w:rsidRPr="00917F73">
        <w:rPr>
          <w:rFonts w:asciiTheme="minorHAnsi" w:hAnsiTheme="minorHAnsi" w:cstheme="minorHAnsi"/>
          <w:color w:val="1F4E79" w:themeColor="accent5" w:themeShade="80"/>
          <w:sz w:val="21"/>
          <w:szCs w:val="21"/>
        </w:rPr>
        <w:t xml:space="preserve">also </w:t>
      </w:r>
      <w:r w:rsidR="00207660" w:rsidRPr="00917F73">
        <w:rPr>
          <w:rFonts w:asciiTheme="minorHAnsi" w:hAnsiTheme="minorHAnsi" w:cstheme="minorHAnsi"/>
          <w:color w:val="1F4E79" w:themeColor="accent5" w:themeShade="80"/>
          <w:sz w:val="21"/>
          <w:szCs w:val="21"/>
        </w:rPr>
        <w:t>have the obligation to ensure that all persons with disabilities have access to the range of community support services they require to participate in society, with dignity and autonomy (articles 9, 12, 14, 19(b), 20 and 28(2))</w:t>
      </w:r>
      <w:r w:rsidR="00080694" w:rsidRPr="00917F73">
        <w:rPr>
          <w:rFonts w:asciiTheme="minorHAnsi" w:hAnsiTheme="minorHAnsi" w:cstheme="minorHAnsi"/>
          <w:color w:val="1F4E79" w:themeColor="accent5" w:themeShade="80"/>
          <w:sz w:val="21"/>
          <w:szCs w:val="21"/>
        </w:rPr>
        <w:t>.</w:t>
      </w:r>
      <w:r w:rsidR="00080694" w:rsidRPr="00917F73">
        <w:rPr>
          <w:rStyle w:val="FootnoteReference"/>
          <w:rFonts w:asciiTheme="minorHAnsi" w:hAnsiTheme="minorHAnsi" w:cstheme="minorHAnsi"/>
          <w:color w:val="1F4E79" w:themeColor="accent5" w:themeShade="80"/>
          <w:sz w:val="21"/>
          <w:szCs w:val="21"/>
        </w:rPr>
        <w:footnoteReference w:id="1"/>
      </w:r>
    </w:p>
    <w:p w14:paraId="383E79D1" w14:textId="5491FFA1" w:rsidR="00D5461E" w:rsidRPr="00917F73" w:rsidRDefault="00182992" w:rsidP="00A320CD">
      <w:pPr>
        <w:spacing w:afterLines="60" w:after="144"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color w:val="1F4E79" w:themeColor="accent5" w:themeShade="80"/>
          <w:sz w:val="21"/>
          <w:szCs w:val="21"/>
        </w:rPr>
        <w:t xml:space="preserve">- </w:t>
      </w:r>
      <w:r w:rsidR="00CD5EFA">
        <w:rPr>
          <w:rFonts w:asciiTheme="minorHAnsi" w:hAnsiTheme="minorHAnsi" w:cstheme="minorHAnsi"/>
          <w:color w:val="1F4E79" w:themeColor="accent5" w:themeShade="80"/>
          <w:sz w:val="21"/>
          <w:szCs w:val="21"/>
        </w:rPr>
        <w:t>Under CRPD a</w:t>
      </w:r>
      <w:r w:rsidR="00B12BCF" w:rsidRPr="00917F73">
        <w:rPr>
          <w:rFonts w:asciiTheme="minorHAnsi" w:hAnsiTheme="minorHAnsi" w:cstheme="minorHAnsi"/>
          <w:color w:val="1F4E79" w:themeColor="accent5" w:themeShade="80"/>
          <w:sz w:val="21"/>
          <w:szCs w:val="21"/>
        </w:rPr>
        <w:t>rticle 12 all persons with disabilities, including persons with mental health conditions and psychosocial disabilities, must be allowed to exercise legal capacity</w:t>
      </w:r>
      <w:r w:rsidR="007076D8" w:rsidRPr="00917F73">
        <w:rPr>
          <w:rFonts w:asciiTheme="minorHAnsi" w:hAnsiTheme="minorHAnsi" w:cstheme="minorHAnsi"/>
          <w:color w:val="1F4E79" w:themeColor="accent5" w:themeShade="80"/>
          <w:sz w:val="21"/>
          <w:szCs w:val="21"/>
        </w:rPr>
        <w:t xml:space="preserve"> </w:t>
      </w:r>
      <w:r w:rsidR="00B12BCF" w:rsidRPr="00917F73">
        <w:rPr>
          <w:rFonts w:asciiTheme="minorHAnsi" w:hAnsiTheme="minorHAnsi" w:cstheme="minorHAnsi"/>
          <w:color w:val="1F4E79" w:themeColor="accent5" w:themeShade="80"/>
          <w:sz w:val="21"/>
          <w:szCs w:val="21"/>
        </w:rPr>
        <w:t>on an equal basis with others</w:t>
      </w:r>
      <w:r w:rsidR="005F46D4">
        <w:rPr>
          <w:rFonts w:asciiTheme="minorHAnsi" w:hAnsiTheme="minorHAnsi" w:cstheme="minorHAnsi"/>
          <w:color w:val="1F4E79" w:themeColor="accent5" w:themeShade="80"/>
          <w:sz w:val="21"/>
          <w:szCs w:val="21"/>
        </w:rPr>
        <w:t>,</w:t>
      </w:r>
      <w:r w:rsidR="002249F4" w:rsidRPr="00917F73">
        <w:rPr>
          <w:rStyle w:val="FootnoteReference"/>
          <w:rFonts w:asciiTheme="minorHAnsi" w:hAnsiTheme="minorHAnsi" w:cstheme="minorHAnsi"/>
          <w:color w:val="1F4E79" w:themeColor="accent5" w:themeShade="80"/>
          <w:sz w:val="21"/>
          <w:szCs w:val="21"/>
        </w:rPr>
        <w:footnoteReference w:id="2"/>
      </w:r>
      <w:r w:rsidR="00B12BCF" w:rsidRPr="00917F73">
        <w:rPr>
          <w:rFonts w:asciiTheme="minorHAnsi" w:hAnsiTheme="minorHAnsi" w:cstheme="minorHAnsi"/>
          <w:color w:val="1F4E79" w:themeColor="accent5" w:themeShade="80"/>
          <w:sz w:val="21"/>
          <w:szCs w:val="21"/>
        </w:rPr>
        <w:t> prohibit</w:t>
      </w:r>
      <w:r w:rsidR="005F46D4">
        <w:rPr>
          <w:rFonts w:asciiTheme="minorHAnsi" w:hAnsiTheme="minorHAnsi" w:cstheme="minorHAnsi"/>
          <w:color w:val="1F4E79" w:themeColor="accent5" w:themeShade="80"/>
          <w:sz w:val="21"/>
          <w:szCs w:val="21"/>
        </w:rPr>
        <w:t>ing</w:t>
      </w:r>
      <w:r w:rsidR="00B12BCF" w:rsidRPr="00917F73">
        <w:rPr>
          <w:rFonts w:asciiTheme="minorHAnsi" w:hAnsiTheme="minorHAnsi" w:cstheme="minorHAnsi"/>
          <w:color w:val="1F4E79" w:themeColor="accent5" w:themeShade="80"/>
          <w:sz w:val="21"/>
          <w:szCs w:val="21"/>
        </w:rPr>
        <w:t xml:space="preserve"> practices such as forced admission and treatment, guardianship, and other forms of substitute decision-making. </w:t>
      </w:r>
      <w:r w:rsidR="005F46D4">
        <w:rPr>
          <w:rFonts w:asciiTheme="minorHAnsi" w:hAnsiTheme="minorHAnsi" w:cstheme="minorHAnsi"/>
          <w:color w:val="1F4E79" w:themeColor="accent5" w:themeShade="80"/>
          <w:sz w:val="21"/>
          <w:szCs w:val="21"/>
        </w:rPr>
        <w:t>A</w:t>
      </w:r>
      <w:r w:rsidR="00B12BCF" w:rsidRPr="00917F73">
        <w:rPr>
          <w:rFonts w:asciiTheme="minorHAnsi" w:hAnsiTheme="minorHAnsi" w:cstheme="minorHAnsi"/>
          <w:color w:val="1F4E79" w:themeColor="accent5" w:themeShade="80"/>
          <w:sz w:val="21"/>
          <w:szCs w:val="21"/>
        </w:rPr>
        <w:t xml:space="preserve">rticle 12 recognizes and promotes the concept of “supported decision-making,” wherein people are provided with access to support </w:t>
      </w:r>
      <w:r w:rsidR="005A7958" w:rsidRPr="00917F73">
        <w:rPr>
          <w:rFonts w:asciiTheme="minorHAnsi" w:hAnsiTheme="minorHAnsi" w:cstheme="minorHAnsi"/>
          <w:color w:val="1F4E79" w:themeColor="accent5" w:themeShade="80"/>
          <w:sz w:val="21"/>
          <w:szCs w:val="21"/>
        </w:rPr>
        <w:t>to make decisions and choices for themselves</w:t>
      </w:r>
      <w:r w:rsidR="00B12BCF" w:rsidRPr="00917F73">
        <w:rPr>
          <w:rFonts w:asciiTheme="minorHAnsi" w:hAnsiTheme="minorHAnsi" w:cstheme="minorHAnsi"/>
          <w:color w:val="1F4E79" w:themeColor="accent5" w:themeShade="80"/>
          <w:sz w:val="21"/>
          <w:szCs w:val="21"/>
        </w:rPr>
        <w:t xml:space="preserve">, including the support of people they. A person may need support to understand the information, </w:t>
      </w:r>
      <w:r w:rsidR="005A7958" w:rsidRPr="00917F73">
        <w:rPr>
          <w:rFonts w:asciiTheme="minorHAnsi" w:hAnsiTheme="minorHAnsi" w:cstheme="minorHAnsi"/>
          <w:color w:val="1F4E79" w:themeColor="accent5" w:themeShade="80"/>
          <w:sz w:val="21"/>
          <w:szCs w:val="21"/>
        </w:rPr>
        <w:t xml:space="preserve">assess </w:t>
      </w:r>
      <w:r w:rsidR="00B12BCF" w:rsidRPr="00917F73">
        <w:rPr>
          <w:rFonts w:asciiTheme="minorHAnsi" w:hAnsiTheme="minorHAnsi" w:cstheme="minorHAnsi"/>
          <w:color w:val="1F4E79" w:themeColor="accent5" w:themeShade="80"/>
          <w:sz w:val="21"/>
          <w:szCs w:val="21"/>
        </w:rPr>
        <w:t>options</w:t>
      </w:r>
      <w:r w:rsidR="00BB620B" w:rsidRPr="00917F73">
        <w:rPr>
          <w:rFonts w:asciiTheme="minorHAnsi" w:hAnsiTheme="minorHAnsi" w:cstheme="minorHAnsi"/>
          <w:color w:val="1F4E79" w:themeColor="accent5" w:themeShade="80"/>
          <w:sz w:val="21"/>
          <w:szCs w:val="21"/>
        </w:rPr>
        <w:t xml:space="preserve"> and potential </w:t>
      </w:r>
      <w:r w:rsidR="00B12BCF" w:rsidRPr="00917F73">
        <w:rPr>
          <w:rFonts w:asciiTheme="minorHAnsi" w:hAnsiTheme="minorHAnsi" w:cstheme="minorHAnsi"/>
          <w:color w:val="1F4E79" w:themeColor="accent5" w:themeShade="80"/>
          <w:sz w:val="21"/>
          <w:szCs w:val="21"/>
        </w:rPr>
        <w:t>consequences, and communicate their decisions to others.</w:t>
      </w:r>
      <w:r w:rsidR="00847D99" w:rsidRPr="00917F73">
        <w:rPr>
          <w:rStyle w:val="FootnoteReference"/>
          <w:rFonts w:asciiTheme="minorHAnsi" w:hAnsiTheme="minorHAnsi" w:cstheme="minorHAnsi"/>
          <w:color w:val="1F4E79" w:themeColor="accent5" w:themeShade="80"/>
          <w:sz w:val="21"/>
          <w:szCs w:val="21"/>
        </w:rPr>
        <w:footnoteReference w:id="3"/>
      </w:r>
      <w:r w:rsidR="0031303E" w:rsidRPr="00917F73">
        <w:rPr>
          <w:rFonts w:asciiTheme="minorHAnsi" w:hAnsiTheme="minorHAnsi" w:cstheme="minorHAnsi"/>
          <w:color w:val="1F4E79" w:themeColor="accent5" w:themeShade="80"/>
          <w:sz w:val="21"/>
          <w:szCs w:val="21"/>
        </w:rPr>
        <w:t xml:space="preserve"> </w:t>
      </w:r>
    </w:p>
    <w:p w14:paraId="3739F3F0" w14:textId="677FCAB9" w:rsidR="002A23BA" w:rsidRPr="00917F73" w:rsidRDefault="004374E3" w:rsidP="00A320CD">
      <w:pPr>
        <w:spacing w:afterLines="60" w:after="144"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color w:val="1F4E79" w:themeColor="accent5" w:themeShade="80"/>
          <w:sz w:val="21"/>
          <w:szCs w:val="21"/>
        </w:rPr>
        <w:t xml:space="preserve">- </w:t>
      </w:r>
      <w:r w:rsidR="0054263D" w:rsidRPr="00917F73">
        <w:rPr>
          <w:rFonts w:asciiTheme="minorHAnsi" w:hAnsiTheme="minorHAnsi" w:cstheme="minorHAnsi"/>
          <w:color w:val="1F4E79" w:themeColor="accent5" w:themeShade="80"/>
          <w:sz w:val="21"/>
          <w:szCs w:val="21"/>
        </w:rPr>
        <w:t xml:space="preserve">Under </w:t>
      </w:r>
      <w:r w:rsidR="006E48F4">
        <w:rPr>
          <w:rFonts w:asciiTheme="minorHAnsi" w:hAnsiTheme="minorHAnsi" w:cstheme="minorHAnsi"/>
          <w:color w:val="1F4E79" w:themeColor="accent5" w:themeShade="80"/>
          <w:sz w:val="21"/>
          <w:szCs w:val="21"/>
        </w:rPr>
        <w:t xml:space="preserve">CRPD </w:t>
      </w:r>
      <w:r w:rsidR="0054263D" w:rsidRPr="00917F73">
        <w:rPr>
          <w:rFonts w:asciiTheme="minorHAnsi" w:hAnsiTheme="minorHAnsi" w:cstheme="minorHAnsi"/>
          <w:color w:val="1F4E79" w:themeColor="accent5" w:themeShade="80"/>
          <w:sz w:val="21"/>
          <w:szCs w:val="21"/>
        </w:rPr>
        <w:t>a</w:t>
      </w:r>
      <w:r w:rsidR="00FE192C" w:rsidRPr="00917F73">
        <w:rPr>
          <w:rFonts w:asciiTheme="minorHAnsi" w:hAnsiTheme="minorHAnsi" w:cstheme="minorHAnsi"/>
          <w:color w:val="1F4E79" w:themeColor="accent5" w:themeShade="80"/>
          <w:sz w:val="21"/>
          <w:szCs w:val="21"/>
        </w:rPr>
        <w:t>rticle 25</w:t>
      </w:r>
      <w:r w:rsidR="006E48F4">
        <w:rPr>
          <w:rFonts w:asciiTheme="minorHAnsi" w:hAnsiTheme="minorHAnsi" w:cstheme="minorHAnsi"/>
          <w:color w:val="1F4E79" w:themeColor="accent5" w:themeShade="80"/>
          <w:sz w:val="21"/>
          <w:szCs w:val="21"/>
        </w:rPr>
        <w:t>,</w:t>
      </w:r>
      <w:r w:rsidR="0054263D" w:rsidRPr="00917F73">
        <w:rPr>
          <w:rFonts w:asciiTheme="minorHAnsi" w:hAnsiTheme="minorHAnsi" w:cstheme="minorHAnsi"/>
          <w:color w:val="1F4E79" w:themeColor="accent5" w:themeShade="80"/>
          <w:sz w:val="21"/>
          <w:szCs w:val="21"/>
        </w:rPr>
        <w:t xml:space="preserve"> </w:t>
      </w:r>
      <w:r w:rsidR="0054263D" w:rsidRPr="00917F73">
        <w:rPr>
          <w:rFonts w:asciiTheme="minorHAnsi" w:hAnsiTheme="minorHAnsi" w:cstheme="minorHAnsi"/>
          <w:color w:val="1F4E79" w:themeColor="accent5" w:themeShade="80"/>
          <w:sz w:val="21"/>
          <w:szCs w:val="21"/>
        </w:rPr>
        <w:t xml:space="preserve">States Parties recognize that persons with disabilities have the right to the enjoyment of the highest attainable standard of health without discrimination </w:t>
      </w:r>
      <w:proofErr w:type="gramStart"/>
      <w:r w:rsidR="0054263D" w:rsidRPr="00917F73">
        <w:rPr>
          <w:rFonts w:asciiTheme="minorHAnsi" w:hAnsiTheme="minorHAnsi" w:cstheme="minorHAnsi"/>
          <w:color w:val="1F4E79" w:themeColor="accent5" w:themeShade="80"/>
          <w:sz w:val="21"/>
          <w:szCs w:val="21"/>
        </w:rPr>
        <w:t>on the basis of</w:t>
      </w:r>
      <w:proofErr w:type="gramEnd"/>
      <w:r w:rsidR="0054263D" w:rsidRPr="00917F73">
        <w:rPr>
          <w:rFonts w:asciiTheme="minorHAnsi" w:hAnsiTheme="minorHAnsi" w:cstheme="minorHAnsi"/>
          <w:color w:val="1F4E79" w:themeColor="accent5" w:themeShade="80"/>
          <w:sz w:val="21"/>
          <w:szCs w:val="21"/>
        </w:rPr>
        <w:t xml:space="preserve"> disability</w:t>
      </w:r>
      <w:r w:rsidR="0054263D" w:rsidRPr="00917F73">
        <w:rPr>
          <w:rFonts w:asciiTheme="minorHAnsi" w:hAnsiTheme="minorHAnsi" w:cstheme="minorHAnsi"/>
          <w:color w:val="1F4E79" w:themeColor="accent5" w:themeShade="80"/>
          <w:sz w:val="21"/>
          <w:szCs w:val="21"/>
        </w:rPr>
        <w:t xml:space="preserve">. General Comment 14 </w:t>
      </w:r>
      <w:r w:rsidR="00854116" w:rsidRPr="00917F73">
        <w:rPr>
          <w:rFonts w:asciiTheme="minorHAnsi" w:hAnsiTheme="minorHAnsi" w:cstheme="minorHAnsi"/>
          <w:color w:val="1F4E79" w:themeColor="accent5" w:themeShade="80"/>
          <w:sz w:val="21"/>
          <w:szCs w:val="21"/>
        </w:rPr>
        <w:t xml:space="preserve">on the right to health </w:t>
      </w:r>
      <w:r w:rsidR="002C30C6" w:rsidRPr="00917F73">
        <w:rPr>
          <w:rFonts w:asciiTheme="minorHAnsi" w:hAnsiTheme="minorHAnsi" w:cstheme="minorHAnsi"/>
          <w:color w:val="1F4E79" w:themeColor="accent5" w:themeShade="80"/>
          <w:sz w:val="21"/>
          <w:szCs w:val="21"/>
        </w:rPr>
        <w:t xml:space="preserve">confirms that the </w:t>
      </w:r>
      <w:r w:rsidR="00DD670F" w:rsidRPr="00917F73">
        <w:rPr>
          <w:rFonts w:asciiTheme="minorHAnsi" w:hAnsiTheme="minorHAnsi" w:cstheme="minorHAnsi"/>
          <w:color w:val="1F4E79" w:themeColor="accent5" w:themeShade="80"/>
          <w:sz w:val="21"/>
          <w:szCs w:val="21"/>
        </w:rPr>
        <w:t>right to</w:t>
      </w:r>
      <w:r w:rsidR="002C30C6" w:rsidRPr="00917F73">
        <w:rPr>
          <w:rFonts w:asciiTheme="minorHAnsi" w:hAnsiTheme="minorHAnsi" w:cstheme="minorHAnsi"/>
          <w:color w:val="1F4E79" w:themeColor="accent5" w:themeShade="80"/>
          <w:sz w:val="21"/>
          <w:szCs w:val="21"/>
        </w:rPr>
        <w:t xml:space="preserve"> the highest attainable standard of</w:t>
      </w:r>
      <w:r w:rsidR="00DD670F" w:rsidRPr="00917F73">
        <w:rPr>
          <w:rFonts w:asciiTheme="minorHAnsi" w:hAnsiTheme="minorHAnsi" w:cstheme="minorHAnsi"/>
          <w:color w:val="1F4E79" w:themeColor="accent5" w:themeShade="80"/>
          <w:sz w:val="21"/>
          <w:szCs w:val="21"/>
        </w:rPr>
        <w:t xml:space="preserve"> health embraces a wide range of socio-economic factors that promote conditions in which people can lead a healthy life</w:t>
      </w:r>
      <w:r w:rsidR="006653B6">
        <w:rPr>
          <w:rFonts w:asciiTheme="minorHAnsi" w:hAnsiTheme="minorHAnsi" w:cstheme="minorHAnsi"/>
          <w:color w:val="1F4E79" w:themeColor="accent5" w:themeShade="80"/>
          <w:sz w:val="21"/>
          <w:szCs w:val="21"/>
        </w:rPr>
        <w:t>; in this regard, a</w:t>
      </w:r>
      <w:r w:rsidR="00084C91" w:rsidRPr="00917F73">
        <w:rPr>
          <w:rFonts w:asciiTheme="minorHAnsi" w:hAnsiTheme="minorHAnsi" w:cstheme="minorHAnsi"/>
          <w:color w:val="1F4E79" w:themeColor="accent5" w:themeShade="80"/>
          <w:sz w:val="21"/>
          <w:szCs w:val="21"/>
        </w:rPr>
        <w:t xml:space="preserve">ccess to quality care and support services is </w:t>
      </w:r>
      <w:r w:rsidR="00EB297F" w:rsidRPr="00917F73">
        <w:rPr>
          <w:rFonts w:asciiTheme="minorHAnsi" w:hAnsiTheme="minorHAnsi" w:cstheme="minorHAnsi"/>
          <w:color w:val="1F4E79" w:themeColor="accent5" w:themeShade="80"/>
          <w:sz w:val="21"/>
          <w:szCs w:val="21"/>
        </w:rPr>
        <w:t>essential to realise the right to health for many persons with disabilities</w:t>
      </w:r>
      <w:r w:rsidR="001332C1">
        <w:rPr>
          <w:rFonts w:asciiTheme="minorHAnsi" w:hAnsiTheme="minorHAnsi" w:cstheme="minorHAnsi"/>
          <w:color w:val="1F4E79" w:themeColor="accent5" w:themeShade="80"/>
          <w:sz w:val="21"/>
          <w:szCs w:val="21"/>
        </w:rPr>
        <w:t>. A</w:t>
      </w:r>
      <w:r w:rsidR="00EB297F" w:rsidRPr="00917F73">
        <w:rPr>
          <w:rFonts w:asciiTheme="minorHAnsi" w:hAnsiTheme="minorHAnsi" w:cstheme="minorHAnsi"/>
          <w:color w:val="1F4E79" w:themeColor="accent5" w:themeShade="80"/>
          <w:sz w:val="21"/>
          <w:szCs w:val="21"/>
        </w:rPr>
        <w:t xml:space="preserve">t the same time, </w:t>
      </w:r>
      <w:r w:rsidR="00BC45D5" w:rsidRPr="00917F73">
        <w:rPr>
          <w:rFonts w:asciiTheme="minorHAnsi" w:hAnsiTheme="minorHAnsi" w:cstheme="minorHAnsi"/>
          <w:color w:val="1F4E79" w:themeColor="accent5" w:themeShade="80"/>
          <w:sz w:val="21"/>
          <w:szCs w:val="21"/>
        </w:rPr>
        <w:t>i</w:t>
      </w:r>
      <w:r w:rsidR="00EB297F" w:rsidRPr="00917F73">
        <w:rPr>
          <w:rFonts w:asciiTheme="minorHAnsi" w:hAnsiTheme="minorHAnsi" w:cstheme="minorHAnsi"/>
          <w:color w:val="1F4E79" w:themeColor="accent5" w:themeShade="80"/>
          <w:sz w:val="21"/>
          <w:szCs w:val="21"/>
        </w:rPr>
        <w:t>mproving the health-outcomes and functioning of a person can foster their autonomy, alleviating a need for caregiving</w:t>
      </w:r>
      <w:r w:rsidR="00BC45D5" w:rsidRPr="00917F73">
        <w:rPr>
          <w:rFonts w:asciiTheme="minorHAnsi" w:hAnsiTheme="minorHAnsi" w:cstheme="minorHAnsi"/>
          <w:color w:val="1F4E79" w:themeColor="accent5" w:themeShade="80"/>
          <w:sz w:val="21"/>
          <w:szCs w:val="21"/>
        </w:rPr>
        <w:t>.</w:t>
      </w:r>
      <w:r w:rsidR="00BC45D5" w:rsidRPr="00917F73">
        <w:rPr>
          <w:rStyle w:val="FootnoteReference"/>
          <w:rFonts w:asciiTheme="minorHAnsi" w:hAnsiTheme="minorHAnsi" w:cstheme="minorHAnsi"/>
          <w:color w:val="1F4E79" w:themeColor="accent5" w:themeShade="80"/>
          <w:sz w:val="21"/>
          <w:szCs w:val="21"/>
        </w:rPr>
        <w:footnoteReference w:id="4"/>
      </w:r>
    </w:p>
    <w:p w14:paraId="15158D18" w14:textId="7A10AB30" w:rsidR="00FE192C" w:rsidRPr="00917F73" w:rsidRDefault="002A23BA" w:rsidP="00A320CD">
      <w:pPr>
        <w:spacing w:afterLines="60" w:after="144"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color w:val="1F4E79" w:themeColor="accent5" w:themeShade="80"/>
          <w:sz w:val="21"/>
          <w:szCs w:val="21"/>
        </w:rPr>
        <w:t xml:space="preserve">- </w:t>
      </w:r>
      <w:r w:rsidR="006E48F4">
        <w:rPr>
          <w:rFonts w:asciiTheme="minorHAnsi" w:hAnsiTheme="minorHAnsi" w:cstheme="minorHAnsi"/>
          <w:color w:val="1F4E79" w:themeColor="accent5" w:themeShade="80"/>
          <w:sz w:val="21"/>
          <w:szCs w:val="21"/>
        </w:rPr>
        <w:t>Under CRPD a</w:t>
      </w:r>
      <w:r w:rsidR="004374E3" w:rsidRPr="00917F73">
        <w:rPr>
          <w:rFonts w:asciiTheme="minorHAnsi" w:hAnsiTheme="minorHAnsi" w:cstheme="minorHAnsi"/>
          <w:color w:val="1F4E79" w:themeColor="accent5" w:themeShade="80"/>
          <w:sz w:val="21"/>
          <w:szCs w:val="21"/>
        </w:rPr>
        <w:t>rticle 26</w:t>
      </w:r>
      <w:r w:rsidR="006E48F4">
        <w:rPr>
          <w:rFonts w:asciiTheme="minorHAnsi" w:hAnsiTheme="minorHAnsi" w:cstheme="minorHAnsi"/>
          <w:color w:val="1F4E79" w:themeColor="accent5" w:themeShade="80"/>
          <w:sz w:val="21"/>
          <w:szCs w:val="21"/>
        </w:rPr>
        <w:t xml:space="preserve">, </w:t>
      </w:r>
      <w:r w:rsidR="002802D5" w:rsidRPr="00917F73">
        <w:rPr>
          <w:rFonts w:asciiTheme="minorHAnsi" w:hAnsiTheme="minorHAnsi" w:cstheme="minorHAnsi"/>
          <w:color w:val="1F4E79" w:themeColor="accent5" w:themeShade="80"/>
          <w:sz w:val="21"/>
          <w:szCs w:val="21"/>
        </w:rPr>
        <w:t xml:space="preserve">States Parties shall take effective and appropriate measures, including through peer support, to enable persons with disabilities to attain and maintain maximum independence, full physical, mental, </w:t>
      </w:r>
      <w:proofErr w:type="gramStart"/>
      <w:r w:rsidR="002802D5" w:rsidRPr="00917F73">
        <w:rPr>
          <w:rFonts w:asciiTheme="minorHAnsi" w:hAnsiTheme="minorHAnsi" w:cstheme="minorHAnsi"/>
          <w:color w:val="1F4E79" w:themeColor="accent5" w:themeShade="80"/>
          <w:sz w:val="21"/>
          <w:szCs w:val="21"/>
        </w:rPr>
        <w:t>social</w:t>
      </w:r>
      <w:proofErr w:type="gramEnd"/>
      <w:r w:rsidR="002802D5" w:rsidRPr="00917F73">
        <w:rPr>
          <w:rFonts w:asciiTheme="minorHAnsi" w:hAnsiTheme="minorHAnsi" w:cstheme="minorHAnsi"/>
          <w:color w:val="1F4E79" w:themeColor="accent5" w:themeShade="80"/>
          <w:sz w:val="21"/>
          <w:szCs w:val="21"/>
        </w:rPr>
        <w:t xml:space="preserve"> and vocational ability, and full inclusion and participation in all aspects of life. To that end, States Parties shall organize, strengthen and extend comprehensive </w:t>
      </w:r>
      <w:proofErr w:type="spellStart"/>
      <w:r w:rsidR="002802D5" w:rsidRPr="00917F73">
        <w:rPr>
          <w:rFonts w:asciiTheme="minorHAnsi" w:hAnsiTheme="minorHAnsi" w:cstheme="minorHAnsi"/>
          <w:color w:val="1F4E79" w:themeColor="accent5" w:themeShade="80"/>
          <w:sz w:val="21"/>
          <w:szCs w:val="21"/>
        </w:rPr>
        <w:t>habilitation</w:t>
      </w:r>
      <w:proofErr w:type="spellEnd"/>
      <w:r w:rsidR="002802D5" w:rsidRPr="00917F73">
        <w:rPr>
          <w:rFonts w:asciiTheme="minorHAnsi" w:hAnsiTheme="minorHAnsi" w:cstheme="minorHAnsi"/>
          <w:color w:val="1F4E79" w:themeColor="accent5" w:themeShade="80"/>
          <w:sz w:val="21"/>
          <w:szCs w:val="21"/>
        </w:rPr>
        <w:t xml:space="preserve"> and rehabilitation services and programmes, particularly in the areas of health, employment, education and social services, in such a way that these services and programmes</w:t>
      </w:r>
      <w:r w:rsidR="00082A70" w:rsidRPr="00917F73">
        <w:rPr>
          <w:rFonts w:asciiTheme="minorHAnsi" w:hAnsiTheme="minorHAnsi" w:cstheme="minorHAnsi"/>
          <w:color w:val="1F4E79" w:themeColor="accent5" w:themeShade="80"/>
          <w:sz w:val="21"/>
          <w:szCs w:val="21"/>
        </w:rPr>
        <w:t xml:space="preserve">; they </w:t>
      </w:r>
      <w:r w:rsidR="00082A70" w:rsidRPr="00917F73">
        <w:rPr>
          <w:rFonts w:asciiTheme="minorHAnsi" w:hAnsiTheme="minorHAnsi" w:cstheme="minorHAnsi"/>
          <w:color w:val="1F4E79" w:themeColor="accent5" w:themeShade="80"/>
          <w:sz w:val="21"/>
          <w:szCs w:val="21"/>
        </w:rPr>
        <w:t xml:space="preserve">shall </w:t>
      </w:r>
      <w:r w:rsidR="0037518B">
        <w:rPr>
          <w:rFonts w:asciiTheme="minorHAnsi" w:hAnsiTheme="minorHAnsi" w:cstheme="minorHAnsi"/>
          <w:color w:val="1F4E79" w:themeColor="accent5" w:themeShade="80"/>
          <w:sz w:val="21"/>
          <w:szCs w:val="21"/>
        </w:rPr>
        <w:t xml:space="preserve">also </w:t>
      </w:r>
      <w:r w:rsidR="00082A70" w:rsidRPr="00917F73">
        <w:rPr>
          <w:rFonts w:asciiTheme="minorHAnsi" w:hAnsiTheme="minorHAnsi" w:cstheme="minorHAnsi"/>
          <w:color w:val="1F4E79" w:themeColor="accent5" w:themeShade="80"/>
          <w:sz w:val="21"/>
          <w:szCs w:val="21"/>
        </w:rPr>
        <w:t xml:space="preserve">promote the </w:t>
      </w:r>
      <w:r w:rsidR="00082A70" w:rsidRPr="00917F73">
        <w:rPr>
          <w:rFonts w:asciiTheme="minorHAnsi" w:hAnsiTheme="minorHAnsi" w:cstheme="minorHAnsi"/>
          <w:color w:val="1F4E79" w:themeColor="accent5" w:themeShade="80"/>
          <w:sz w:val="21"/>
          <w:szCs w:val="21"/>
        </w:rPr>
        <w:lastRenderedPageBreak/>
        <w:t xml:space="preserve">development of initial and continuing training for professionals and staff working in </w:t>
      </w:r>
      <w:proofErr w:type="spellStart"/>
      <w:r w:rsidR="00082A70" w:rsidRPr="00917F73">
        <w:rPr>
          <w:rFonts w:asciiTheme="minorHAnsi" w:hAnsiTheme="minorHAnsi" w:cstheme="minorHAnsi"/>
          <w:color w:val="1F4E79" w:themeColor="accent5" w:themeShade="80"/>
          <w:sz w:val="21"/>
          <w:szCs w:val="21"/>
        </w:rPr>
        <w:t>habilitation</w:t>
      </w:r>
      <w:proofErr w:type="spellEnd"/>
      <w:r w:rsidR="00082A70" w:rsidRPr="00917F73">
        <w:rPr>
          <w:rFonts w:asciiTheme="minorHAnsi" w:hAnsiTheme="minorHAnsi" w:cstheme="minorHAnsi"/>
          <w:color w:val="1F4E79" w:themeColor="accent5" w:themeShade="80"/>
          <w:sz w:val="21"/>
          <w:szCs w:val="21"/>
        </w:rPr>
        <w:t xml:space="preserve"> and rehabilitation services</w:t>
      </w:r>
      <w:r w:rsidR="00B51E09" w:rsidRPr="00917F73">
        <w:rPr>
          <w:rFonts w:asciiTheme="minorHAnsi" w:hAnsiTheme="minorHAnsi" w:cstheme="minorHAnsi"/>
          <w:color w:val="1F4E79" w:themeColor="accent5" w:themeShade="80"/>
          <w:sz w:val="21"/>
          <w:szCs w:val="21"/>
        </w:rPr>
        <w:t xml:space="preserve">, and </w:t>
      </w:r>
      <w:r w:rsidR="0037518B">
        <w:rPr>
          <w:rFonts w:asciiTheme="minorHAnsi" w:hAnsiTheme="minorHAnsi" w:cstheme="minorHAnsi"/>
          <w:color w:val="1F4E79" w:themeColor="accent5" w:themeShade="80"/>
          <w:sz w:val="21"/>
          <w:szCs w:val="21"/>
        </w:rPr>
        <w:t xml:space="preserve">they </w:t>
      </w:r>
      <w:r w:rsidR="00D11881" w:rsidRPr="00917F73">
        <w:rPr>
          <w:rFonts w:asciiTheme="minorHAnsi" w:hAnsiTheme="minorHAnsi" w:cstheme="minorHAnsi"/>
          <w:color w:val="1F4E79" w:themeColor="accent5" w:themeShade="80"/>
          <w:sz w:val="21"/>
          <w:szCs w:val="21"/>
        </w:rPr>
        <w:t xml:space="preserve">shall promote the availability, knowledge and use of assistive devices and technologies, designed for persons with disabilities, as they relate to </w:t>
      </w:r>
      <w:proofErr w:type="spellStart"/>
      <w:r w:rsidR="00D11881" w:rsidRPr="00917F73">
        <w:rPr>
          <w:rFonts w:asciiTheme="minorHAnsi" w:hAnsiTheme="minorHAnsi" w:cstheme="minorHAnsi"/>
          <w:color w:val="1F4E79" w:themeColor="accent5" w:themeShade="80"/>
          <w:sz w:val="21"/>
          <w:szCs w:val="21"/>
        </w:rPr>
        <w:t>habilitation</w:t>
      </w:r>
      <w:proofErr w:type="spellEnd"/>
      <w:r w:rsidR="00D11881" w:rsidRPr="00917F73">
        <w:rPr>
          <w:rFonts w:asciiTheme="minorHAnsi" w:hAnsiTheme="minorHAnsi" w:cstheme="minorHAnsi"/>
          <w:color w:val="1F4E79" w:themeColor="accent5" w:themeShade="80"/>
          <w:sz w:val="21"/>
          <w:szCs w:val="21"/>
        </w:rPr>
        <w:t xml:space="preserve"> and rehabilitation.</w:t>
      </w:r>
    </w:p>
    <w:p w14:paraId="78DF5608" w14:textId="0560F946" w:rsidR="00CA0104" w:rsidRPr="00917F73" w:rsidRDefault="00376F76" w:rsidP="00A320CD">
      <w:pPr>
        <w:spacing w:afterLines="60" w:after="144"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color w:val="1F4E79" w:themeColor="accent5" w:themeShade="80"/>
          <w:sz w:val="21"/>
          <w:szCs w:val="21"/>
        </w:rPr>
        <w:t xml:space="preserve">Under </w:t>
      </w:r>
      <w:r w:rsidR="000F1030" w:rsidRPr="00917F73">
        <w:rPr>
          <w:rFonts w:asciiTheme="minorHAnsi" w:hAnsiTheme="minorHAnsi" w:cstheme="minorHAnsi"/>
          <w:color w:val="1F4E79" w:themeColor="accent5" w:themeShade="80"/>
          <w:sz w:val="21"/>
          <w:szCs w:val="21"/>
        </w:rPr>
        <w:t xml:space="preserve">article 23 of </w:t>
      </w:r>
      <w:r w:rsidRPr="00917F73">
        <w:rPr>
          <w:rFonts w:asciiTheme="minorHAnsi" w:hAnsiTheme="minorHAnsi" w:cstheme="minorHAnsi"/>
          <w:color w:val="1F4E79" w:themeColor="accent5" w:themeShade="80"/>
          <w:sz w:val="21"/>
          <w:szCs w:val="21"/>
        </w:rPr>
        <w:t>the Convention on the Rights of the Child</w:t>
      </w:r>
      <w:r w:rsidR="003265E0" w:rsidRPr="00917F73">
        <w:rPr>
          <w:rFonts w:asciiTheme="minorHAnsi" w:hAnsiTheme="minorHAnsi" w:cstheme="minorHAnsi"/>
          <w:color w:val="1F4E79" w:themeColor="accent5" w:themeShade="80"/>
          <w:sz w:val="21"/>
          <w:szCs w:val="21"/>
        </w:rPr>
        <w:t xml:space="preserve">, States Parties </w:t>
      </w:r>
      <w:r w:rsidR="006C37D8" w:rsidRPr="00917F73">
        <w:rPr>
          <w:rFonts w:asciiTheme="minorHAnsi" w:hAnsiTheme="minorHAnsi" w:cstheme="minorHAnsi"/>
          <w:color w:val="1F4E79" w:themeColor="accent5" w:themeShade="80"/>
          <w:sz w:val="21"/>
          <w:szCs w:val="21"/>
        </w:rPr>
        <w:t>recognize the right of the disabled child to special care and shall encourage and ensure the extension, subject to available resources, to the eligible child and those responsible for his or her care, of assistance for which application is made and which is appropriate to the child's condition and to the circumstances of the parents or others caring for the child.</w:t>
      </w:r>
      <w:r w:rsidR="00CA0104" w:rsidRPr="00917F73">
        <w:rPr>
          <w:rFonts w:asciiTheme="minorHAnsi" w:hAnsiTheme="minorHAnsi" w:cstheme="minorHAnsi"/>
          <w:color w:val="1F4E79" w:themeColor="accent5" w:themeShade="80"/>
          <w:sz w:val="21"/>
          <w:szCs w:val="21"/>
        </w:rPr>
        <w:t xml:space="preserve"> Such care</w:t>
      </w:r>
      <w:r w:rsidR="00CA0104" w:rsidRPr="00917F73">
        <w:rPr>
          <w:rFonts w:eastAsia="Arial" w:cs="Arial"/>
          <w:color w:val="C00000"/>
          <w:sz w:val="21"/>
          <w:szCs w:val="21"/>
          <w:lang w:eastAsia="en-GB"/>
        </w:rPr>
        <w:t xml:space="preserve"> </w:t>
      </w:r>
      <w:r w:rsidR="00CA0104" w:rsidRPr="00917F73">
        <w:rPr>
          <w:rFonts w:asciiTheme="minorHAnsi" w:hAnsiTheme="minorHAnsi" w:cstheme="minorHAnsi"/>
          <w:color w:val="1F4E79" w:themeColor="accent5" w:themeShade="80"/>
          <w:sz w:val="21"/>
          <w:szCs w:val="21"/>
        </w:rPr>
        <w:t>shall be provided free of charge, whenever possible, taking into account the financial resources of the parents or others caring for the child, and shall be designed to ensure that the disabled child has effective access to and receives education, training, health care services, rehabilitation services, preparation for employment and recreation opportunities in a manner conducive to the child's achieving the fullest possible social integration and individual development, including his or her cultural and spiritual development</w:t>
      </w:r>
      <w:r w:rsidR="00CA0104" w:rsidRPr="00917F73">
        <w:rPr>
          <w:rFonts w:asciiTheme="minorHAnsi" w:hAnsiTheme="minorHAnsi" w:cstheme="minorHAnsi"/>
          <w:color w:val="1F4E79" w:themeColor="accent5" w:themeShade="80"/>
          <w:sz w:val="21"/>
          <w:szCs w:val="21"/>
        </w:rPr>
        <w:t xml:space="preserve">. </w:t>
      </w:r>
    </w:p>
    <w:p w14:paraId="383E59F7" w14:textId="471A0802" w:rsidR="00376F76" w:rsidRPr="00917F73" w:rsidRDefault="00216143" w:rsidP="00A320CD">
      <w:pPr>
        <w:spacing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color w:val="1F4E79" w:themeColor="accent5" w:themeShade="80"/>
          <w:sz w:val="21"/>
          <w:szCs w:val="21"/>
        </w:rPr>
        <w:t>Limited attention is given to the rights of older persons with disabilities in the CRPD or in other international human rights instruments. More broadly, the failure to clearly articulate how human rights apply in older age</w:t>
      </w:r>
      <w:r w:rsidR="0037518B" w:rsidRPr="0037518B">
        <w:rPr>
          <w:rFonts w:asciiTheme="minorHAnsi" w:hAnsiTheme="minorHAnsi" w:cstheme="minorHAnsi"/>
          <w:color w:val="1F4E79" w:themeColor="accent5" w:themeShade="80"/>
          <w:sz w:val="21"/>
          <w:szCs w:val="21"/>
        </w:rPr>
        <w:t xml:space="preserve"> </w:t>
      </w:r>
      <w:r w:rsidR="0037518B" w:rsidRPr="00917F73">
        <w:rPr>
          <w:rFonts w:asciiTheme="minorHAnsi" w:hAnsiTheme="minorHAnsi" w:cstheme="minorHAnsi"/>
          <w:color w:val="1F4E79" w:themeColor="accent5" w:themeShade="80"/>
          <w:sz w:val="21"/>
          <w:szCs w:val="21"/>
        </w:rPr>
        <w:t>in international human rights law</w:t>
      </w:r>
      <w:r w:rsidRPr="00917F73">
        <w:rPr>
          <w:rFonts w:asciiTheme="minorHAnsi" w:hAnsiTheme="minorHAnsi" w:cstheme="minorHAnsi"/>
          <w:color w:val="1F4E79" w:themeColor="accent5" w:themeShade="80"/>
          <w:sz w:val="21"/>
          <w:szCs w:val="21"/>
        </w:rPr>
        <w:t>, including for older persons with disabilities, contributes to violations of the rights of older persons with disabilities, including in relation to the provision and receipt of care and support.</w:t>
      </w:r>
    </w:p>
    <w:p w14:paraId="4B8B3D70" w14:textId="77777777" w:rsidR="003348B7" w:rsidRDefault="00207660" w:rsidP="003348B7">
      <w:pPr>
        <w:pStyle w:val="ListParagraph"/>
        <w:numPr>
          <w:ilvl w:val="0"/>
          <w:numId w:val="1"/>
        </w:numPr>
        <w:spacing w:after="60" w:line="240" w:lineRule="auto"/>
        <w:ind w:left="0"/>
        <w:rPr>
          <w:rFonts w:asciiTheme="minorHAnsi" w:hAnsiTheme="minorHAnsi" w:cstheme="minorHAnsi"/>
          <w:color w:val="1F4E79" w:themeColor="accent5" w:themeShade="80"/>
          <w:sz w:val="21"/>
          <w:szCs w:val="21"/>
        </w:rPr>
      </w:pPr>
      <w:r w:rsidRPr="003348B7">
        <w:rPr>
          <w:rFonts w:asciiTheme="minorHAnsi" w:hAnsiTheme="minorHAnsi" w:cstheme="minorHAnsi"/>
          <w:b/>
          <w:bCs/>
          <w:sz w:val="21"/>
          <w:szCs w:val="21"/>
        </w:rPr>
        <w:t xml:space="preserve">Concrete policy or programmatic measures taken to promote and ensure the rights of caregivers and recipients of care and support in national care and support </w:t>
      </w:r>
      <w:proofErr w:type="gramStart"/>
      <w:r w:rsidRPr="003348B7">
        <w:rPr>
          <w:rFonts w:asciiTheme="minorHAnsi" w:hAnsiTheme="minorHAnsi" w:cstheme="minorHAnsi"/>
          <w:b/>
          <w:bCs/>
          <w:sz w:val="21"/>
          <w:szCs w:val="21"/>
        </w:rPr>
        <w:t>systems</w:t>
      </w:r>
      <w:proofErr w:type="gramEnd"/>
    </w:p>
    <w:p w14:paraId="134CC4F5" w14:textId="77777777" w:rsidR="003348B7" w:rsidRPr="003348B7" w:rsidRDefault="003348B7" w:rsidP="003348B7">
      <w:pPr>
        <w:pStyle w:val="ListParagraph"/>
        <w:spacing w:before="60" w:after="60" w:line="240" w:lineRule="auto"/>
        <w:ind w:left="0"/>
        <w:rPr>
          <w:rFonts w:asciiTheme="minorHAnsi" w:hAnsiTheme="minorHAnsi" w:cstheme="minorHAnsi"/>
          <w:color w:val="1F4E79" w:themeColor="accent5" w:themeShade="80"/>
          <w:sz w:val="6"/>
          <w:szCs w:val="6"/>
        </w:rPr>
      </w:pPr>
    </w:p>
    <w:p w14:paraId="2CE39484" w14:textId="38029F37" w:rsidR="00A83F3E" w:rsidRPr="003348B7" w:rsidRDefault="00484207" w:rsidP="003348B7">
      <w:pPr>
        <w:pStyle w:val="ListParagraph"/>
        <w:spacing w:before="60" w:after="60" w:line="240" w:lineRule="auto"/>
        <w:ind w:left="0"/>
        <w:rPr>
          <w:rFonts w:asciiTheme="minorHAnsi" w:hAnsiTheme="minorHAnsi" w:cstheme="minorHAnsi"/>
          <w:color w:val="1F4E79" w:themeColor="accent5" w:themeShade="80"/>
          <w:sz w:val="21"/>
          <w:szCs w:val="21"/>
        </w:rPr>
      </w:pPr>
      <w:r w:rsidRPr="003348B7">
        <w:rPr>
          <w:rFonts w:asciiTheme="minorHAnsi" w:hAnsiTheme="minorHAnsi" w:cstheme="minorHAnsi"/>
          <w:color w:val="1F4E79" w:themeColor="accent5" w:themeShade="80"/>
          <w:sz w:val="21"/>
          <w:szCs w:val="21"/>
        </w:rPr>
        <w:t xml:space="preserve">Support services </w:t>
      </w:r>
      <w:r w:rsidR="003A6BEC" w:rsidRPr="003348B7">
        <w:rPr>
          <w:rFonts w:asciiTheme="minorHAnsi" w:hAnsiTheme="minorHAnsi" w:cstheme="minorHAnsi"/>
          <w:color w:val="1F4E79" w:themeColor="accent5" w:themeShade="80"/>
          <w:sz w:val="21"/>
          <w:szCs w:val="21"/>
        </w:rPr>
        <w:t>such as</w:t>
      </w:r>
      <w:r w:rsidR="003A6BEC" w:rsidRPr="003348B7">
        <w:rPr>
          <w:rFonts w:asciiTheme="minorHAnsi" w:hAnsiTheme="minorHAnsi" w:cstheme="minorHAnsi"/>
          <w:b/>
          <w:bCs/>
          <w:color w:val="1F4E79" w:themeColor="accent5" w:themeShade="80"/>
          <w:sz w:val="21"/>
          <w:szCs w:val="21"/>
        </w:rPr>
        <w:t xml:space="preserve"> </w:t>
      </w:r>
      <w:r w:rsidRPr="003348B7">
        <w:rPr>
          <w:rFonts w:asciiTheme="minorHAnsi" w:hAnsiTheme="minorHAnsi" w:cstheme="minorHAnsi"/>
          <w:color w:val="1F4E79" w:themeColor="accent5" w:themeShade="80"/>
          <w:sz w:val="21"/>
          <w:szCs w:val="21"/>
        </w:rPr>
        <w:t xml:space="preserve">interpreters, care staff, support workers and personal assistants are fundamental to </w:t>
      </w:r>
      <w:r w:rsidR="00AD5509">
        <w:rPr>
          <w:rFonts w:asciiTheme="minorHAnsi" w:hAnsiTheme="minorHAnsi" w:cstheme="minorHAnsi"/>
          <w:color w:val="1F4E79" w:themeColor="accent5" w:themeShade="80"/>
          <w:sz w:val="21"/>
          <w:szCs w:val="21"/>
        </w:rPr>
        <w:t xml:space="preserve">meeting basic needs and </w:t>
      </w:r>
      <w:r w:rsidR="00257663">
        <w:rPr>
          <w:rFonts w:asciiTheme="minorHAnsi" w:hAnsiTheme="minorHAnsi" w:cstheme="minorHAnsi"/>
          <w:color w:val="1F4E79" w:themeColor="accent5" w:themeShade="80"/>
          <w:sz w:val="21"/>
          <w:szCs w:val="21"/>
        </w:rPr>
        <w:t>realising the human rights</w:t>
      </w:r>
      <w:r w:rsidRPr="003348B7">
        <w:rPr>
          <w:rFonts w:asciiTheme="minorHAnsi" w:hAnsiTheme="minorHAnsi" w:cstheme="minorHAnsi"/>
          <w:color w:val="1F4E79" w:themeColor="accent5" w:themeShade="80"/>
          <w:sz w:val="21"/>
          <w:szCs w:val="21"/>
        </w:rPr>
        <w:t xml:space="preserve"> of persons with disabilit</w:t>
      </w:r>
      <w:r w:rsidR="003A6BEC" w:rsidRPr="003348B7">
        <w:rPr>
          <w:rFonts w:asciiTheme="minorHAnsi" w:hAnsiTheme="minorHAnsi" w:cstheme="minorHAnsi"/>
          <w:color w:val="1F4E79" w:themeColor="accent5" w:themeShade="80"/>
          <w:sz w:val="21"/>
          <w:szCs w:val="21"/>
        </w:rPr>
        <w:t>ies</w:t>
      </w:r>
      <w:r w:rsidR="00166C3A" w:rsidRPr="003348B7">
        <w:rPr>
          <w:rFonts w:asciiTheme="minorHAnsi" w:hAnsiTheme="minorHAnsi" w:cstheme="minorHAnsi"/>
          <w:color w:val="1F4E79" w:themeColor="accent5" w:themeShade="80"/>
          <w:sz w:val="21"/>
          <w:szCs w:val="21"/>
        </w:rPr>
        <w:t>.</w:t>
      </w:r>
      <w:r w:rsidR="009A76D8" w:rsidRPr="00917F73">
        <w:rPr>
          <w:rStyle w:val="FootnoteReference"/>
          <w:rFonts w:asciiTheme="minorHAnsi" w:hAnsiTheme="minorHAnsi" w:cstheme="minorHAnsi"/>
          <w:color w:val="1F4E79" w:themeColor="accent5" w:themeShade="80"/>
          <w:sz w:val="21"/>
          <w:szCs w:val="21"/>
        </w:rPr>
        <w:footnoteReference w:id="5"/>
      </w:r>
      <w:r w:rsidR="00166C3A" w:rsidRPr="003348B7">
        <w:rPr>
          <w:rFonts w:asciiTheme="minorHAnsi" w:hAnsiTheme="minorHAnsi" w:cstheme="minorHAnsi"/>
          <w:color w:val="1F4E79" w:themeColor="accent5" w:themeShade="80"/>
          <w:sz w:val="21"/>
          <w:szCs w:val="21"/>
        </w:rPr>
        <w:t xml:space="preserve"> </w:t>
      </w:r>
    </w:p>
    <w:p w14:paraId="7A5D5A1F" w14:textId="1B3A1A3E" w:rsidR="007D031C" w:rsidRPr="00917F73" w:rsidRDefault="00F02D34" w:rsidP="00A320CD">
      <w:pPr>
        <w:spacing w:after="60"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b/>
          <w:bCs/>
          <w:color w:val="1F4E79" w:themeColor="accent5" w:themeShade="80"/>
          <w:sz w:val="21"/>
          <w:szCs w:val="21"/>
        </w:rPr>
        <w:t xml:space="preserve">Re. </w:t>
      </w:r>
      <w:r w:rsidR="004E2F35" w:rsidRPr="00917F73">
        <w:rPr>
          <w:rFonts w:asciiTheme="minorHAnsi" w:hAnsiTheme="minorHAnsi" w:cstheme="minorHAnsi"/>
          <w:b/>
          <w:bCs/>
          <w:color w:val="1F4E79" w:themeColor="accent5" w:themeShade="80"/>
          <w:sz w:val="21"/>
          <w:szCs w:val="21"/>
        </w:rPr>
        <w:t>organizations of persons with disabilities (</w:t>
      </w:r>
      <w:r w:rsidR="007D031C" w:rsidRPr="00917F73">
        <w:rPr>
          <w:rFonts w:asciiTheme="minorHAnsi" w:hAnsiTheme="minorHAnsi" w:cstheme="minorHAnsi"/>
          <w:b/>
          <w:bCs/>
          <w:color w:val="1F4E79" w:themeColor="accent5" w:themeShade="80"/>
          <w:sz w:val="21"/>
          <w:szCs w:val="21"/>
        </w:rPr>
        <w:t>OPDs</w:t>
      </w:r>
      <w:r w:rsidR="004E2F35" w:rsidRPr="00917F73">
        <w:rPr>
          <w:rFonts w:asciiTheme="minorHAnsi" w:hAnsiTheme="minorHAnsi" w:cstheme="minorHAnsi"/>
          <w:b/>
          <w:bCs/>
          <w:color w:val="1F4E79" w:themeColor="accent5" w:themeShade="80"/>
          <w:sz w:val="21"/>
          <w:szCs w:val="21"/>
        </w:rPr>
        <w:t>)</w:t>
      </w:r>
      <w:r w:rsidR="004E2F35" w:rsidRPr="00917F73">
        <w:rPr>
          <w:rFonts w:asciiTheme="minorHAnsi" w:hAnsiTheme="minorHAnsi" w:cstheme="minorHAnsi"/>
          <w:color w:val="1F4E79" w:themeColor="accent5" w:themeShade="80"/>
          <w:sz w:val="21"/>
          <w:szCs w:val="21"/>
        </w:rPr>
        <w:t xml:space="preserve">: </w:t>
      </w:r>
      <w:r w:rsidR="003414AB" w:rsidRPr="00917F73">
        <w:rPr>
          <w:rFonts w:asciiTheme="minorHAnsi" w:hAnsiTheme="minorHAnsi" w:cstheme="minorHAnsi"/>
          <w:color w:val="1F4E79" w:themeColor="accent5" w:themeShade="80"/>
          <w:sz w:val="21"/>
          <w:szCs w:val="21"/>
        </w:rPr>
        <w:t xml:space="preserve">OPDs </w:t>
      </w:r>
      <w:r w:rsidR="008E7BAE" w:rsidRPr="00917F73">
        <w:rPr>
          <w:rFonts w:asciiTheme="minorHAnsi" w:hAnsiTheme="minorHAnsi" w:cstheme="minorHAnsi"/>
          <w:color w:val="1F4E79" w:themeColor="accent5" w:themeShade="80"/>
          <w:sz w:val="21"/>
          <w:szCs w:val="21"/>
        </w:rPr>
        <w:t xml:space="preserve">can </w:t>
      </w:r>
      <w:r w:rsidR="003414AB" w:rsidRPr="00917F73">
        <w:rPr>
          <w:rFonts w:asciiTheme="minorHAnsi" w:hAnsiTheme="minorHAnsi" w:cstheme="minorHAnsi"/>
          <w:color w:val="1F4E79" w:themeColor="accent5" w:themeShade="80"/>
          <w:sz w:val="21"/>
          <w:szCs w:val="21"/>
        </w:rPr>
        <w:t>play an important role</w:t>
      </w:r>
      <w:r w:rsidR="007D031C" w:rsidRPr="00917F73">
        <w:rPr>
          <w:rFonts w:asciiTheme="minorHAnsi" w:hAnsiTheme="minorHAnsi" w:cstheme="minorHAnsi"/>
          <w:color w:val="1F4E79" w:themeColor="accent5" w:themeShade="80"/>
          <w:sz w:val="21"/>
          <w:szCs w:val="21"/>
        </w:rPr>
        <w:t xml:space="preserve"> in providing community support</w:t>
      </w:r>
      <w:r w:rsidR="003414AB" w:rsidRPr="00917F73">
        <w:rPr>
          <w:rFonts w:asciiTheme="minorHAnsi" w:hAnsiTheme="minorHAnsi" w:cstheme="minorHAnsi"/>
          <w:color w:val="1F4E79" w:themeColor="accent5" w:themeShade="80"/>
          <w:sz w:val="21"/>
          <w:szCs w:val="21"/>
        </w:rPr>
        <w:t xml:space="preserve">, </w:t>
      </w:r>
      <w:r w:rsidR="00100950" w:rsidRPr="00917F73">
        <w:rPr>
          <w:rFonts w:asciiTheme="minorHAnsi" w:hAnsiTheme="minorHAnsi" w:cstheme="minorHAnsi"/>
          <w:color w:val="1F4E79" w:themeColor="accent5" w:themeShade="80"/>
          <w:sz w:val="21"/>
          <w:szCs w:val="21"/>
        </w:rPr>
        <w:t xml:space="preserve">disseminating </w:t>
      </w:r>
      <w:r w:rsidR="007D031C" w:rsidRPr="00917F73">
        <w:rPr>
          <w:rFonts w:asciiTheme="minorHAnsi" w:hAnsiTheme="minorHAnsi" w:cstheme="minorHAnsi"/>
          <w:color w:val="1F4E79" w:themeColor="accent5" w:themeShade="80"/>
          <w:sz w:val="21"/>
          <w:szCs w:val="21"/>
        </w:rPr>
        <w:t>information</w:t>
      </w:r>
      <w:r w:rsidR="00100950" w:rsidRPr="00917F73">
        <w:rPr>
          <w:rFonts w:asciiTheme="minorHAnsi" w:hAnsiTheme="minorHAnsi" w:cstheme="minorHAnsi"/>
          <w:color w:val="1F4E79" w:themeColor="accent5" w:themeShade="80"/>
          <w:sz w:val="21"/>
          <w:szCs w:val="21"/>
        </w:rPr>
        <w:t xml:space="preserve">, </w:t>
      </w:r>
      <w:r w:rsidR="007D031C" w:rsidRPr="00917F73">
        <w:rPr>
          <w:rFonts w:asciiTheme="minorHAnsi" w:hAnsiTheme="minorHAnsi" w:cstheme="minorHAnsi"/>
          <w:color w:val="1F4E79" w:themeColor="accent5" w:themeShade="80"/>
          <w:sz w:val="21"/>
          <w:szCs w:val="21"/>
        </w:rPr>
        <w:t>creat</w:t>
      </w:r>
      <w:r w:rsidR="00100950" w:rsidRPr="00917F73">
        <w:rPr>
          <w:rFonts w:asciiTheme="minorHAnsi" w:hAnsiTheme="minorHAnsi" w:cstheme="minorHAnsi"/>
          <w:color w:val="1F4E79" w:themeColor="accent5" w:themeShade="80"/>
          <w:sz w:val="21"/>
          <w:szCs w:val="21"/>
        </w:rPr>
        <w:t>ing</w:t>
      </w:r>
      <w:r w:rsidR="007D031C" w:rsidRPr="00917F73">
        <w:rPr>
          <w:rFonts w:asciiTheme="minorHAnsi" w:hAnsiTheme="minorHAnsi" w:cstheme="minorHAnsi"/>
          <w:color w:val="1F4E79" w:themeColor="accent5" w:themeShade="80"/>
          <w:sz w:val="21"/>
          <w:szCs w:val="21"/>
        </w:rPr>
        <w:t xml:space="preserve"> social and peer support networks; providing input into policy and planning</w:t>
      </w:r>
      <w:r w:rsidR="001B29C7" w:rsidRPr="00917F73">
        <w:rPr>
          <w:rFonts w:asciiTheme="minorHAnsi" w:hAnsiTheme="minorHAnsi" w:cstheme="minorHAnsi"/>
          <w:color w:val="1F4E79" w:themeColor="accent5" w:themeShade="80"/>
          <w:sz w:val="21"/>
          <w:szCs w:val="21"/>
        </w:rPr>
        <w:t xml:space="preserve"> (</w:t>
      </w:r>
      <w:r w:rsidR="007D031C" w:rsidRPr="00917F73">
        <w:rPr>
          <w:rFonts w:asciiTheme="minorHAnsi" w:hAnsiTheme="minorHAnsi" w:cstheme="minorHAnsi"/>
          <w:color w:val="1F4E79" w:themeColor="accent5" w:themeShade="80"/>
          <w:sz w:val="21"/>
          <w:szCs w:val="21"/>
        </w:rPr>
        <w:t xml:space="preserve">particularly </w:t>
      </w:r>
      <w:r w:rsidR="001B29C7" w:rsidRPr="00917F73">
        <w:rPr>
          <w:rFonts w:asciiTheme="minorHAnsi" w:hAnsiTheme="minorHAnsi" w:cstheme="minorHAnsi"/>
          <w:color w:val="1F4E79" w:themeColor="accent5" w:themeShade="80"/>
          <w:sz w:val="21"/>
          <w:szCs w:val="21"/>
        </w:rPr>
        <w:t xml:space="preserve">re. </w:t>
      </w:r>
      <w:r w:rsidR="007D031C" w:rsidRPr="00917F73">
        <w:rPr>
          <w:rFonts w:asciiTheme="minorHAnsi" w:hAnsiTheme="minorHAnsi" w:cstheme="minorHAnsi"/>
          <w:color w:val="1F4E79" w:themeColor="accent5" w:themeShade="80"/>
          <w:sz w:val="21"/>
          <w:szCs w:val="21"/>
        </w:rPr>
        <w:t>social protection and linked services</w:t>
      </w:r>
      <w:r w:rsidR="001B29C7" w:rsidRPr="00917F73">
        <w:rPr>
          <w:rFonts w:asciiTheme="minorHAnsi" w:hAnsiTheme="minorHAnsi" w:cstheme="minorHAnsi"/>
          <w:color w:val="1F4E79" w:themeColor="accent5" w:themeShade="80"/>
          <w:sz w:val="21"/>
          <w:szCs w:val="21"/>
        </w:rPr>
        <w:t xml:space="preserve">), </w:t>
      </w:r>
      <w:r w:rsidR="007D031C" w:rsidRPr="00917F73">
        <w:rPr>
          <w:rFonts w:asciiTheme="minorHAnsi" w:hAnsiTheme="minorHAnsi" w:cstheme="minorHAnsi"/>
          <w:color w:val="1F4E79" w:themeColor="accent5" w:themeShade="80"/>
          <w:sz w:val="21"/>
          <w:szCs w:val="21"/>
        </w:rPr>
        <w:t xml:space="preserve">delivering </w:t>
      </w:r>
      <w:r w:rsidR="001B29C7" w:rsidRPr="00917F73">
        <w:rPr>
          <w:rFonts w:asciiTheme="minorHAnsi" w:hAnsiTheme="minorHAnsi" w:cstheme="minorHAnsi"/>
          <w:color w:val="1F4E79" w:themeColor="accent5" w:themeShade="80"/>
          <w:sz w:val="21"/>
          <w:szCs w:val="21"/>
        </w:rPr>
        <w:t xml:space="preserve">localised </w:t>
      </w:r>
      <w:r w:rsidR="007D031C" w:rsidRPr="00917F73">
        <w:rPr>
          <w:rFonts w:asciiTheme="minorHAnsi" w:hAnsiTheme="minorHAnsi" w:cstheme="minorHAnsi"/>
          <w:color w:val="1F4E79" w:themeColor="accent5" w:themeShade="80"/>
          <w:sz w:val="21"/>
          <w:szCs w:val="21"/>
        </w:rPr>
        <w:t xml:space="preserve">community-based support programmes; and providing a platform for persons with disabilities to engage with other key stakeholders </w:t>
      </w:r>
      <w:r w:rsidR="00584D8E" w:rsidRPr="00917F73">
        <w:rPr>
          <w:rFonts w:asciiTheme="minorHAnsi" w:hAnsiTheme="minorHAnsi" w:cstheme="minorHAnsi"/>
          <w:color w:val="1F4E79" w:themeColor="accent5" w:themeShade="80"/>
          <w:sz w:val="21"/>
          <w:szCs w:val="21"/>
        </w:rPr>
        <w:t xml:space="preserve">in developing </w:t>
      </w:r>
      <w:r w:rsidR="007D031C" w:rsidRPr="00917F73">
        <w:rPr>
          <w:rFonts w:asciiTheme="minorHAnsi" w:hAnsiTheme="minorHAnsi" w:cstheme="minorHAnsi"/>
          <w:color w:val="1F4E79" w:themeColor="accent5" w:themeShade="80"/>
          <w:sz w:val="21"/>
          <w:szCs w:val="21"/>
        </w:rPr>
        <w:t xml:space="preserve">community support services. However, </w:t>
      </w:r>
      <w:r w:rsidR="00584D8E" w:rsidRPr="00917F73">
        <w:rPr>
          <w:rFonts w:asciiTheme="minorHAnsi" w:hAnsiTheme="minorHAnsi" w:cstheme="minorHAnsi"/>
          <w:color w:val="1F4E79" w:themeColor="accent5" w:themeShade="80"/>
          <w:sz w:val="21"/>
          <w:szCs w:val="21"/>
        </w:rPr>
        <w:t>the</w:t>
      </w:r>
      <w:r w:rsidR="00564583" w:rsidRPr="00917F73">
        <w:rPr>
          <w:rFonts w:asciiTheme="minorHAnsi" w:hAnsiTheme="minorHAnsi" w:cstheme="minorHAnsi"/>
          <w:color w:val="1F4E79" w:themeColor="accent5" w:themeShade="80"/>
          <w:sz w:val="21"/>
          <w:szCs w:val="21"/>
        </w:rPr>
        <w:t>re is a need for further evidence on the</w:t>
      </w:r>
      <w:r w:rsidR="007D031C" w:rsidRPr="00917F73">
        <w:rPr>
          <w:rFonts w:asciiTheme="minorHAnsi" w:hAnsiTheme="minorHAnsi" w:cstheme="minorHAnsi"/>
          <w:color w:val="1F4E79" w:themeColor="accent5" w:themeShade="80"/>
          <w:sz w:val="21"/>
          <w:szCs w:val="21"/>
        </w:rPr>
        <w:t xml:space="preserve"> role </w:t>
      </w:r>
      <w:r w:rsidR="00584D8E" w:rsidRPr="00917F73">
        <w:rPr>
          <w:rFonts w:asciiTheme="minorHAnsi" w:hAnsiTheme="minorHAnsi" w:cstheme="minorHAnsi"/>
          <w:color w:val="1F4E79" w:themeColor="accent5" w:themeShade="80"/>
          <w:sz w:val="21"/>
          <w:szCs w:val="21"/>
        </w:rPr>
        <w:t xml:space="preserve">of OPDs </w:t>
      </w:r>
      <w:r w:rsidR="007D031C" w:rsidRPr="00917F73">
        <w:rPr>
          <w:rFonts w:asciiTheme="minorHAnsi" w:hAnsiTheme="minorHAnsi" w:cstheme="minorHAnsi"/>
          <w:color w:val="1F4E79" w:themeColor="accent5" w:themeShade="80"/>
          <w:sz w:val="21"/>
          <w:szCs w:val="21"/>
        </w:rPr>
        <w:t xml:space="preserve">in </w:t>
      </w:r>
      <w:r w:rsidR="00581DC7">
        <w:rPr>
          <w:rFonts w:asciiTheme="minorHAnsi" w:hAnsiTheme="minorHAnsi" w:cstheme="minorHAnsi"/>
          <w:color w:val="1F4E79" w:themeColor="accent5" w:themeShade="80"/>
          <w:sz w:val="21"/>
          <w:szCs w:val="21"/>
        </w:rPr>
        <w:t xml:space="preserve">needs </w:t>
      </w:r>
      <w:r w:rsidR="007D031C" w:rsidRPr="00917F73">
        <w:rPr>
          <w:rFonts w:asciiTheme="minorHAnsi" w:hAnsiTheme="minorHAnsi" w:cstheme="minorHAnsi"/>
          <w:color w:val="1F4E79" w:themeColor="accent5" w:themeShade="80"/>
          <w:sz w:val="21"/>
          <w:szCs w:val="21"/>
        </w:rPr>
        <w:t>assessment and provision of, community support</w:t>
      </w:r>
      <w:r w:rsidR="00564583" w:rsidRPr="00917F73">
        <w:rPr>
          <w:rFonts w:asciiTheme="minorHAnsi" w:hAnsiTheme="minorHAnsi" w:cstheme="minorHAnsi"/>
          <w:color w:val="1F4E79" w:themeColor="accent5" w:themeShade="80"/>
          <w:sz w:val="21"/>
          <w:szCs w:val="21"/>
        </w:rPr>
        <w:t>.</w:t>
      </w:r>
      <w:r w:rsidR="006E2C7A" w:rsidRPr="00917F73">
        <w:rPr>
          <w:rStyle w:val="FootnoteReference"/>
          <w:rFonts w:asciiTheme="minorHAnsi" w:hAnsiTheme="minorHAnsi" w:cstheme="minorHAnsi"/>
          <w:color w:val="1F4E79" w:themeColor="accent5" w:themeShade="80"/>
          <w:sz w:val="21"/>
          <w:szCs w:val="21"/>
        </w:rPr>
        <w:footnoteReference w:id="6"/>
      </w:r>
    </w:p>
    <w:p w14:paraId="2F9B400B" w14:textId="495A6CBD" w:rsidR="009311BA" w:rsidRPr="00917F73" w:rsidRDefault="009311BA" w:rsidP="00A320CD">
      <w:pPr>
        <w:spacing w:after="60" w:line="240" w:lineRule="auto"/>
        <w:rPr>
          <w:rFonts w:asciiTheme="minorHAnsi" w:hAnsiTheme="minorHAnsi" w:cstheme="minorHAnsi"/>
          <w:b/>
          <w:bCs/>
          <w:color w:val="1F4E79" w:themeColor="accent5" w:themeShade="80"/>
          <w:sz w:val="21"/>
          <w:szCs w:val="21"/>
        </w:rPr>
      </w:pPr>
      <w:r w:rsidRPr="00917F73">
        <w:rPr>
          <w:rFonts w:asciiTheme="minorHAnsi" w:hAnsiTheme="minorHAnsi" w:cstheme="minorHAnsi"/>
          <w:b/>
          <w:bCs/>
          <w:color w:val="1F4E79" w:themeColor="accent5" w:themeShade="80"/>
          <w:sz w:val="21"/>
          <w:szCs w:val="21"/>
        </w:rPr>
        <w:t>Re. Universal health coverage</w:t>
      </w:r>
      <w:r w:rsidR="000717F1" w:rsidRPr="00917F73">
        <w:rPr>
          <w:rFonts w:asciiTheme="minorHAnsi" w:hAnsiTheme="minorHAnsi" w:cstheme="minorHAnsi"/>
          <w:b/>
          <w:bCs/>
          <w:color w:val="1F4E79" w:themeColor="accent5" w:themeShade="80"/>
          <w:sz w:val="21"/>
          <w:szCs w:val="21"/>
        </w:rPr>
        <w:t xml:space="preserve"> (UHC)</w:t>
      </w:r>
      <w:r w:rsidRPr="00917F73">
        <w:rPr>
          <w:rFonts w:asciiTheme="minorHAnsi" w:hAnsiTheme="minorHAnsi" w:cstheme="minorHAnsi"/>
          <w:b/>
          <w:bCs/>
          <w:color w:val="1F4E79" w:themeColor="accent5" w:themeShade="80"/>
          <w:sz w:val="21"/>
          <w:szCs w:val="21"/>
        </w:rPr>
        <w:t xml:space="preserve">: </w:t>
      </w:r>
      <w:r w:rsidR="000717F1" w:rsidRPr="00917F73">
        <w:rPr>
          <w:rFonts w:asciiTheme="minorHAnsi" w:hAnsiTheme="minorHAnsi" w:cstheme="minorHAnsi"/>
          <w:color w:val="1F4E79" w:themeColor="accent5" w:themeShade="80"/>
          <w:sz w:val="21"/>
          <w:szCs w:val="21"/>
        </w:rPr>
        <w:t>U</w:t>
      </w:r>
      <w:r w:rsidR="000717F1" w:rsidRPr="00917F73">
        <w:rPr>
          <w:rFonts w:asciiTheme="minorHAnsi" w:hAnsiTheme="minorHAnsi" w:cstheme="minorHAnsi"/>
          <w:color w:val="1F4E79" w:themeColor="accent5" w:themeShade="80"/>
          <w:sz w:val="21"/>
          <w:szCs w:val="21"/>
        </w:rPr>
        <w:t>HC</w:t>
      </w:r>
      <w:r w:rsidR="000717F1" w:rsidRPr="00917F73">
        <w:rPr>
          <w:rFonts w:asciiTheme="minorHAnsi" w:hAnsiTheme="minorHAnsi" w:cstheme="minorHAnsi"/>
          <w:color w:val="1F4E79" w:themeColor="accent5" w:themeShade="80"/>
          <w:sz w:val="21"/>
          <w:szCs w:val="21"/>
        </w:rPr>
        <w:t xml:space="preserve"> means that all people have access to the full range of quality health services they need, when and where they need them, without financial hardship. It covers the full continuum of essential health services, from health promotion to prevention, treatment, </w:t>
      </w:r>
      <w:proofErr w:type="gramStart"/>
      <w:r w:rsidR="000717F1" w:rsidRPr="00917F73">
        <w:rPr>
          <w:rFonts w:asciiTheme="minorHAnsi" w:hAnsiTheme="minorHAnsi" w:cstheme="minorHAnsi"/>
          <w:color w:val="1F4E79" w:themeColor="accent5" w:themeShade="80"/>
          <w:sz w:val="21"/>
          <w:szCs w:val="21"/>
        </w:rPr>
        <w:t>rehabilitation</w:t>
      </w:r>
      <w:proofErr w:type="gramEnd"/>
      <w:r w:rsidR="000717F1" w:rsidRPr="00917F73">
        <w:rPr>
          <w:rFonts w:asciiTheme="minorHAnsi" w:hAnsiTheme="minorHAnsi" w:cstheme="minorHAnsi"/>
          <w:color w:val="1F4E79" w:themeColor="accent5" w:themeShade="80"/>
          <w:sz w:val="21"/>
          <w:szCs w:val="21"/>
        </w:rPr>
        <w:t xml:space="preserve"> and palliative care.</w:t>
      </w:r>
      <w:r w:rsidR="000717F1" w:rsidRPr="00917F73">
        <w:rPr>
          <w:rFonts w:asciiTheme="minorHAnsi" w:hAnsiTheme="minorHAnsi" w:cstheme="minorHAnsi"/>
          <w:color w:val="1F4E79" w:themeColor="accent5" w:themeShade="80"/>
          <w:sz w:val="21"/>
          <w:szCs w:val="21"/>
        </w:rPr>
        <w:t xml:space="preserve"> </w:t>
      </w:r>
      <w:r w:rsidR="000717F1" w:rsidRPr="000717F1">
        <w:rPr>
          <w:rFonts w:asciiTheme="minorHAnsi" w:hAnsiTheme="minorHAnsi" w:cstheme="minorHAnsi"/>
          <w:color w:val="1F4E79" w:themeColor="accent5" w:themeShade="80"/>
          <w:sz w:val="21"/>
          <w:szCs w:val="21"/>
        </w:rPr>
        <w:t xml:space="preserve">To deliver </w:t>
      </w:r>
      <w:r w:rsidR="000717F1" w:rsidRPr="00917F73">
        <w:rPr>
          <w:rFonts w:asciiTheme="minorHAnsi" w:hAnsiTheme="minorHAnsi" w:cstheme="minorHAnsi"/>
          <w:color w:val="1F4E79" w:themeColor="accent5" w:themeShade="80"/>
          <w:sz w:val="21"/>
          <w:szCs w:val="21"/>
        </w:rPr>
        <w:t>UHC</w:t>
      </w:r>
      <w:r w:rsidR="000717F1" w:rsidRPr="000717F1">
        <w:rPr>
          <w:rFonts w:asciiTheme="minorHAnsi" w:hAnsiTheme="minorHAnsi" w:cstheme="minorHAnsi"/>
          <w:color w:val="1F4E79" w:themeColor="accent5" w:themeShade="80"/>
          <w:sz w:val="21"/>
          <w:szCs w:val="21"/>
        </w:rPr>
        <w:t>, countries need to have strong, efficient and equitable health systems that are rooted in the communities they serve</w:t>
      </w:r>
      <w:r w:rsidR="002E139D">
        <w:rPr>
          <w:rFonts w:asciiTheme="minorHAnsi" w:hAnsiTheme="minorHAnsi" w:cstheme="minorHAnsi"/>
          <w:color w:val="1F4E79" w:themeColor="accent5" w:themeShade="80"/>
          <w:sz w:val="21"/>
          <w:szCs w:val="21"/>
        </w:rPr>
        <w:t>; p</w:t>
      </w:r>
      <w:r w:rsidR="000717F1" w:rsidRPr="000717F1">
        <w:rPr>
          <w:rFonts w:asciiTheme="minorHAnsi" w:hAnsiTheme="minorHAnsi" w:cstheme="minorHAnsi"/>
          <w:color w:val="1F4E79" w:themeColor="accent5" w:themeShade="80"/>
          <w:sz w:val="21"/>
          <w:szCs w:val="21"/>
        </w:rPr>
        <w:t xml:space="preserve">rimary health care (PHC) is </w:t>
      </w:r>
      <w:r w:rsidR="00536989" w:rsidRPr="00917F73">
        <w:rPr>
          <w:rFonts w:asciiTheme="minorHAnsi" w:hAnsiTheme="minorHAnsi" w:cstheme="minorHAnsi"/>
          <w:color w:val="1F4E79" w:themeColor="accent5" w:themeShade="80"/>
          <w:sz w:val="21"/>
          <w:szCs w:val="21"/>
        </w:rPr>
        <w:t>fundamental</w:t>
      </w:r>
      <w:r w:rsidR="00567888" w:rsidRPr="00917F73">
        <w:rPr>
          <w:rFonts w:asciiTheme="minorHAnsi" w:hAnsiTheme="minorHAnsi" w:cstheme="minorHAnsi"/>
          <w:color w:val="1F4E79" w:themeColor="accent5" w:themeShade="80"/>
          <w:sz w:val="21"/>
          <w:szCs w:val="21"/>
        </w:rPr>
        <w:t xml:space="preserve"> </w:t>
      </w:r>
      <w:r w:rsidR="00536989" w:rsidRPr="00917F73">
        <w:rPr>
          <w:rFonts w:asciiTheme="minorHAnsi" w:hAnsiTheme="minorHAnsi" w:cstheme="minorHAnsi"/>
          <w:color w:val="1F4E79" w:themeColor="accent5" w:themeShade="80"/>
          <w:sz w:val="21"/>
          <w:szCs w:val="21"/>
        </w:rPr>
        <w:t>to achieving this</w:t>
      </w:r>
      <w:r w:rsidR="002E139D">
        <w:rPr>
          <w:rFonts w:asciiTheme="minorHAnsi" w:hAnsiTheme="minorHAnsi" w:cstheme="minorHAnsi"/>
          <w:color w:val="1F4E79" w:themeColor="accent5" w:themeShade="80"/>
          <w:sz w:val="21"/>
          <w:szCs w:val="21"/>
        </w:rPr>
        <w:t xml:space="preserve"> in order to en</w:t>
      </w:r>
      <w:r w:rsidR="000717F1" w:rsidRPr="000717F1">
        <w:rPr>
          <w:rFonts w:asciiTheme="minorHAnsi" w:hAnsiTheme="minorHAnsi" w:cstheme="minorHAnsi"/>
          <w:color w:val="1F4E79" w:themeColor="accent5" w:themeShade="80"/>
          <w:sz w:val="21"/>
          <w:szCs w:val="21"/>
        </w:rPr>
        <w:t>sure that all those needs are identified, prioritized and addressed in an integrated way; that there is a robust and equipped health and care workforce; and that environmental and socio-economic factors that affect health and well-being</w:t>
      </w:r>
      <w:r w:rsidR="002E139D">
        <w:rPr>
          <w:rFonts w:asciiTheme="minorHAnsi" w:hAnsiTheme="minorHAnsi" w:cstheme="minorHAnsi"/>
          <w:color w:val="1F4E79" w:themeColor="accent5" w:themeShade="80"/>
          <w:sz w:val="21"/>
          <w:szCs w:val="21"/>
        </w:rPr>
        <w:t xml:space="preserve"> are addressed</w:t>
      </w:r>
      <w:r w:rsidR="00567888" w:rsidRPr="00917F73">
        <w:rPr>
          <w:rFonts w:asciiTheme="minorHAnsi" w:hAnsiTheme="minorHAnsi" w:cstheme="minorHAnsi"/>
          <w:color w:val="1F4E79" w:themeColor="accent5" w:themeShade="80"/>
          <w:sz w:val="21"/>
          <w:szCs w:val="21"/>
        </w:rPr>
        <w:t xml:space="preserve">. </w:t>
      </w:r>
      <w:r w:rsidR="003C1246" w:rsidRPr="00917F73">
        <w:rPr>
          <w:rFonts w:asciiTheme="minorHAnsi" w:hAnsiTheme="minorHAnsi" w:cstheme="minorHAnsi"/>
          <w:color w:val="1F4E79" w:themeColor="accent5" w:themeShade="80"/>
          <w:sz w:val="21"/>
          <w:szCs w:val="21"/>
        </w:rPr>
        <w:t>For example,</w:t>
      </w:r>
      <w:r w:rsidR="00EE5FFB" w:rsidRPr="00917F73">
        <w:rPr>
          <w:rFonts w:asciiTheme="minorHAnsi" w:hAnsiTheme="minorHAnsi" w:cstheme="minorHAnsi"/>
          <w:color w:val="1F4E79" w:themeColor="accent5" w:themeShade="80"/>
          <w:sz w:val="21"/>
          <w:szCs w:val="21"/>
        </w:rPr>
        <w:t xml:space="preserve"> in low and middle-income countries</w:t>
      </w:r>
      <w:r w:rsidR="00917F73">
        <w:rPr>
          <w:rFonts w:asciiTheme="minorHAnsi" w:hAnsiTheme="minorHAnsi" w:cstheme="minorHAnsi"/>
          <w:color w:val="1F4E79" w:themeColor="accent5" w:themeShade="80"/>
          <w:sz w:val="21"/>
          <w:szCs w:val="21"/>
        </w:rPr>
        <w:t xml:space="preserve"> (LMICs)</w:t>
      </w:r>
      <w:r w:rsidR="00EE5FFB" w:rsidRPr="00917F73">
        <w:rPr>
          <w:rFonts w:asciiTheme="minorHAnsi" w:hAnsiTheme="minorHAnsi" w:cstheme="minorHAnsi"/>
          <w:color w:val="1F4E79" w:themeColor="accent5" w:themeShade="80"/>
          <w:sz w:val="21"/>
          <w:szCs w:val="21"/>
        </w:rPr>
        <w:t>,</w:t>
      </w:r>
      <w:r w:rsidR="003C1246" w:rsidRPr="00917F73">
        <w:rPr>
          <w:rFonts w:asciiTheme="minorHAnsi" w:hAnsiTheme="minorHAnsi" w:cstheme="minorHAnsi"/>
          <w:color w:val="1F4E79" w:themeColor="accent5" w:themeShade="80"/>
          <w:sz w:val="21"/>
          <w:szCs w:val="21"/>
        </w:rPr>
        <w:t xml:space="preserve"> </w:t>
      </w:r>
      <w:hyperlink r:id="rId10" w:history="1">
        <w:proofErr w:type="spellStart"/>
        <w:r w:rsidR="003C1246" w:rsidRPr="003A162C">
          <w:rPr>
            <w:rStyle w:val="Hyperlink"/>
            <w:rFonts w:asciiTheme="minorHAnsi" w:hAnsiTheme="minorHAnsi" w:cstheme="minorHAnsi"/>
            <w:sz w:val="21"/>
            <w:szCs w:val="21"/>
          </w:rPr>
          <w:t>ReLAB</w:t>
        </w:r>
        <w:proofErr w:type="spellEnd"/>
        <w:r w:rsidR="003C1246" w:rsidRPr="003A162C">
          <w:rPr>
            <w:rStyle w:val="Hyperlink"/>
            <w:rFonts w:asciiTheme="minorHAnsi" w:hAnsiTheme="minorHAnsi" w:cstheme="minorHAnsi"/>
            <w:sz w:val="21"/>
            <w:szCs w:val="21"/>
          </w:rPr>
          <w:t>-HS</w:t>
        </w:r>
      </w:hyperlink>
      <w:r w:rsidR="003C1246" w:rsidRPr="00917F73">
        <w:rPr>
          <w:rFonts w:asciiTheme="minorHAnsi" w:hAnsiTheme="minorHAnsi" w:cstheme="minorHAnsi"/>
          <w:color w:val="1F4E79" w:themeColor="accent5" w:themeShade="80"/>
          <w:sz w:val="21"/>
          <w:szCs w:val="21"/>
        </w:rPr>
        <w:t xml:space="preserve"> is strengthening service delivery and supporting the integration of rehabilitation and AT into primary health care by training primary health care workers and community health workers to identify individuals who require rehabilitation and refer them to specialized services as needed.</w:t>
      </w:r>
      <w:r w:rsidR="003C1246" w:rsidRPr="00917F73">
        <w:rPr>
          <w:rFonts w:asciiTheme="minorHAnsi" w:hAnsiTheme="minorHAnsi" w:cstheme="minorHAnsi"/>
          <w:color w:val="1F4E79" w:themeColor="accent5" w:themeShade="80"/>
          <w:sz w:val="21"/>
          <w:szCs w:val="21"/>
        </w:rPr>
        <w:t xml:space="preserve"> </w:t>
      </w:r>
      <w:r w:rsidR="003C1246" w:rsidRPr="003C1246">
        <w:rPr>
          <w:rFonts w:asciiTheme="minorHAnsi" w:hAnsiTheme="minorHAnsi" w:cstheme="minorHAnsi"/>
          <w:color w:val="1F4E79" w:themeColor="accent5" w:themeShade="80"/>
          <w:sz w:val="21"/>
          <w:szCs w:val="21"/>
        </w:rPr>
        <w:t>Primary care doctors and nurses are receiving additional training on the provision of basic</w:t>
      </w:r>
      <w:r w:rsidR="003C1246" w:rsidRPr="00917F73">
        <w:rPr>
          <w:rFonts w:asciiTheme="minorHAnsi" w:hAnsiTheme="minorHAnsi" w:cstheme="minorHAnsi"/>
          <w:color w:val="1F4E79" w:themeColor="accent5" w:themeShade="80"/>
          <w:sz w:val="21"/>
          <w:szCs w:val="21"/>
        </w:rPr>
        <w:t xml:space="preserve"> </w:t>
      </w:r>
      <w:r w:rsidR="003C1246" w:rsidRPr="003C1246">
        <w:rPr>
          <w:rFonts w:asciiTheme="minorHAnsi" w:hAnsiTheme="minorHAnsi" w:cstheme="minorHAnsi"/>
          <w:color w:val="1F4E79" w:themeColor="accent5" w:themeShade="80"/>
          <w:sz w:val="21"/>
          <w:szCs w:val="21"/>
        </w:rPr>
        <w:t xml:space="preserve">rehabilitation and AT services. </w:t>
      </w:r>
      <w:proofErr w:type="spellStart"/>
      <w:r w:rsidR="003C1246" w:rsidRPr="003C1246">
        <w:rPr>
          <w:rFonts w:asciiTheme="minorHAnsi" w:hAnsiTheme="minorHAnsi" w:cstheme="minorHAnsi"/>
          <w:color w:val="1F4E79" w:themeColor="accent5" w:themeShade="80"/>
          <w:sz w:val="21"/>
          <w:szCs w:val="21"/>
        </w:rPr>
        <w:t>ReLAB</w:t>
      </w:r>
      <w:proofErr w:type="spellEnd"/>
      <w:r w:rsidR="003C1246" w:rsidRPr="003C1246">
        <w:rPr>
          <w:rFonts w:asciiTheme="minorHAnsi" w:hAnsiTheme="minorHAnsi" w:cstheme="minorHAnsi"/>
          <w:color w:val="1F4E79" w:themeColor="accent5" w:themeShade="80"/>
          <w:sz w:val="21"/>
          <w:szCs w:val="21"/>
        </w:rPr>
        <w:t xml:space="preserve">-HS is </w:t>
      </w:r>
      <w:r w:rsidR="003C1246" w:rsidRPr="00917F73">
        <w:rPr>
          <w:rFonts w:asciiTheme="minorHAnsi" w:hAnsiTheme="minorHAnsi" w:cstheme="minorHAnsi"/>
          <w:color w:val="1F4E79" w:themeColor="accent5" w:themeShade="80"/>
          <w:sz w:val="21"/>
          <w:szCs w:val="21"/>
        </w:rPr>
        <w:t xml:space="preserve">also </w:t>
      </w:r>
      <w:r w:rsidR="003C1246" w:rsidRPr="003C1246">
        <w:rPr>
          <w:rFonts w:asciiTheme="minorHAnsi" w:hAnsiTheme="minorHAnsi" w:cstheme="minorHAnsi"/>
          <w:color w:val="1F4E79" w:themeColor="accent5" w:themeShade="80"/>
          <w:sz w:val="21"/>
          <w:szCs w:val="21"/>
        </w:rPr>
        <w:t>supporting the provision of simple assistive products at the primary care level (e.g., walking canes, crutches, and toilet and shower chairs) by working with local stakeholders to establish procurement mechanisms that will secure a steady supply of products.</w:t>
      </w:r>
      <w:r w:rsidR="00FD3CCD" w:rsidRPr="00917F73">
        <w:rPr>
          <w:rStyle w:val="FootnoteReference"/>
          <w:rFonts w:asciiTheme="minorHAnsi" w:hAnsiTheme="minorHAnsi" w:cstheme="minorHAnsi"/>
          <w:color w:val="1F4E79" w:themeColor="accent5" w:themeShade="80"/>
          <w:sz w:val="21"/>
          <w:szCs w:val="21"/>
        </w:rPr>
        <w:footnoteReference w:id="7"/>
      </w:r>
    </w:p>
    <w:p w14:paraId="7F7D46CE" w14:textId="2D9C3824" w:rsidR="007778E2" w:rsidRPr="00917F73" w:rsidRDefault="00B96FF0" w:rsidP="00A320CD">
      <w:pPr>
        <w:spacing w:after="60"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b/>
          <w:bCs/>
          <w:color w:val="1F4E79" w:themeColor="accent5" w:themeShade="80"/>
          <w:sz w:val="21"/>
          <w:szCs w:val="21"/>
        </w:rPr>
        <w:t>Re.</w:t>
      </w:r>
      <w:r w:rsidR="00912740" w:rsidRPr="00917F73">
        <w:rPr>
          <w:rFonts w:asciiTheme="minorHAnsi" w:hAnsiTheme="minorHAnsi" w:cstheme="minorHAnsi"/>
          <w:b/>
          <w:bCs/>
          <w:color w:val="1F4E79" w:themeColor="accent5" w:themeShade="80"/>
          <w:sz w:val="21"/>
          <w:szCs w:val="21"/>
        </w:rPr>
        <w:t xml:space="preserve"> </w:t>
      </w:r>
      <w:r w:rsidR="00A76298">
        <w:rPr>
          <w:rFonts w:asciiTheme="minorHAnsi" w:hAnsiTheme="minorHAnsi" w:cstheme="minorHAnsi"/>
          <w:b/>
          <w:bCs/>
          <w:color w:val="1F4E79" w:themeColor="accent5" w:themeShade="80"/>
          <w:sz w:val="21"/>
          <w:szCs w:val="21"/>
        </w:rPr>
        <w:t>Deinstitutionalisation</w:t>
      </w:r>
      <w:r w:rsidR="007913FA" w:rsidRPr="00917F73">
        <w:rPr>
          <w:rFonts w:asciiTheme="minorHAnsi" w:hAnsiTheme="minorHAnsi" w:cstheme="minorHAnsi"/>
          <w:b/>
          <w:bCs/>
          <w:color w:val="1F4E79" w:themeColor="accent5" w:themeShade="80"/>
          <w:sz w:val="21"/>
          <w:szCs w:val="21"/>
        </w:rPr>
        <w:t xml:space="preserve"> and </w:t>
      </w:r>
      <w:r w:rsidR="001F1C84" w:rsidRPr="00917F73">
        <w:rPr>
          <w:rFonts w:asciiTheme="minorHAnsi" w:hAnsiTheme="minorHAnsi" w:cstheme="minorHAnsi"/>
          <w:b/>
          <w:bCs/>
          <w:color w:val="1F4E79" w:themeColor="accent5" w:themeShade="80"/>
          <w:sz w:val="21"/>
          <w:szCs w:val="21"/>
        </w:rPr>
        <w:t xml:space="preserve">community-based </w:t>
      </w:r>
      <w:r w:rsidRPr="00917F73">
        <w:rPr>
          <w:rFonts w:asciiTheme="minorHAnsi" w:hAnsiTheme="minorHAnsi" w:cstheme="minorHAnsi"/>
          <w:b/>
          <w:bCs/>
          <w:color w:val="1F4E79" w:themeColor="accent5" w:themeShade="80"/>
          <w:sz w:val="21"/>
          <w:szCs w:val="21"/>
        </w:rPr>
        <w:t>support for persons with psychosocial disabilities</w:t>
      </w:r>
      <w:r w:rsidR="001F1C84" w:rsidRPr="00917F73">
        <w:rPr>
          <w:rFonts w:asciiTheme="minorHAnsi" w:hAnsiTheme="minorHAnsi" w:cstheme="minorHAnsi"/>
          <w:color w:val="1F4E79" w:themeColor="accent5" w:themeShade="80"/>
          <w:sz w:val="21"/>
          <w:szCs w:val="21"/>
        </w:rPr>
        <w:t xml:space="preserve">: </w:t>
      </w:r>
      <w:r w:rsidR="00A76298">
        <w:rPr>
          <w:rFonts w:asciiTheme="minorHAnsi" w:hAnsiTheme="minorHAnsi" w:cstheme="minorHAnsi"/>
          <w:color w:val="1F4E79" w:themeColor="accent5" w:themeShade="80"/>
          <w:sz w:val="21"/>
          <w:szCs w:val="21"/>
        </w:rPr>
        <w:t>Deinstitutionalisation</w:t>
      </w:r>
      <w:r w:rsidR="0066351F" w:rsidRPr="00917F73">
        <w:rPr>
          <w:rFonts w:asciiTheme="minorHAnsi" w:hAnsiTheme="minorHAnsi" w:cstheme="minorHAnsi"/>
          <w:color w:val="1F4E79" w:themeColor="accent5" w:themeShade="80"/>
          <w:sz w:val="21"/>
          <w:szCs w:val="21"/>
        </w:rPr>
        <w:t xml:space="preserve"> and moving to community-based models of care is important for improving the quality of life for persons with psychosocial disabilities and protecting them from a wide range of human </w:t>
      </w:r>
      <w:r w:rsidR="0066351F" w:rsidRPr="00917F73">
        <w:rPr>
          <w:rFonts w:asciiTheme="minorHAnsi" w:hAnsiTheme="minorHAnsi" w:cstheme="minorHAnsi"/>
          <w:color w:val="1F4E79" w:themeColor="accent5" w:themeShade="80"/>
          <w:sz w:val="21"/>
          <w:szCs w:val="21"/>
        </w:rPr>
        <w:lastRenderedPageBreak/>
        <w:t>rights violations; it is also more cost–effective since it leads to better recovery outcomes.</w:t>
      </w:r>
      <w:r w:rsidR="00284C3F" w:rsidRPr="00917F73">
        <w:rPr>
          <w:rStyle w:val="FootnoteReference"/>
          <w:rFonts w:asciiTheme="minorHAnsi" w:hAnsiTheme="minorHAnsi" w:cstheme="minorHAnsi"/>
          <w:color w:val="1F4E79" w:themeColor="accent5" w:themeShade="80"/>
          <w:sz w:val="21"/>
          <w:szCs w:val="21"/>
        </w:rPr>
        <w:footnoteReference w:id="8"/>
      </w:r>
      <w:r w:rsidR="0066351F" w:rsidRPr="00917F73">
        <w:rPr>
          <w:rFonts w:asciiTheme="minorHAnsi" w:hAnsiTheme="minorHAnsi" w:cstheme="minorHAnsi"/>
          <w:color w:val="1F4E79" w:themeColor="accent5" w:themeShade="80"/>
          <w:sz w:val="21"/>
          <w:szCs w:val="21"/>
        </w:rPr>
        <w:t xml:space="preserve"> </w:t>
      </w:r>
      <w:r w:rsidR="001F1C84" w:rsidRPr="00917F73">
        <w:rPr>
          <w:rFonts w:asciiTheme="minorHAnsi" w:hAnsiTheme="minorHAnsi" w:cstheme="minorHAnsi"/>
          <w:color w:val="1F4E79" w:themeColor="accent5" w:themeShade="80"/>
          <w:sz w:val="21"/>
          <w:szCs w:val="21"/>
        </w:rPr>
        <w:t xml:space="preserve">The WHO </w:t>
      </w:r>
      <w:hyperlink r:id="rId11" w:history="1">
        <w:proofErr w:type="spellStart"/>
        <w:r w:rsidR="00C53CFF" w:rsidRPr="003A162C">
          <w:rPr>
            <w:rStyle w:val="Hyperlink"/>
            <w:rFonts w:asciiTheme="minorHAnsi" w:hAnsiTheme="minorHAnsi" w:cstheme="minorHAnsi"/>
            <w:color w:val="0070C0"/>
            <w:sz w:val="21"/>
            <w:szCs w:val="21"/>
          </w:rPr>
          <w:t>QualityRights</w:t>
        </w:r>
        <w:proofErr w:type="spellEnd"/>
        <w:r w:rsidR="00C53CFF" w:rsidRPr="003A162C">
          <w:rPr>
            <w:rStyle w:val="Hyperlink"/>
            <w:rFonts w:asciiTheme="minorHAnsi" w:hAnsiTheme="minorHAnsi" w:cstheme="minorHAnsi"/>
            <w:color w:val="0070C0"/>
            <w:sz w:val="21"/>
            <w:szCs w:val="21"/>
          </w:rPr>
          <w:t xml:space="preserve"> initiative</w:t>
        </w:r>
      </w:hyperlink>
      <w:r w:rsidR="00C53CFF" w:rsidRPr="003A162C">
        <w:rPr>
          <w:rFonts w:asciiTheme="minorHAnsi" w:hAnsiTheme="minorHAnsi" w:cstheme="minorHAnsi"/>
          <w:color w:val="1F4E79" w:themeColor="accent5" w:themeShade="80"/>
          <w:sz w:val="21"/>
          <w:szCs w:val="21"/>
        </w:rPr>
        <w:t xml:space="preserve"> </w:t>
      </w:r>
      <w:r w:rsidR="00C53CFF" w:rsidRPr="00917F73">
        <w:rPr>
          <w:rFonts w:asciiTheme="minorHAnsi" w:hAnsiTheme="minorHAnsi" w:cstheme="minorHAnsi"/>
          <w:color w:val="1F4E79" w:themeColor="accent5" w:themeShade="80"/>
          <w:sz w:val="21"/>
          <w:szCs w:val="21"/>
        </w:rPr>
        <w:t>uses a multicomponent framework and strategies to promote mental health systems, services, and practices that prioritize respect for human rights</w:t>
      </w:r>
      <w:r w:rsidR="00ED06C8" w:rsidRPr="00917F73">
        <w:rPr>
          <w:rFonts w:asciiTheme="minorHAnsi" w:hAnsiTheme="minorHAnsi" w:cstheme="minorHAnsi"/>
          <w:color w:val="1F4E79" w:themeColor="accent5" w:themeShade="80"/>
          <w:sz w:val="21"/>
          <w:szCs w:val="21"/>
        </w:rPr>
        <w:t>,</w:t>
      </w:r>
      <w:r w:rsidR="00C53CFF" w:rsidRPr="00917F73">
        <w:rPr>
          <w:rFonts w:asciiTheme="minorHAnsi" w:hAnsiTheme="minorHAnsi" w:cstheme="minorHAnsi"/>
          <w:color w:val="1F4E79" w:themeColor="accent5" w:themeShade="80"/>
          <w:sz w:val="21"/>
          <w:szCs w:val="21"/>
        </w:rPr>
        <w:t xml:space="preserve"> in line with the CRPD</w:t>
      </w:r>
      <w:r w:rsidR="00E12923" w:rsidRPr="00917F73">
        <w:rPr>
          <w:rFonts w:asciiTheme="minorHAnsi" w:hAnsiTheme="minorHAnsi" w:cstheme="minorHAnsi"/>
          <w:color w:val="1F4E79" w:themeColor="accent5" w:themeShade="80"/>
          <w:sz w:val="21"/>
          <w:szCs w:val="21"/>
        </w:rPr>
        <w:t xml:space="preserve">. </w:t>
      </w:r>
      <w:r w:rsidR="007778E2" w:rsidRPr="00917F73">
        <w:rPr>
          <w:rFonts w:asciiTheme="minorHAnsi" w:hAnsiTheme="minorHAnsi" w:cstheme="minorHAnsi"/>
          <w:color w:val="1F4E79" w:themeColor="accent5" w:themeShade="80"/>
          <w:sz w:val="21"/>
          <w:szCs w:val="21"/>
        </w:rPr>
        <w:t xml:space="preserve">As part of the </w:t>
      </w:r>
      <w:r w:rsidR="00B95500" w:rsidRPr="00917F73">
        <w:rPr>
          <w:rFonts w:asciiTheme="minorHAnsi" w:hAnsiTheme="minorHAnsi" w:cstheme="minorHAnsi"/>
          <w:color w:val="1F4E79" w:themeColor="accent5" w:themeShade="80"/>
          <w:sz w:val="21"/>
          <w:szCs w:val="21"/>
        </w:rPr>
        <w:t>this initiative</w:t>
      </w:r>
      <w:r w:rsidR="007778E2" w:rsidRPr="00917F73">
        <w:rPr>
          <w:rFonts w:asciiTheme="minorHAnsi" w:hAnsiTheme="minorHAnsi" w:cstheme="minorHAnsi"/>
          <w:color w:val="1F4E79" w:themeColor="accent5" w:themeShade="80"/>
          <w:sz w:val="21"/>
          <w:szCs w:val="21"/>
        </w:rPr>
        <w:t xml:space="preserve">, WHO has developed a comprehensive package of training and guidance materials which can be used to build capacity among mental health practitioners, people with psychosocial, intellectual and cognitive disabilities, people using mental health services, families, care partners and other supporters, </w:t>
      </w:r>
      <w:r w:rsidR="000658AD" w:rsidRPr="00917F73">
        <w:rPr>
          <w:rFonts w:asciiTheme="minorHAnsi" w:hAnsiTheme="minorHAnsi" w:cstheme="minorHAnsi"/>
          <w:color w:val="1F4E79" w:themeColor="accent5" w:themeShade="80"/>
          <w:sz w:val="21"/>
          <w:szCs w:val="21"/>
        </w:rPr>
        <w:t>NGOs</w:t>
      </w:r>
      <w:r w:rsidR="007778E2" w:rsidRPr="00917F73">
        <w:rPr>
          <w:rFonts w:asciiTheme="minorHAnsi" w:hAnsiTheme="minorHAnsi" w:cstheme="minorHAnsi"/>
          <w:color w:val="1F4E79" w:themeColor="accent5" w:themeShade="80"/>
          <w:sz w:val="21"/>
          <w:szCs w:val="21"/>
        </w:rPr>
        <w:t xml:space="preserve">, organizations of persons with disabilities and others on how to implement a human rights and recovery approach in the area of mental health in line with the </w:t>
      </w:r>
      <w:r w:rsidR="00AA416C" w:rsidRPr="00917F73">
        <w:rPr>
          <w:rFonts w:asciiTheme="minorHAnsi" w:hAnsiTheme="minorHAnsi" w:cstheme="minorHAnsi"/>
          <w:color w:val="1F4E79" w:themeColor="accent5" w:themeShade="80"/>
          <w:sz w:val="21"/>
          <w:szCs w:val="21"/>
        </w:rPr>
        <w:t>CRPD</w:t>
      </w:r>
      <w:r w:rsidR="007778E2" w:rsidRPr="00917F73">
        <w:rPr>
          <w:rFonts w:asciiTheme="minorHAnsi" w:hAnsiTheme="minorHAnsi" w:cstheme="minorHAnsi"/>
          <w:color w:val="1F4E79" w:themeColor="accent5" w:themeShade="80"/>
          <w:sz w:val="21"/>
          <w:szCs w:val="21"/>
        </w:rPr>
        <w:t xml:space="preserve"> and other international human rights standards.</w:t>
      </w:r>
      <w:r w:rsidR="00A20EE7" w:rsidRPr="00917F73">
        <w:rPr>
          <w:rStyle w:val="FootnoteReference"/>
          <w:rFonts w:asciiTheme="minorHAnsi" w:hAnsiTheme="minorHAnsi" w:cstheme="minorHAnsi"/>
          <w:color w:val="1F4E79" w:themeColor="accent5" w:themeShade="80"/>
          <w:sz w:val="21"/>
          <w:szCs w:val="21"/>
        </w:rPr>
        <w:footnoteReference w:id="9"/>
      </w:r>
      <w:r w:rsidR="00B95500" w:rsidRPr="00917F73">
        <w:rPr>
          <w:rFonts w:asciiTheme="minorHAnsi" w:hAnsiTheme="minorHAnsi" w:cstheme="minorHAnsi"/>
          <w:color w:val="1F4E79" w:themeColor="accent5" w:themeShade="80"/>
          <w:sz w:val="21"/>
          <w:szCs w:val="21"/>
        </w:rPr>
        <w:t xml:space="preserve"> </w:t>
      </w:r>
      <w:r w:rsidR="00913A41" w:rsidRPr="00917F73">
        <w:rPr>
          <w:rFonts w:asciiTheme="minorHAnsi" w:hAnsiTheme="minorHAnsi" w:cstheme="minorHAnsi"/>
          <w:color w:val="1F4E79" w:themeColor="accent5" w:themeShade="80"/>
          <w:sz w:val="21"/>
          <w:szCs w:val="21"/>
        </w:rPr>
        <w:t xml:space="preserve">WHO </w:t>
      </w:r>
      <w:hyperlink r:id="rId12" w:history="1">
        <w:r w:rsidR="00913A41" w:rsidRPr="003A162C">
          <w:rPr>
            <w:rStyle w:val="Hyperlink"/>
            <w:rFonts w:asciiTheme="minorHAnsi" w:hAnsiTheme="minorHAnsi" w:cstheme="minorHAnsi"/>
            <w:color w:val="0070C0"/>
            <w:sz w:val="21"/>
            <w:szCs w:val="21"/>
          </w:rPr>
          <w:t>g</w:t>
        </w:r>
        <w:r w:rsidR="00B95500" w:rsidRPr="003A162C">
          <w:rPr>
            <w:rStyle w:val="Hyperlink"/>
            <w:rFonts w:asciiTheme="minorHAnsi" w:hAnsiTheme="minorHAnsi" w:cstheme="minorHAnsi"/>
            <w:color w:val="0070C0"/>
            <w:sz w:val="21"/>
            <w:szCs w:val="21"/>
          </w:rPr>
          <w:t>uidance on community mental health services</w:t>
        </w:r>
      </w:hyperlink>
      <w:r w:rsidR="00913A41" w:rsidRPr="003A162C">
        <w:rPr>
          <w:rFonts w:asciiTheme="minorHAnsi" w:hAnsiTheme="minorHAnsi" w:cstheme="minorHAnsi"/>
          <w:color w:val="1F4E79" w:themeColor="accent5" w:themeShade="80"/>
          <w:sz w:val="21"/>
          <w:szCs w:val="21"/>
        </w:rPr>
        <w:t xml:space="preserve"> </w:t>
      </w:r>
      <w:r w:rsidR="00913A41" w:rsidRPr="00917F73">
        <w:rPr>
          <w:rFonts w:asciiTheme="minorHAnsi" w:hAnsiTheme="minorHAnsi" w:cstheme="minorHAnsi"/>
          <w:color w:val="1F4E79" w:themeColor="accent5" w:themeShade="80"/>
          <w:sz w:val="21"/>
          <w:szCs w:val="21"/>
        </w:rPr>
        <w:t>published in 2021</w:t>
      </w:r>
      <w:r w:rsidR="00913A41" w:rsidRPr="00917F73">
        <w:rPr>
          <w:rFonts w:asciiTheme="minorHAnsi" w:hAnsiTheme="minorHAnsi" w:cstheme="minorHAnsi"/>
          <w:i/>
          <w:iCs/>
          <w:color w:val="1F4E79" w:themeColor="accent5" w:themeShade="80"/>
          <w:sz w:val="21"/>
          <w:szCs w:val="21"/>
        </w:rPr>
        <w:t xml:space="preserve"> </w:t>
      </w:r>
      <w:r w:rsidR="00B95500" w:rsidRPr="00917F73">
        <w:rPr>
          <w:rFonts w:asciiTheme="minorHAnsi" w:hAnsiTheme="minorHAnsi" w:cstheme="minorHAnsi"/>
          <w:color w:val="1F4E79" w:themeColor="accent5" w:themeShade="80"/>
          <w:sz w:val="21"/>
          <w:szCs w:val="21"/>
        </w:rPr>
        <w:t>provides a detailed description of person-centred</w:t>
      </w:r>
      <w:r w:rsidR="00A16370" w:rsidRPr="00917F73">
        <w:rPr>
          <w:rFonts w:asciiTheme="minorHAnsi" w:hAnsiTheme="minorHAnsi" w:cstheme="minorHAnsi"/>
          <w:color w:val="1F4E79" w:themeColor="accent5" w:themeShade="80"/>
          <w:sz w:val="21"/>
          <w:szCs w:val="21"/>
        </w:rPr>
        <w:t xml:space="preserve">, </w:t>
      </w:r>
      <w:r w:rsidR="00B95500" w:rsidRPr="00917F73">
        <w:rPr>
          <w:rFonts w:asciiTheme="minorHAnsi" w:hAnsiTheme="minorHAnsi" w:cstheme="minorHAnsi"/>
          <w:color w:val="1F4E79" w:themeColor="accent5" w:themeShade="80"/>
          <w:sz w:val="21"/>
          <w:szCs w:val="21"/>
        </w:rPr>
        <w:t xml:space="preserve">human rights-based </w:t>
      </w:r>
      <w:r w:rsidR="00A16370" w:rsidRPr="00917F73">
        <w:rPr>
          <w:rFonts w:asciiTheme="minorHAnsi" w:hAnsiTheme="minorHAnsi" w:cstheme="minorHAnsi"/>
          <w:color w:val="1F4E79" w:themeColor="accent5" w:themeShade="80"/>
          <w:sz w:val="21"/>
          <w:szCs w:val="21"/>
        </w:rPr>
        <w:t xml:space="preserve">and recovery-oriented </w:t>
      </w:r>
      <w:r w:rsidR="00B95500" w:rsidRPr="00917F73">
        <w:rPr>
          <w:rFonts w:asciiTheme="minorHAnsi" w:hAnsiTheme="minorHAnsi" w:cstheme="minorHAnsi"/>
          <w:color w:val="1F4E79" w:themeColor="accent5" w:themeShade="80"/>
          <w:sz w:val="21"/>
          <w:szCs w:val="21"/>
        </w:rPr>
        <w:t>approaches in mental health, and s</w:t>
      </w:r>
      <w:r w:rsidR="008001B6" w:rsidRPr="00917F73">
        <w:rPr>
          <w:rFonts w:asciiTheme="minorHAnsi" w:hAnsiTheme="minorHAnsi" w:cstheme="minorHAnsi"/>
          <w:color w:val="1F4E79" w:themeColor="accent5" w:themeShade="80"/>
          <w:sz w:val="21"/>
          <w:szCs w:val="21"/>
        </w:rPr>
        <w:t>howcases</w:t>
      </w:r>
      <w:r w:rsidR="00B95500" w:rsidRPr="00917F73">
        <w:rPr>
          <w:rFonts w:asciiTheme="minorHAnsi" w:hAnsiTheme="minorHAnsi" w:cstheme="minorHAnsi"/>
          <w:color w:val="1F4E79" w:themeColor="accent5" w:themeShade="80"/>
          <w:sz w:val="21"/>
          <w:szCs w:val="21"/>
        </w:rPr>
        <w:t xml:space="preserve"> examples of good practice services around the world</w:t>
      </w:r>
      <w:r w:rsidR="008001B6" w:rsidRPr="00917F73">
        <w:rPr>
          <w:rFonts w:asciiTheme="minorHAnsi" w:hAnsiTheme="minorHAnsi" w:cstheme="minorHAnsi"/>
          <w:color w:val="1F4E79" w:themeColor="accent5" w:themeShade="80"/>
          <w:sz w:val="21"/>
          <w:szCs w:val="21"/>
        </w:rPr>
        <w:t>, including examples of integrated regional and national networks of community-based mental health services</w:t>
      </w:r>
      <w:r w:rsidR="003A538A" w:rsidRPr="00917F73">
        <w:rPr>
          <w:rFonts w:asciiTheme="minorHAnsi" w:hAnsiTheme="minorHAnsi" w:cstheme="minorHAnsi"/>
          <w:color w:val="1F4E79" w:themeColor="accent5" w:themeShade="80"/>
          <w:sz w:val="21"/>
          <w:szCs w:val="21"/>
        </w:rPr>
        <w:t>.</w:t>
      </w:r>
      <w:r w:rsidR="00FC0318" w:rsidRPr="00917F73">
        <w:rPr>
          <w:rStyle w:val="FootnoteReference"/>
          <w:rFonts w:asciiTheme="minorHAnsi" w:hAnsiTheme="minorHAnsi" w:cstheme="minorHAnsi"/>
          <w:color w:val="1F4E79" w:themeColor="accent5" w:themeShade="80"/>
          <w:sz w:val="21"/>
          <w:szCs w:val="21"/>
        </w:rPr>
        <w:footnoteReference w:id="10"/>
      </w:r>
      <w:r w:rsidR="00EE682B" w:rsidRPr="00917F73">
        <w:rPr>
          <w:rFonts w:asciiTheme="minorHAnsi" w:hAnsiTheme="minorHAnsi" w:cstheme="minorHAnsi"/>
          <w:color w:val="1F4E79" w:themeColor="accent5" w:themeShade="80"/>
          <w:sz w:val="21"/>
          <w:szCs w:val="21"/>
        </w:rPr>
        <w:t xml:space="preserve"> </w:t>
      </w:r>
      <w:r w:rsidR="00A76298">
        <w:rPr>
          <w:rFonts w:asciiTheme="minorHAnsi" w:hAnsiTheme="minorHAnsi" w:cstheme="minorHAnsi"/>
          <w:color w:val="1F4E79" w:themeColor="accent5" w:themeShade="80"/>
          <w:sz w:val="21"/>
          <w:szCs w:val="21"/>
        </w:rPr>
        <w:t>Deinstitutionalisation</w:t>
      </w:r>
      <w:r w:rsidR="002D68E4" w:rsidRPr="00917F73">
        <w:rPr>
          <w:rFonts w:asciiTheme="minorHAnsi" w:hAnsiTheme="minorHAnsi" w:cstheme="minorHAnsi"/>
          <w:color w:val="1F4E79" w:themeColor="accent5" w:themeShade="80"/>
          <w:sz w:val="21"/>
          <w:szCs w:val="21"/>
        </w:rPr>
        <w:t xml:space="preserve"> and </w:t>
      </w:r>
      <w:proofErr w:type="spellStart"/>
      <w:r w:rsidR="00425E6A" w:rsidRPr="00917F73">
        <w:rPr>
          <w:rFonts w:asciiTheme="minorHAnsi" w:hAnsiTheme="minorHAnsi" w:cstheme="minorHAnsi"/>
          <w:color w:val="1F4E79" w:themeColor="accent5" w:themeShade="80"/>
          <w:sz w:val="21"/>
          <w:szCs w:val="21"/>
        </w:rPr>
        <w:t>QualityRights</w:t>
      </w:r>
      <w:proofErr w:type="spellEnd"/>
      <w:r w:rsidR="00425E6A" w:rsidRPr="00917F73">
        <w:rPr>
          <w:rFonts w:asciiTheme="minorHAnsi" w:hAnsiTheme="minorHAnsi" w:cstheme="minorHAnsi"/>
          <w:color w:val="1F4E79" w:themeColor="accent5" w:themeShade="80"/>
          <w:sz w:val="21"/>
          <w:szCs w:val="21"/>
        </w:rPr>
        <w:t xml:space="preserve"> continue to be implemented in in many countries across the world</w:t>
      </w:r>
      <w:r w:rsidR="00D57683" w:rsidRPr="00917F73">
        <w:rPr>
          <w:rFonts w:asciiTheme="minorHAnsi" w:hAnsiTheme="minorHAnsi" w:cstheme="minorHAnsi"/>
          <w:color w:val="1F4E79" w:themeColor="accent5" w:themeShade="80"/>
          <w:sz w:val="21"/>
          <w:szCs w:val="21"/>
        </w:rPr>
        <w:t xml:space="preserve">. In </w:t>
      </w:r>
      <w:r w:rsidR="00F92316" w:rsidRPr="00917F73">
        <w:rPr>
          <w:rFonts w:asciiTheme="minorHAnsi" w:hAnsiTheme="minorHAnsi" w:cstheme="minorHAnsi"/>
          <w:color w:val="1F4E79" w:themeColor="accent5" w:themeShade="80"/>
          <w:sz w:val="21"/>
          <w:szCs w:val="21"/>
        </w:rPr>
        <w:t xml:space="preserve">Buenos Aires, Argentina, </w:t>
      </w:r>
      <w:r w:rsidR="00D57683" w:rsidRPr="00917F73">
        <w:rPr>
          <w:rFonts w:asciiTheme="minorHAnsi" w:hAnsiTheme="minorHAnsi" w:cstheme="minorHAnsi"/>
          <w:color w:val="1F4E79" w:themeColor="accent5" w:themeShade="80"/>
          <w:sz w:val="21"/>
          <w:szCs w:val="21"/>
        </w:rPr>
        <w:t xml:space="preserve">for example, </w:t>
      </w:r>
      <w:r w:rsidR="00F92316" w:rsidRPr="00917F73">
        <w:rPr>
          <w:rFonts w:asciiTheme="minorHAnsi" w:hAnsiTheme="minorHAnsi" w:cstheme="minorHAnsi"/>
          <w:color w:val="1F4E79" w:themeColor="accent5" w:themeShade="80"/>
          <w:sz w:val="21"/>
          <w:szCs w:val="21"/>
        </w:rPr>
        <w:t>a mental health reform conducted between 2020 and 2021 resulted in the number of people in institutions falling from 1810 to 1391</w:t>
      </w:r>
      <w:r w:rsidR="00FD56D5" w:rsidRPr="00917F73">
        <w:rPr>
          <w:rFonts w:asciiTheme="minorHAnsi" w:hAnsiTheme="minorHAnsi" w:cstheme="minorHAnsi"/>
          <w:color w:val="1F4E79" w:themeColor="accent5" w:themeShade="80"/>
          <w:sz w:val="21"/>
          <w:szCs w:val="21"/>
        </w:rPr>
        <w:t xml:space="preserve"> through a halt to </w:t>
      </w:r>
      <w:r w:rsidR="00F92316" w:rsidRPr="00917F73">
        <w:rPr>
          <w:rFonts w:asciiTheme="minorHAnsi" w:hAnsiTheme="minorHAnsi" w:cstheme="minorHAnsi"/>
          <w:color w:val="1F4E79" w:themeColor="accent5" w:themeShade="80"/>
          <w:sz w:val="21"/>
          <w:szCs w:val="21"/>
        </w:rPr>
        <w:t>long-term admissions</w:t>
      </w:r>
      <w:r w:rsidR="00FD56D5" w:rsidRPr="00917F73">
        <w:rPr>
          <w:rFonts w:asciiTheme="minorHAnsi" w:hAnsiTheme="minorHAnsi" w:cstheme="minorHAnsi"/>
          <w:color w:val="1F4E79" w:themeColor="accent5" w:themeShade="80"/>
          <w:sz w:val="21"/>
          <w:szCs w:val="21"/>
        </w:rPr>
        <w:t xml:space="preserve">, transfer </w:t>
      </w:r>
      <w:r w:rsidR="00F92316" w:rsidRPr="00917F73">
        <w:rPr>
          <w:rFonts w:asciiTheme="minorHAnsi" w:hAnsiTheme="minorHAnsi" w:cstheme="minorHAnsi"/>
          <w:color w:val="1F4E79" w:themeColor="accent5" w:themeShade="80"/>
          <w:sz w:val="21"/>
          <w:szCs w:val="21"/>
        </w:rPr>
        <w:t>subsid</w:t>
      </w:r>
      <w:r w:rsidR="00FD56D5" w:rsidRPr="00917F73">
        <w:rPr>
          <w:rFonts w:asciiTheme="minorHAnsi" w:hAnsiTheme="minorHAnsi" w:cstheme="minorHAnsi"/>
          <w:color w:val="1F4E79" w:themeColor="accent5" w:themeShade="80"/>
          <w:sz w:val="21"/>
          <w:szCs w:val="21"/>
        </w:rPr>
        <w:t>ies</w:t>
      </w:r>
      <w:r w:rsidR="00F92316" w:rsidRPr="00917F73">
        <w:rPr>
          <w:rFonts w:asciiTheme="minorHAnsi" w:hAnsiTheme="minorHAnsi" w:cstheme="minorHAnsi"/>
          <w:color w:val="1F4E79" w:themeColor="accent5" w:themeShade="80"/>
          <w:sz w:val="21"/>
          <w:szCs w:val="21"/>
        </w:rPr>
        <w:t xml:space="preserve"> to support discharge and</w:t>
      </w:r>
      <w:r w:rsidR="00230210" w:rsidRPr="00917F73">
        <w:rPr>
          <w:rFonts w:asciiTheme="minorHAnsi" w:hAnsiTheme="minorHAnsi" w:cstheme="minorHAnsi"/>
          <w:color w:val="1F4E79" w:themeColor="accent5" w:themeShade="80"/>
          <w:sz w:val="21"/>
          <w:szCs w:val="21"/>
        </w:rPr>
        <w:t xml:space="preserve"> provision of </w:t>
      </w:r>
      <w:r w:rsidR="00F92316" w:rsidRPr="00917F73">
        <w:rPr>
          <w:rFonts w:asciiTheme="minorHAnsi" w:hAnsiTheme="minorHAnsi" w:cstheme="minorHAnsi"/>
          <w:color w:val="1F4E79" w:themeColor="accent5" w:themeShade="80"/>
          <w:sz w:val="21"/>
          <w:szCs w:val="21"/>
        </w:rPr>
        <w:t>housing support and community-based mental health services</w:t>
      </w:r>
      <w:r w:rsidR="00973E7C" w:rsidRPr="00917F73">
        <w:rPr>
          <w:rFonts w:asciiTheme="minorHAnsi" w:hAnsiTheme="minorHAnsi" w:cstheme="minorHAnsi"/>
          <w:color w:val="1F4E79" w:themeColor="accent5" w:themeShade="80"/>
          <w:sz w:val="21"/>
          <w:szCs w:val="21"/>
        </w:rPr>
        <w:t>.</w:t>
      </w:r>
      <w:r w:rsidR="00230210" w:rsidRPr="00917F73">
        <w:rPr>
          <w:rStyle w:val="FootnoteReference"/>
          <w:rFonts w:asciiTheme="minorHAnsi" w:hAnsiTheme="minorHAnsi" w:cstheme="minorHAnsi"/>
          <w:color w:val="1F4E79" w:themeColor="accent5" w:themeShade="80"/>
          <w:sz w:val="21"/>
          <w:szCs w:val="21"/>
        </w:rPr>
        <w:footnoteReference w:id="11"/>
      </w:r>
      <w:r w:rsidR="007E10C3" w:rsidRPr="00917F73">
        <w:rPr>
          <w:rFonts w:asciiTheme="minorHAnsi" w:hAnsiTheme="minorHAnsi" w:cstheme="minorHAnsi"/>
          <w:color w:val="1F4E79" w:themeColor="accent5" w:themeShade="80"/>
          <w:sz w:val="21"/>
          <w:szCs w:val="21"/>
        </w:rPr>
        <w:t xml:space="preserve"> Yet, while community-based services are widely regarded as the best approach for providing mental health care, most LMICs spend the majority of their scarce resources for mental health </w:t>
      </w:r>
      <w:r w:rsidR="00800FF4" w:rsidRPr="00917F73">
        <w:rPr>
          <w:rFonts w:asciiTheme="minorHAnsi" w:hAnsiTheme="minorHAnsi" w:cstheme="minorHAnsi"/>
          <w:color w:val="1F4E79" w:themeColor="accent5" w:themeShade="80"/>
          <w:sz w:val="21"/>
          <w:szCs w:val="21"/>
        </w:rPr>
        <w:t xml:space="preserve">on </w:t>
      </w:r>
      <w:r w:rsidR="007E10C3" w:rsidRPr="00917F73">
        <w:rPr>
          <w:rFonts w:asciiTheme="minorHAnsi" w:hAnsiTheme="minorHAnsi" w:cstheme="minorHAnsi"/>
          <w:color w:val="1F4E79" w:themeColor="accent5" w:themeShade="80"/>
          <w:sz w:val="21"/>
          <w:szCs w:val="21"/>
        </w:rPr>
        <w:t>managing people with mental health conditions in institutions</w:t>
      </w:r>
      <w:r w:rsidR="0085767C" w:rsidRPr="00917F73">
        <w:rPr>
          <w:rFonts w:asciiTheme="minorHAnsi" w:hAnsiTheme="minorHAnsi" w:cstheme="minorHAnsi"/>
          <w:color w:val="1F4E79" w:themeColor="accent5" w:themeShade="80"/>
          <w:sz w:val="21"/>
          <w:szCs w:val="21"/>
        </w:rPr>
        <w:t>,</w:t>
      </w:r>
      <w:r w:rsidR="00C225B2" w:rsidRPr="00917F73">
        <w:rPr>
          <w:rStyle w:val="FootnoteReference"/>
          <w:rFonts w:asciiTheme="minorHAnsi" w:hAnsiTheme="minorHAnsi" w:cstheme="minorHAnsi"/>
          <w:color w:val="1F4E79" w:themeColor="accent5" w:themeShade="80"/>
          <w:sz w:val="21"/>
          <w:szCs w:val="21"/>
        </w:rPr>
        <w:footnoteReference w:id="12"/>
      </w:r>
      <w:r w:rsidR="0085767C" w:rsidRPr="00917F73">
        <w:rPr>
          <w:rFonts w:asciiTheme="minorHAnsi" w:hAnsiTheme="minorHAnsi" w:cstheme="minorHAnsi"/>
          <w:color w:val="1F4E79" w:themeColor="accent5" w:themeShade="80"/>
          <w:sz w:val="21"/>
          <w:szCs w:val="21"/>
        </w:rPr>
        <w:t xml:space="preserve"> </w:t>
      </w:r>
      <w:r w:rsidR="0074152B">
        <w:rPr>
          <w:rFonts w:asciiTheme="minorHAnsi" w:hAnsiTheme="minorHAnsi" w:cstheme="minorHAnsi"/>
          <w:color w:val="1F4E79" w:themeColor="accent5" w:themeShade="80"/>
          <w:sz w:val="21"/>
          <w:szCs w:val="21"/>
        </w:rPr>
        <w:t xml:space="preserve">meaning that </w:t>
      </w:r>
      <w:r w:rsidR="008E698A" w:rsidRPr="00917F73">
        <w:rPr>
          <w:rFonts w:asciiTheme="minorHAnsi" w:hAnsiTheme="minorHAnsi" w:cstheme="minorHAnsi"/>
          <w:color w:val="1F4E79" w:themeColor="accent5" w:themeShade="80"/>
          <w:sz w:val="21"/>
          <w:szCs w:val="21"/>
        </w:rPr>
        <w:t xml:space="preserve">significant challenges remain in </w:t>
      </w:r>
      <w:r w:rsidR="001C770B">
        <w:rPr>
          <w:rFonts w:asciiTheme="minorHAnsi" w:hAnsiTheme="minorHAnsi" w:cstheme="minorHAnsi"/>
          <w:color w:val="1F4E79" w:themeColor="accent5" w:themeShade="80"/>
          <w:sz w:val="21"/>
          <w:szCs w:val="21"/>
        </w:rPr>
        <w:t xml:space="preserve">achieving </w:t>
      </w:r>
      <w:r w:rsidR="008E698A" w:rsidRPr="00917F73">
        <w:rPr>
          <w:rFonts w:asciiTheme="minorHAnsi" w:hAnsiTheme="minorHAnsi" w:cstheme="minorHAnsi"/>
          <w:color w:val="1F4E79" w:themeColor="accent5" w:themeShade="80"/>
          <w:sz w:val="21"/>
          <w:szCs w:val="21"/>
        </w:rPr>
        <w:t>rights-based mental health services in the community.</w:t>
      </w:r>
      <w:r w:rsidR="008E698A" w:rsidRPr="00917F73">
        <w:rPr>
          <w:rStyle w:val="FootnoteReference"/>
          <w:rFonts w:asciiTheme="minorHAnsi" w:hAnsiTheme="minorHAnsi" w:cstheme="minorHAnsi"/>
          <w:color w:val="1F4E79" w:themeColor="accent5" w:themeShade="80"/>
          <w:sz w:val="21"/>
          <w:szCs w:val="21"/>
        </w:rPr>
        <w:footnoteReference w:id="13"/>
      </w:r>
      <w:r w:rsidR="008E698A" w:rsidRPr="00917F73">
        <w:rPr>
          <w:rFonts w:asciiTheme="minorHAnsi" w:hAnsiTheme="minorHAnsi" w:cstheme="minorHAnsi"/>
          <w:color w:val="1F4E79" w:themeColor="accent5" w:themeShade="80"/>
          <w:sz w:val="21"/>
          <w:szCs w:val="21"/>
        </w:rPr>
        <w:t xml:space="preserve"> </w:t>
      </w:r>
    </w:p>
    <w:p w14:paraId="40A9AE2D" w14:textId="50AC8819" w:rsidR="00546C15" w:rsidRPr="00917F73" w:rsidRDefault="00B96FF0" w:rsidP="00A320CD">
      <w:pPr>
        <w:spacing w:after="60"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b/>
          <w:bCs/>
          <w:color w:val="1F4E79" w:themeColor="accent5" w:themeShade="80"/>
          <w:sz w:val="21"/>
          <w:szCs w:val="21"/>
        </w:rPr>
        <w:t xml:space="preserve">Re. </w:t>
      </w:r>
      <w:r w:rsidR="005539B7" w:rsidRPr="00917F73">
        <w:rPr>
          <w:rFonts w:asciiTheme="minorHAnsi" w:hAnsiTheme="minorHAnsi" w:cstheme="minorHAnsi"/>
          <w:b/>
          <w:bCs/>
          <w:color w:val="1F4E79" w:themeColor="accent5" w:themeShade="80"/>
          <w:sz w:val="21"/>
          <w:szCs w:val="21"/>
        </w:rPr>
        <w:t>legal capacity</w:t>
      </w:r>
      <w:r w:rsidR="00D62577" w:rsidRPr="00917F73">
        <w:rPr>
          <w:rFonts w:asciiTheme="minorHAnsi" w:hAnsiTheme="minorHAnsi" w:cstheme="minorHAnsi"/>
          <w:b/>
          <w:bCs/>
          <w:color w:val="1F4E79" w:themeColor="accent5" w:themeShade="80"/>
          <w:sz w:val="21"/>
          <w:szCs w:val="21"/>
        </w:rPr>
        <w:t xml:space="preserve"> and the right to decide</w:t>
      </w:r>
      <w:r w:rsidR="005539B7" w:rsidRPr="00917F73">
        <w:rPr>
          <w:rFonts w:asciiTheme="minorHAnsi" w:hAnsiTheme="minorHAnsi" w:cstheme="minorHAnsi"/>
          <w:b/>
          <w:bCs/>
          <w:color w:val="1F4E79" w:themeColor="accent5" w:themeShade="80"/>
          <w:sz w:val="21"/>
          <w:szCs w:val="21"/>
        </w:rPr>
        <w:t xml:space="preserve">: </w:t>
      </w:r>
      <w:r w:rsidR="009A5755" w:rsidRPr="00917F73">
        <w:rPr>
          <w:rFonts w:asciiTheme="minorHAnsi" w:hAnsiTheme="minorHAnsi" w:cstheme="minorHAnsi"/>
          <w:color w:val="1F4E79" w:themeColor="accent5" w:themeShade="80"/>
          <w:sz w:val="21"/>
          <w:szCs w:val="21"/>
        </w:rPr>
        <w:t>M</w:t>
      </w:r>
      <w:r w:rsidR="00D9419F" w:rsidRPr="00917F73">
        <w:rPr>
          <w:rFonts w:asciiTheme="minorHAnsi" w:hAnsiTheme="minorHAnsi" w:cstheme="minorHAnsi"/>
          <w:color w:val="1F4E79" w:themeColor="accent5" w:themeShade="80"/>
          <w:sz w:val="21"/>
          <w:szCs w:val="21"/>
        </w:rPr>
        <w:t>any persons with disabilities (particular</w:t>
      </w:r>
      <w:r w:rsidR="002516A5">
        <w:rPr>
          <w:rFonts w:asciiTheme="minorHAnsi" w:hAnsiTheme="minorHAnsi" w:cstheme="minorHAnsi"/>
          <w:color w:val="1F4E79" w:themeColor="accent5" w:themeShade="80"/>
          <w:sz w:val="21"/>
          <w:szCs w:val="21"/>
        </w:rPr>
        <w:t>ly</w:t>
      </w:r>
      <w:r w:rsidR="00546C15" w:rsidRPr="00917F73">
        <w:rPr>
          <w:rFonts w:asciiTheme="minorHAnsi" w:hAnsiTheme="minorHAnsi" w:cstheme="minorHAnsi"/>
          <w:color w:val="1F4E79" w:themeColor="accent5" w:themeShade="80"/>
          <w:sz w:val="21"/>
          <w:szCs w:val="21"/>
        </w:rPr>
        <w:t xml:space="preserve"> persons with psychosocial, </w:t>
      </w:r>
      <w:proofErr w:type="gramStart"/>
      <w:r w:rsidR="00546C15" w:rsidRPr="00917F73">
        <w:rPr>
          <w:rFonts w:asciiTheme="minorHAnsi" w:hAnsiTheme="minorHAnsi" w:cstheme="minorHAnsi"/>
          <w:color w:val="1F4E79" w:themeColor="accent5" w:themeShade="80"/>
          <w:sz w:val="21"/>
          <w:szCs w:val="21"/>
        </w:rPr>
        <w:t>cognitive</w:t>
      </w:r>
      <w:proofErr w:type="gramEnd"/>
      <w:r w:rsidR="00546C15" w:rsidRPr="00917F73">
        <w:rPr>
          <w:rFonts w:asciiTheme="minorHAnsi" w:hAnsiTheme="minorHAnsi" w:cstheme="minorHAnsi"/>
          <w:color w:val="1F4E79" w:themeColor="accent5" w:themeShade="80"/>
          <w:sz w:val="21"/>
          <w:szCs w:val="21"/>
        </w:rPr>
        <w:t xml:space="preserve"> or intellectual disabilities</w:t>
      </w:r>
      <w:r w:rsidR="00D9419F" w:rsidRPr="00917F73">
        <w:rPr>
          <w:rFonts w:asciiTheme="minorHAnsi" w:hAnsiTheme="minorHAnsi" w:cstheme="minorHAnsi"/>
          <w:color w:val="1F4E79" w:themeColor="accent5" w:themeShade="80"/>
          <w:sz w:val="21"/>
          <w:szCs w:val="21"/>
        </w:rPr>
        <w:t xml:space="preserve"> </w:t>
      </w:r>
      <w:r w:rsidR="00546C15" w:rsidRPr="00917F73">
        <w:rPr>
          <w:rFonts w:asciiTheme="minorHAnsi" w:hAnsiTheme="minorHAnsi" w:cstheme="minorHAnsi"/>
          <w:color w:val="1F4E79" w:themeColor="accent5" w:themeShade="80"/>
          <w:sz w:val="21"/>
          <w:szCs w:val="21"/>
        </w:rPr>
        <w:t>and older persons with disabilities</w:t>
      </w:r>
      <w:r w:rsidR="00D9419F" w:rsidRPr="00917F73">
        <w:rPr>
          <w:rFonts w:asciiTheme="minorHAnsi" w:hAnsiTheme="minorHAnsi" w:cstheme="minorHAnsi"/>
          <w:color w:val="1F4E79" w:themeColor="accent5" w:themeShade="80"/>
          <w:sz w:val="21"/>
          <w:szCs w:val="21"/>
        </w:rPr>
        <w:t>)</w:t>
      </w:r>
      <w:r w:rsidR="00546C15" w:rsidRPr="00917F73">
        <w:rPr>
          <w:rFonts w:asciiTheme="minorHAnsi" w:hAnsiTheme="minorHAnsi" w:cstheme="minorHAnsi"/>
          <w:color w:val="1F4E79" w:themeColor="accent5" w:themeShade="80"/>
          <w:sz w:val="21"/>
          <w:szCs w:val="21"/>
        </w:rPr>
        <w:t xml:space="preserve"> often experience challenges in exercising the</w:t>
      </w:r>
      <w:r w:rsidR="009A5755" w:rsidRPr="00917F73">
        <w:rPr>
          <w:rFonts w:asciiTheme="minorHAnsi" w:hAnsiTheme="minorHAnsi" w:cstheme="minorHAnsi"/>
          <w:color w:val="1F4E79" w:themeColor="accent5" w:themeShade="80"/>
          <w:sz w:val="21"/>
          <w:szCs w:val="21"/>
        </w:rPr>
        <w:t xml:space="preserve">ir right to legal capacity </w:t>
      </w:r>
      <w:r w:rsidR="002516A5">
        <w:rPr>
          <w:rFonts w:asciiTheme="minorHAnsi" w:hAnsiTheme="minorHAnsi" w:cstheme="minorHAnsi"/>
          <w:color w:val="1F4E79" w:themeColor="accent5" w:themeShade="80"/>
          <w:sz w:val="21"/>
          <w:szCs w:val="21"/>
        </w:rPr>
        <w:t>(</w:t>
      </w:r>
      <w:r w:rsidR="009A5755" w:rsidRPr="00917F73">
        <w:rPr>
          <w:rFonts w:asciiTheme="minorHAnsi" w:hAnsiTheme="minorHAnsi" w:cstheme="minorHAnsi"/>
          <w:color w:val="1F4E79" w:themeColor="accent5" w:themeShade="80"/>
          <w:sz w:val="21"/>
          <w:szCs w:val="21"/>
        </w:rPr>
        <w:t>enshrined in the CRPD)</w:t>
      </w:r>
      <w:r w:rsidR="00546C15" w:rsidRPr="00917F73">
        <w:rPr>
          <w:rFonts w:asciiTheme="minorHAnsi" w:hAnsiTheme="minorHAnsi" w:cstheme="minorHAnsi"/>
          <w:color w:val="1F4E79" w:themeColor="accent5" w:themeShade="80"/>
          <w:sz w:val="21"/>
          <w:szCs w:val="21"/>
        </w:rPr>
        <w:t xml:space="preserve">. </w:t>
      </w:r>
      <w:r w:rsidR="009A5755" w:rsidRPr="00917F73">
        <w:rPr>
          <w:rFonts w:asciiTheme="minorHAnsi" w:hAnsiTheme="minorHAnsi" w:cstheme="minorHAnsi"/>
          <w:color w:val="1F4E79" w:themeColor="accent5" w:themeShade="80"/>
          <w:sz w:val="21"/>
          <w:szCs w:val="21"/>
        </w:rPr>
        <w:t xml:space="preserve">As part of its </w:t>
      </w:r>
      <w:proofErr w:type="spellStart"/>
      <w:r w:rsidR="003B4CB5" w:rsidRPr="00917F73">
        <w:rPr>
          <w:rFonts w:asciiTheme="minorHAnsi" w:hAnsiTheme="minorHAnsi" w:cstheme="minorHAnsi"/>
          <w:color w:val="1F4E79" w:themeColor="accent5" w:themeShade="80"/>
          <w:sz w:val="21"/>
          <w:szCs w:val="21"/>
        </w:rPr>
        <w:t>QualityRights</w:t>
      </w:r>
      <w:proofErr w:type="spellEnd"/>
      <w:r w:rsidR="003B4CB5" w:rsidRPr="00917F73">
        <w:rPr>
          <w:rFonts w:asciiTheme="minorHAnsi" w:hAnsiTheme="minorHAnsi" w:cstheme="minorHAnsi"/>
          <w:color w:val="1F4E79" w:themeColor="accent5" w:themeShade="80"/>
          <w:sz w:val="21"/>
          <w:szCs w:val="21"/>
        </w:rPr>
        <w:t xml:space="preserve"> initiative, WHO has developed a core training on legal capacity and the right to decide, as well as on supportive decision-making for countries in strengthening their policies. </w:t>
      </w:r>
      <w:r w:rsidR="008F3A6B" w:rsidRPr="00917F73">
        <w:rPr>
          <w:rFonts w:asciiTheme="minorHAnsi" w:hAnsiTheme="minorHAnsi" w:cstheme="minorHAnsi"/>
          <w:color w:val="1F4E79" w:themeColor="accent5" w:themeShade="80"/>
          <w:sz w:val="21"/>
          <w:szCs w:val="21"/>
        </w:rPr>
        <w:t xml:space="preserve">A </w:t>
      </w:r>
      <w:r w:rsidR="00546C15" w:rsidRPr="00917F73">
        <w:rPr>
          <w:rFonts w:asciiTheme="minorHAnsi" w:hAnsiTheme="minorHAnsi" w:cstheme="minorHAnsi"/>
          <w:color w:val="1F4E79" w:themeColor="accent5" w:themeShade="80"/>
          <w:sz w:val="21"/>
          <w:szCs w:val="21"/>
        </w:rPr>
        <w:t>human rights-based</w:t>
      </w:r>
      <w:r w:rsidR="008F3A6B" w:rsidRPr="00917F73">
        <w:rPr>
          <w:rFonts w:asciiTheme="minorHAnsi" w:hAnsiTheme="minorHAnsi" w:cstheme="minorHAnsi"/>
          <w:color w:val="1F4E79" w:themeColor="accent5" w:themeShade="80"/>
          <w:sz w:val="21"/>
          <w:szCs w:val="21"/>
        </w:rPr>
        <w:t xml:space="preserve"> approach </w:t>
      </w:r>
      <w:r w:rsidR="00B316A7" w:rsidRPr="00917F73">
        <w:rPr>
          <w:rFonts w:asciiTheme="minorHAnsi" w:hAnsiTheme="minorHAnsi" w:cstheme="minorHAnsi"/>
          <w:color w:val="1F4E79" w:themeColor="accent5" w:themeShade="80"/>
          <w:sz w:val="21"/>
          <w:szCs w:val="21"/>
        </w:rPr>
        <w:t>to supported decision-making can</w:t>
      </w:r>
      <w:r w:rsidR="00546C15" w:rsidRPr="00917F73">
        <w:rPr>
          <w:rFonts w:asciiTheme="minorHAnsi" w:hAnsiTheme="minorHAnsi" w:cstheme="minorHAnsi"/>
          <w:color w:val="1F4E79" w:themeColor="accent5" w:themeShade="80"/>
          <w:sz w:val="21"/>
          <w:szCs w:val="21"/>
        </w:rPr>
        <w:t xml:space="preserve"> enabl</w:t>
      </w:r>
      <w:r w:rsidR="00B316A7" w:rsidRPr="00917F73">
        <w:rPr>
          <w:rFonts w:asciiTheme="minorHAnsi" w:hAnsiTheme="minorHAnsi" w:cstheme="minorHAnsi"/>
          <w:color w:val="1F4E79" w:themeColor="accent5" w:themeShade="80"/>
          <w:sz w:val="21"/>
          <w:szCs w:val="21"/>
        </w:rPr>
        <w:t>e</w:t>
      </w:r>
      <w:r w:rsidR="00546C15" w:rsidRPr="00917F73">
        <w:rPr>
          <w:rFonts w:asciiTheme="minorHAnsi" w:hAnsiTheme="minorHAnsi" w:cstheme="minorHAnsi"/>
          <w:color w:val="1F4E79" w:themeColor="accent5" w:themeShade="80"/>
          <w:sz w:val="21"/>
          <w:szCs w:val="21"/>
        </w:rPr>
        <w:t xml:space="preserve"> persons with disabilities to have access to trusted support persons of their choosing who can assist them in understanding the options available to them; help them to consider the advantages and disadvantages of </w:t>
      </w:r>
      <w:proofErr w:type="gramStart"/>
      <w:r w:rsidR="00546C15" w:rsidRPr="00917F73">
        <w:rPr>
          <w:rFonts w:asciiTheme="minorHAnsi" w:hAnsiTheme="minorHAnsi" w:cstheme="minorHAnsi"/>
          <w:color w:val="1F4E79" w:themeColor="accent5" w:themeShade="80"/>
          <w:sz w:val="21"/>
          <w:szCs w:val="21"/>
        </w:rPr>
        <w:t>particular choices</w:t>
      </w:r>
      <w:proofErr w:type="gramEnd"/>
      <w:r w:rsidR="00546C15" w:rsidRPr="00917F73">
        <w:rPr>
          <w:rFonts w:asciiTheme="minorHAnsi" w:hAnsiTheme="minorHAnsi" w:cstheme="minorHAnsi"/>
          <w:color w:val="1F4E79" w:themeColor="accent5" w:themeShade="80"/>
          <w:sz w:val="21"/>
          <w:szCs w:val="21"/>
        </w:rPr>
        <w:t xml:space="preserve"> and decisions </w:t>
      </w:r>
      <w:r w:rsidR="00715552" w:rsidRPr="00917F73">
        <w:rPr>
          <w:rFonts w:asciiTheme="minorHAnsi" w:hAnsiTheme="minorHAnsi" w:cstheme="minorHAnsi"/>
          <w:color w:val="1F4E79" w:themeColor="accent5" w:themeShade="80"/>
          <w:sz w:val="21"/>
          <w:szCs w:val="21"/>
        </w:rPr>
        <w:t xml:space="preserve">and in communicating their will and preferences in relation to </w:t>
      </w:r>
      <w:r w:rsidR="00546C15" w:rsidRPr="00917F73">
        <w:rPr>
          <w:rFonts w:asciiTheme="minorHAnsi" w:hAnsiTheme="minorHAnsi" w:cstheme="minorHAnsi"/>
          <w:color w:val="1F4E79" w:themeColor="accent5" w:themeShade="80"/>
          <w:sz w:val="21"/>
          <w:szCs w:val="21"/>
        </w:rPr>
        <w:t xml:space="preserve">the </w:t>
      </w:r>
      <w:r w:rsidR="00B316A7" w:rsidRPr="00917F73">
        <w:rPr>
          <w:rFonts w:asciiTheme="minorHAnsi" w:hAnsiTheme="minorHAnsi" w:cstheme="minorHAnsi"/>
          <w:color w:val="1F4E79" w:themeColor="accent5" w:themeShade="80"/>
          <w:sz w:val="21"/>
          <w:szCs w:val="21"/>
        </w:rPr>
        <w:t xml:space="preserve">support and </w:t>
      </w:r>
      <w:r w:rsidR="00546C15" w:rsidRPr="00917F73">
        <w:rPr>
          <w:rFonts w:asciiTheme="minorHAnsi" w:hAnsiTheme="minorHAnsi" w:cstheme="minorHAnsi"/>
          <w:color w:val="1F4E79" w:themeColor="accent5" w:themeShade="80"/>
          <w:sz w:val="21"/>
          <w:szCs w:val="21"/>
        </w:rPr>
        <w:t xml:space="preserve">services they receive. </w:t>
      </w:r>
      <w:r w:rsidR="00546C15" w:rsidRPr="00917F73">
        <w:rPr>
          <w:rFonts w:asciiTheme="minorHAnsi" w:hAnsiTheme="minorHAnsi" w:cstheme="minorHAnsi"/>
          <w:i/>
          <w:iCs/>
          <w:color w:val="1F4E79" w:themeColor="accent5" w:themeShade="80"/>
          <w:sz w:val="21"/>
          <w:szCs w:val="21"/>
        </w:rPr>
        <w:t>(23, 24)</w:t>
      </w:r>
      <w:r w:rsidR="00546C15" w:rsidRPr="00917F73">
        <w:rPr>
          <w:rFonts w:asciiTheme="minorHAnsi" w:hAnsiTheme="minorHAnsi" w:cstheme="minorHAnsi"/>
          <w:color w:val="1F4E79" w:themeColor="accent5" w:themeShade="80"/>
          <w:sz w:val="21"/>
          <w:szCs w:val="21"/>
        </w:rPr>
        <w:t>.</w:t>
      </w:r>
      <w:r w:rsidR="002029F6" w:rsidRPr="00917F73">
        <w:rPr>
          <w:rStyle w:val="FootnoteReference"/>
          <w:rFonts w:asciiTheme="minorHAnsi" w:hAnsiTheme="minorHAnsi" w:cstheme="minorHAnsi"/>
          <w:color w:val="1F4E79" w:themeColor="accent5" w:themeShade="80"/>
          <w:sz w:val="21"/>
          <w:szCs w:val="21"/>
        </w:rPr>
        <w:footnoteReference w:id="14"/>
      </w:r>
    </w:p>
    <w:p w14:paraId="2E7AF6B4" w14:textId="77777777" w:rsidR="008374F9" w:rsidRPr="00917F73" w:rsidRDefault="008374F9" w:rsidP="00A320CD">
      <w:pPr>
        <w:spacing w:after="60"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b/>
          <w:bCs/>
          <w:color w:val="1F4E79" w:themeColor="accent5" w:themeShade="80"/>
          <w:sz w:val="21"/>
          <w:szCs w:val="21"/>
        </w:rPr>
        <w:t>Re. support for persons with intellectual disabilities</w:t>
      </w:r>
      <w:r w:rsidRPr="00917F73">
        <w:rPr>
          <w:rFonts w:asciiTheme="minorHAnsi" w:hAnsiTheme="minorHAnsi" w:cstheme="minorHAnsi"/>
          <w:color w:val="1F4E79" w:themeColor="accent5" w:themeShade="80"/>
          <w:sz w:val="21"/>
          <w:szCs w:val="21"/>
        </w:rPr>
        <w:t xml:space="preserve">: Australia’s </w:t>
      </w:r>
      <w:hyperlink r:id="rId13" w:history="1">
        <w:r w:rsidRPr="003A162C">
          <w:rPr>
            <w:rStyle w:val="Hyperlink"/>
            <w:rFonts w:asciiTheme="minorHAnsi" w:hAnsiTheme="minorHAnsi" w:cstheme="minorHAnsi"/>
            <w:color w:val="0070C0"/>
            <w:sz w:val="21"/>
            <w:szCs w:val="21"/>
          </w:rPr>
          <w:t>National roadmap for improving the health of people with intellectual disability</w:t>
        </w:r>
      </w:hyperlink>
      <w:r w:rsidRPr="00917F73">
        <w:rPr>
          <w:rFonts w:asciiTheme="minorHAnsi" w:hAnsiTheme="minorHAnsi" w:cstheme="minorHAnsi"/>
          <w:i/>
          <w:iCs/>
          <w:color w:val="1F4E79" w:themeColor="accent5" w:themeShade="80"/>
          <w:sz w:val="21"/>
          <w:szCs w:val="21"/>
        </w:rPr>
        <w:t xml:space="preserve"> </w:t>
      </w:r>
      <w:r w:rsidRPr="00917F73">
        <w:rPr>
          <w:rFonts w:asciiTheme="minorHAnsi" w:hAnsiTheme="minorHAnsi" w:cstheme="minorHAnsi"/>
          <w:color w:val="1F4E79" w:themeColor="accent5" w:themeShade="80"/>
          <w:sz w:val="21"/>
          <w:szCs w:val="21"/>
        </w:rPr>
        <w:t xml:space="preserve">represents a positive example of a national policy approach that aims to improve support for persons with intellectual disabilities. The roadmap aims to improve support for persons with intellectual disabilities, their </w:t>
      </w:r>
      <w:proofErr w:type="gramStart"/>
      <w:r w:rsidRPr="00917F73">
        <w:rPr>
          <w:rFonts w:asciiTheme="minorHAnsi" w:hAnsiTheme="minorHAnsi" w:cstheme="minorHAnsi"/>
          <w:color w:val="1F4E79" w:themeColor="accent5" w:themeShade="80"/>
          <w:sz w:val="21"/>
          <w:szCs w:val="21"/>
        </w:rPr>
        <w:t>families</w:t>
      </w:r>
      <w:proofErr w:type="gramEnd"/>
      <w:r w:rsidRPr="00917F73">
        <w:rPr>
          <w:rFonts w:asciiTheme="minorHAnsi" w:hAnsiTheme="minorHAnsi" w:cstheme="minorHAnsi"/>
          <w:color w:val="1F4E79" w:themeColor="accent5" w:themeShade="80"/>
          <w:sz w:val="21"/>
          <w:szCs w:val="21"/>
        </w:rPr>
        <w:t xml:space="preserve"> and carers, develop better models of care, support health and care workers to deliver quality care for persons with intellectual disabilities, and ensure that their needs are considered and met in emergency plans and responses. The roadmap was developed in close consultation with persons with intellectual disabilities, family members and carers.</w:t>
      </w:r>
      <w:r w:rsidRPr="00917F73">
        <w:rPr>
          <w:rStyle w:val="FootnoteReference"/>
          <w:rFonts w:asciiTheme="minorHAnsi" w:hAnsiTheme="minorHAnsi" w:cstheme="minorHAnsi"/>
          <w:color w:val="1F4E79" w:themeColor="accent5" w:themeShade="80"/>
          <w:sz w:val="21"/>
          <w:szCs w:val="21"/>
        </w:rPr>
        <w:footnoteReference w:id="15"/>
      </w:r>
    </w:p>
    <w:p w14:paraId="64B69CEC" w14:textId="517497B2" w:rsidR="00C207FF" w:rsidRPr="00917F73" w:rsidRDefault="00B96FF0" w:rsidP="00A320CD">
      <w:pPr>
        <w:spacing w:after="60"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b/>
          <w:bCs/>
          <w:color w:val="1F4E79" w:themeColor="accent5" w:themeShade="80"/>
          <w:sz w:val="21"/>
          <w:szCs w:val="21"/>
        </w:rPr>
        <w:t>Re.</w:t>
      </w:r>
      <w:r w:rsidR="006541AA" w:rsidRPr="00917F73">
        <w:rPr>
          <w:rFonts w:asciiTheme="minorHAnsi" w:hAnsiTheme="minorHAnsi" w:cstheme="minorHAnsi"/>
          <w:b/>
          <w:bCs/>
          <w:color w:val="1F4E79" w:themeColor="accent5" w:themeShade="80"/>
          <w:sz w:val="21"/>
          <w:szCs w:val="21"/>
        </w:rPr>
        <w:t xml:space="preserve"> </w:t>
      </w:r>
      <w:r w:rsidR="001F1C84" w:rsidRPr="00917F73">
        <w:rPr>
          <w:rFonts w:asciiTheme="minorHAnsi" w:hAnsiTheme="minorHAnsi" w:cstheme="minorHAnsi"/>
          <w:b/>
          <w:bCs/>
          <w:color w:val="1F4E79" w:themeColor="accent5" w:themeShade="80"/>
          <w:sz w:val="21"/>
          <w:szCs w:val="21"/>
        </w:rPr>
        <w:t>support providers</w:t>
      </w:r>
      <w:r w:rsidR="00C207FF" w:rsidRPr="00917F73">
        <w:rPr>
          <w:rFonts w:asciiTheme="minorHAnsi" w:hAnsiTheme="minorHAnsi" w:cstheme="minorHAnsi"/>
          <w:b/>
          <w:bCs/>
          <w:color w:val="1F4E79" w:themeColor="accent5" w:themeShade="80"/>
          <w:sz w:val="21"/>
          <w:szCs w:val="21"/>
        </w:rPr>
        <w:t>:</w:t>
      </w:r>
      <w:r w:rsidR="00C207FF" w:rsidRPr="00917F73">
        <w:rPr>
          <w:rFonts w:asciiTheme="minorHAnsi" w:hAnsiTheme="minorHAnsi" w:cstheme="minorHAnsi"/>
          <w:color w:val="1F4E79" w:themeColor="accent5" w:themeShade="80"/>
          <w:sz w:val="21"/>
          <w:szCs w:val="21"/>
        </w:rPr>
        <w:t xml:space="preserve"> WHO </w:t>
      </w:r>
      <w:r w:rsidR="009A5755" w:rsidRPr="00917F73">
        <w:rPr>
          <w:rFonts w:asciiTheme="minorHAnsi" w:hAnsiTheme="minorHAnsi" w:cstheme="minorHAnsi"/>
          <w:color w:val="1F4E79" w:themeColor="accent5" w:themeShade="80"/>
          <w:sz w:val="21"/>
          <w:szCs w:val="21"/>
        </w:rPr>
        <w:t xml:space="preserve">has also </w:t>
      </w:r>
      <w:r w:rsidR="00C207FF" w:rsidRPr="00917F73">
        <w:rPr>
          <w:rFonts w:asciiTheme="minorHAnsi" w:hAnsiTheme="minorHAnsi" w:cstheme="minorHAnsi"/>
          <w:color w:val="1F4E79" w:themeColor="accent5" w:themeShade="80"/>
          <w:sz w:val="21"/>
          <w:szCs w:val="21"/>
        </w:rPr>
        <w:t>developed ‘</w:t>
      </w:r>
      <w:proofErr w:type="spellStart"/>
      <w:r w:rsidR="00C93352" w:rsidRPr="00917F73">
        <w:rPr>
          <w:rFonts w:asciiTheme="minorHAnsi" w:hAnsiTheme="minorHAnsi" w:cstheme="minorHAnsi"/>
          <w:sz w:val="21"/>
          <w:szCs w:val="21"/>
        </w:rPr>
        <w:fldChar w:fldCharType="begin"/>
      </w:r>
      <w:r w:rsidR="00C93352" w:rsidRPr="00917F73">
        <w:rPr>
          <w:rFonts w:asciiTheme="minorHAnsi" w:hAnsiTheme="minorHAnsi" w:cstheme="minorHAnsi"/>
          <w:sz w:val="21"/>
          <w:szCs w:val="21"/>
        </w:rPr>
        <w:instrText>HYPERLINK "https://www.who.int/publications/i/item/9789241515863"</w:instrText>
      </w:r>
      <w:r w:rsidR="00C93352" w:rsidRPr="00917F73">
        <w:rPr>
          <w:rFonts w:asciiTheme="minorHAnsi" w:hAnsiTheme="minorHAnsi" w:cstheme="minorHAnsi"/>
          <w:sz w:val="21"/>
          <w:szCs w:val="21"/>
        </w:rPr>
      </w:r>
      <w:r w:rsidR="00C93352" w:rsidRPr="00917F73">
        <w:rPr>
          <w:rFonts w:asciiTheme="minorHAnsi" w:hAnsiTheme="minorHAnsi" w:cstheme="minorHAnsi"/>
          <w:sz w:val="21"/>
          <w:szCs w:val="21"/>
        </w:rPr>
        <w:fldChar w:fldCharType="separate"/>
      </w:r>
      <w:r w:rsidR="00C207FF" w:rsidRPr="003A162C">
        <w:rPr>
          <w:rStyle w:val="Hyperlink"/>
          <w:rFonts w:asciiTheme="minorHAnsi" w:hAnsiTheme="minorHAnsi" w:cstheme="minorHAnsi"/>
          <w:color w:val="0070C0"/>
          <w:sz w:val="21"/>
          <w:szCs w:val="21"/>
        </w:rPr>
        <w:t>iSupport</w:t>
      </w:r>
      <w:proofErr w:type="spellEnd"/>
      <w:r w:rsidR="0024604D" w:rsidRPr="003A162C">
        <w:rPr>
          <w:rStyle w:val="Hyperlink"/>
          <w:rFonts w:asciiTheme="minorHAnsi" w:hAnsiTheme="minorHAnsi" w:cstheme="minorHAnsi"/>
          <w:color w:val="0070C0"/>
          <w:sz w:val="21"/>
          <w:szCs w:val="21"/>
        </w:rPr>
        <w:t xml:space="preserve"> for Dementia</w:t>
      </w:r>
      <w:r w:rsidR="0024604D" w:rsidRPr="00917F73">
        <w:rPr>
          <w:rStyle w:val="Hyperlink"/>
          <w:rFonts w:asciiTheme="minorHAnsi" w:hAnsiTheme="minorHAnsi" w:cstheme="minorHAnsi"/>
          <w:color w:val="023160" w:themeColor="hyperlink" w:themeShade="80"/>
          <w:sz w:val="21"/>
          <w:szCs w:val="21"/>
        </w:rPr>
        <w:t>’</w:t>
      </w:r>
      <w:r w:rsidR="00C93352" w:rsidRPr="00917F73">
        <w:rPr>
          <w:rStyle w:val="Hyperlink"/>
          <w:rFonts w:asciiTheme="minorHAnsi" w:hAnsiTheme="minorHAnsi" w:cstheme="minorHAnsi"/>
          <w:color w:val="023160" w:themeColor="hyperlink" w:themeShade="80"/>
          <w:sz w:val="21"/>
          <w:szCs w:val="21"/>
        </w:rPr>
        <w:fldChar w:fldCharType="end"/>
      </w:r>
      <w:r w:rsidR="00C207FF" w:rsidRPr="00917F73">
        <w:rPr>
          <w:rFonts w:asciiTheme="minorHAnsi" w:hAnsiTheme="minorHAnsi" w:cstheme="minorHAnsi"/>
          <w:color w:val="1F4E79" w:themeColor="accent5" w:themeShade="80"/>
          <w:sz w:val="21"/>
          <w:szCs w:val="21"/>
        </w:rPr>
        <w:t xml:space="preserve"> as a knowledge and skills training programme for support providers of people living with dementia. This tool includes information on how to deal with behavioural changes such as memory loss and getting lost; how to provide support for a person’s everyday activities; or how to manage an individual’s own physical and mental health.</w:t>
      </w:r>
      <w:r w:rsidR="005E4857" w:rsidRPr="00917F73">
        <w:rPr>
          <w:rStyle w:val="FootnoteReference"/>
          <w:rFonts w:asciiTheme="minorHAnsi" w:hAnsiTheme="minorHAnsi" w:cstheme="minorHAnsi"/>
          <w:color w:val="1F4E79" w:themeColor="accent5" w:themeShade="80"/>
          <w:sz w:val="21"/>
          <w:szCs w:val="21"/>
        </w:rPr>
        <w:footnoteReference w:id="16"/>
      </w:r>
    </w:p>
    <w:p w14:paraId="611C5C1A" w14:textId="18498736" w:rsidR="00207660" w:rsidRPr="00917F73" w:rsidRDefault="009B6C01" w:rsidP="00A320CD">
      <w:pPr>
        <w:spacing w:after="60" w:line="240" w:lineRule="auto"/>
        <w:rPr>
          <w:rFonts w:asciiTheme="minorHAnsi" w:hAnsiTheme="minorHAnsi" w:cstheme="minorHAnsi"/>
          <w:sz w:val="21"/>
          <w:szCs w:val="21"/>
        </w:rPr>
      </w:pPr>
      <w:r w:rsidRPr="00917F73">
        <w:rPr>
          <w:rFonts w:asciiTheme="minorHAnsi" w:hAnsiTheme="minorHAnsi" w:cstheme="minorHAnsi"/>
          <w:b/>
          <w:bCs/>
          <w:color w:val="1F4E79" w:themeColor="accent5" w:themeShade="80"/>
          <w:sz w:val="21"/>
          <w:szCs w:val="21"/>
        </w:rPr>
        <w:lastRenderedPageBreak/>
        <w:t>Re. social protection and cash transfers</w:t>
      </w:r>
      <w:r w:rsidRPr="00917F73">
        <w:rPr>
          <w:rFonts w:asciiTheme="minorHAnsi" w:hAnsiTheme="minorHAnsi" w:cstheme="minorHAnsi"/>
          <w:color w:val="1F4E79" w:themeColor="accent5" w:themeShade="80"/>
          <w:sz w:val="21"/>
          <w:szCs w:val="21"/>
        </w:rPr>
        <w:t xml:space="preserve">: </w:t>
      </w:r>
      <w:r w:rsidR="0090774A" w:rsidRPr="00917F73">
        <w:rPr>
          <w:rFonts w:asciiTheme="minorHAnsi" w:hAnsiTheme="minorHAnsi" w:cstheme="minorHAnsi"/>
          <w:color w:val="1F4E79" w:themeColor="accent5" w:themeShade="80"/>
          <w:sz w:val="21"/>
          <w:szCs w:val="21"/>
        </w:rPr>
        <w:t>T</w:t>
      </w:r>
      <w:r w:rsidRPr="00917F73">
        <w:rPr>
          <w:rFonts w:asciiTheme="minorHAnsi" w:hAnsiTheme="minorHAnsi" w:cstheme="minorHAnsi"/>
          <w:color w:val="1F4E79" w:themeColor="accent5" w:themeShade="80"/>
          <w:sz w:val="21"/>
          <w:szCs w:val="21"/>
        </w:rPr>
        <w:t>he provision of non-contributory cash transfers can be seen as promoting community support</w:t>
      </w:r>
      <w:r w:rsidR="0090774A" w:rsidRPr="00917F73">
        <w:rPr>
          <w:rFonts w:asciiTheme="minorHAnsi" w:hAnsiTheme="minorHAnsi" w:cstheme="minorHAnsi"/>
          <w:color w:val="1F4E79" w:themeColor="accent5" w:themeShade="80"/>
          <w:sz w:val="21"/>
          <w:szCs w:val="21"/>
        </w:rPr>
        <w:t xml:space="preserve"> for persons with disabilities in many countries</w:t>
      </w:r>
      <w:r w:rsidRPr="00917F73">
        <w:rPr>
          <w:rFonts w:asciiTheme="minorHAnsi" w:hAnsiTheme="minorHAnsi" w:cstheme="minorHAnsi"/>
          <w:color w:val="1F4E79" w:themeColor="accent5" w:themeShade="80"/>
          <w:sz w:val="21"/>
          <w:szCs w:val="21"/>
        </w:rPr>
        <w:t xml:space="preserve">. </w:t>
      </w:r>
      <w:r w:rsidR="00E878E8" w:rsidRPr="00917F73">
        <w:rPr>
          <w:rFonts w:asciiTheme="minorHAnsi" w:hAnsiTheme="minorHAnsi" w:cstheme="minorHAnsi"/>
          <w:color w:val="1F4E79" w:themeColor="accent5" w:themeShade="80"/>
          <w:sz w:val="21"/>
          <w:szCs w:val="21"/>
        </w:rPr>
        <w:t xml:space="preserve">However, it is </w:t>
      </w:r>
      <w:r w:rsidR="00DC1179">
        <w:rPr>
          <w:rFonts w:asciiTheme="minorHAnsi" w:hAnsiTheme="minorHAnsi" w:cstheme="minorHAnsi"/>
          <w:color w:val="1F4E79" w:themeColor="accent5" w:themeShade="80"/>
          <w:sz w:val="21"/>
          <w:szCs w:val="21"/>
        </w:rPr>
        <w:t xml:space="preserve">often </w:t>
      </w:r>
      <w:r w:rsidR="00E878E8" w:rsidRPr="00917F73">
        <w:rPr>
          <w:rFonts w:asciiTheme="minorHAnsi" w:hAnsiTheme="minorHAnsi" w:cstheme="minorHAnsi"/>
          <w:color w:val="1F4E79" w:themeColor="accent5" w:themeShade="80"/>
          <w:sz w:val="21"/>
          <w:szCs w:val="21"/>
        </w:rPr>
        <w:t xml:space="preserve">not clear whether services linked to social protection programmes </w:t>
      </w:r>
      <w:r w:rsidR="001D4410" w:rsidRPr="00917F73">
        <w:rPr>
          <w:rFonts w:asciiTheme="minorHAnsi" w:hAnsiTheme="minorHAnsi" w:cstheme="minorHAnsi"/>
          <w:color w:val="1F4E79" w:themeColor="accent5" w:themeShade="80"/>
          <w:sz w:val="21"/>
          <w:szCs w:val="21"/>
        </w:rPr>
        <w:t xml:space="preserve">are accessible </w:t>
      </w:r>
      <w:r w:rsidR="00DC1179">
        <w:rPr>
          <w:rFonts w:asciiTheme="minorHAnsi" w:hAnsiTheme="minorHAnsi" w:cstheme="minorHAnsi"/>
          <w:color w:val="1F4E79" w:themeColor="accent5" w:themeShade="80"/>
          <w:sz w:val="21"/>
          <w:szCs w:val="21"/>
        </w:rPr>
        <w:t>or appropriate</w:t>
      </w:r>
      <w:r w:rsidR="002A2651">
        <w:rPr>
          <w:rFonts w:asciiTheme="minorHAnsi" w:hAnsiTheme="minorHAnsi" w:cstheme="minorHAnsi"/>
          <w:color w:val="1F4E79" w:themeColor="accent5" w:themeShade="80"/>
          <w:sz w:val="21"/>
          <w:szCs w:val="21"/>
        </w:rPr>
        <w:t xml:space="preserve"> for </w:t>
      </w:r>
      <w:r w:rsidR="00E878E8" w:rsidRPr="00917F73">
        <w:rPr>
          <w:rFonts w:asciiTheme="minorHAnsi" w:hAnsiTheme="minorHAnsi" w:cstheme="minorHAnsi"/>
          <w:color w:val="1F4E79" w:themeColor="accent5" w:themeShade="80"/>
          <w:sz w:val="21"/>
          <w:szCs w:val="21"/>
        </w:rPr>
        <w:t>the self-identified support needs of persons with disabilities</w:t>
      </w:r>
      <w:r w:rsidR="004425A4">
        <w:rPr>
          <w:rFonts w:asciiTheme="minorHAnsi" w:hAnsiTheme="minorHAnsi" w:cstheme="minorHAnsi"/>
          <w:color w:val="1F4E79" w:themeColor="accent5" w:themeShade="80"/>
          <w:sz w:val="21"/>
          <w:szCs w:val="21"/>
        </w:rPr>
        <w:t xml:space="preserve"> at community level</w:t>
      </w:r>
      <w:r w:rsidR="00E878E8" w:rsidRPr="00917F73">
        <w:rPr>
          <w:rFonts w:asciiTheme="minorHAnsi" w:hAnsiTheme="minorHAnsi" w:cstheme="minorHAnsi"/>
          <w:color w:val="1F4E79" w:themeColor="accent5" w:themeShade="80"/>
          <w:sz w:val="21"/>
          <w:szCs w:val="21"/>
        </w:rPr>
        <w:t>. I</w:t>
      </w:r>
      <w:r w:rsidRPr="00917F73">
        <w:rPr>
          <w:rFonts w:asciiTheme="minorHAnsi" w:hAnsiTheme="minorHAnsi" w:cstheme="minorHAnsi"/>
          <w:color w:val="1F4E79" w:themeColor="accent5" w:themeShade="80"/>
          <w:sz w:val="21"/>
          <w:szCs w:val="21"/>
        </w:rPr>
        <w:t xml:space="preserve">n Cambodia, the social protection system is underpinned by the involvement of </w:t>
      </w:r>
      <w:r w:rsidR="0090774A" w:rsidRPr="00917F73">
        <w:rPr>
          <w:rFonts w:asciiTheme="minorHAnsi" w:hAnsiTheme="minorHAnsi" w:cstheme="minorHAnsi"/>
          <w:color w:val="1F4E79" w:themeColor="accent5" w:themeShade="80"/>
          <w:sz w:val="21"/>
          <w:szCs w:val="21"/>
        </w:rPr>
        <w:t>organizations of persons with disabilities that</w:t>
      </w:r>
      <w:r w:rsidRPr="00917F73">
        <w:rPr>
          <w:rFonts w:asciiTheme="minorHAnsi" w:hAnsiTheme="minorHAnsi" w:cstheme="minorHAnsi"/>
          <w:color w:val="1F4E79" w:themeColor="accent5" w:themeShade="80"/>
          <w:sz w:val="21"/>
          <w:szCs w:val="21"/>
        </w:rPr>
        <w:t xml:space="preserve"> use the social protection system as a vehicle for awareness-raising and inclusion campaigns. </w:t>
      </w:r>
      <w:r w:rsidR="006449D3" w:rsidRPr="00917F73">
        <w:rPr>
          <w:rFonts w:asciiTheme="minorHAnsi" w:hAnsiTheme="minorHAnsi" w:cstheme="minorHAnsi"/>
          <w:color w:val="1F4E79" w:themeColor="accent5" w:themeShade="80"/>
          <w:sz w:val="21"/>
          <w:szCs w:val="21"/>
        </w:rPr>
        <w:t>Cash transfers delivered on mobile platforms, such as those being developed in Gambia, Morocco, and Togo, have the potential to link beneficiaries</w:t>
      </w:r>
      <w:r w:rsidR="006449D3">
        <w:rPr>
          <w:rFonts w:asciiTheme="minorHAnsi" w:hAnsiTheme="minorHAnsi" w:cstheme="minorHAnsi"/>
          <w:color w:val="1F4E79" w:themeColor="accent5" w:themeShade="80"/>
          <w:sz w:val="21"/>
          <w:szCs w:val="21"/>
        </w:rPr>
        <w:t xml:space="preserve"> easily</w:t>
      </w:r>
      <w:r w:rsidR="006449D3" w:rsidRPr="00917F73">
        <w:rPr>
          <w:rFonts w:asciiTheme="minorHAnsi" w:hAnsiTheme="minorHAnsi" w:cstheme="minorHAnsi"/>
          <w:color w:val="1F4E79" w:themeColor="accent5" w:themeShade="80"/>
          <w:sz w:val="21"/>
          <w:szCs w:val="21"/>
        </w:rPr>
        <w:t xml:space="preserve"> to other sources of support. </w:t>
      </w:r>
      <w:r w:rsidRPr="00917F73">
        <w:rPr>
          <w:rFonts w:asciiTheme="minorHAnsi" w:hAnsiTheme="minorHAnsi" w:cstheme="minorHAnsi"/>
          <w:color w:val="1F4E79" w:themeColor="accent5" w:themeShade="80"/>
          <w:sz w:val="21"/>
          <w:szCs w:val="21"/>
        </w:rPr>
        <w:t>In other settings, more comprehensive social protection programmes are being developed</w:t>
      </w:r>
      <w:r w:rsidR="00AC0991" w:rsidRPr="00917F73">
        <w:rPr>
          <w:rFonts w:asciiTheme="minorHAnsi" w:hAnsiTheme="minorHAnsi" w:cstheme="minorHAnsi"/>
          <w:color w:val="1F4E79" w:themeColor="accent5" w:themeShade="80"/>
          <w:sz w:val="21"/>
          <w:szCs w:val="21"/>
        </w:rPr>
        <w:t xml:space="preserve"> which also</w:t>
      </w:r>
      <w:r w:rsidRPr="00917F73">
        <w:rPr>
          <w:rFonts w:asciiTheme="minorHAnsi" w:hAnsiTheme="minorHAnsi" w:cstheme="minorHAnsi"/>
          <w:color w:val="1F4E79" w:themeColor="accent5" w:themeShade="80"/>
          <w:sz w:val="21"/>
          <w:szCs w:val="21"/>
        </w:rPr>
        <w:t xml:space="preserve"> incorporat</w:t>
      </w:r>
      <w:r w:rsidR="00AC0991" w:rsidRPr="00917F73">
        <w:rPr>
          <w:rFonts w:asciiTheme="minorHAnsi" w:hAnsiTheme="minorHAnsi" w:cstheme="minorHAnsi"/>
          <w:color w:val="1F4E79" w:themeColor="accent5" w:themeShade="80"/>
          <w:sz w:val="21"/>
          <w:szCs w:val="21"/>
        </w:rPr>
        <w:t xml:space="preserve">e a range of </w:t>
      </w:r>
      <w:r w:rsidRPr="00917F73">
        <w:rPr>
          <w:rFonts w:asciiTheme="minorHAnsi" w:hAnsiTheme="minorHAnsi" w:cstheme="minorHAnsi"/>
          <w:color w:val="1F4E79" w:themeColor="accent5" w:themeShade="80"/>
          <w:sz w:val="21"/>
          <w:szCs w:val="21"/>
        </w:rPr>
        <w:t>linked services.</w:t>
      </w:r>
      <w:r w:rsidR="00AC0991" w:rsidRPr="00917F73">
        <w:rPr>
          <w:rFonts w:asciiTheme="minorHAnsi" w:hAnsiTheme="minorHAnsi" w:cstheme="minorHAnsi"/>
          <w:color w:val="1F4E79" w:themeColor="accent5" w:themeShade="80"/>
          <w:sz w:val="21"/>
          <w:szCs w:val="21"/>
        </w:rPr>
        <w:t xml:space="preserve"> </w:t>
      </w:r>
      <w:r w:rsidRPr="00917F73">
        <w:rPr>
          <w:rFonts w:asciiTheme="minorHAnsi" w:hAnsiTheme="minorHAnsi" w:cstheme="minorHAnsi"/>
          <w:color w:val="1F4E79" w:themeColor="accent5" w:themeShade="80"/>
          <w:sz w:val="21"/>
          <w:szCs w:val="21"/>
        </w:rPr>
        <w:t xml:space="preserve">Thailand and Tunisia are developing personal assistance service schemes which have the potential to link individuals to social networks. </w:t>
      </w:r>
      <w:r w:rsidR="00402D20" w:rsidRPr="00917F73">
        <w:rPr>
          <w:rFonts w:asciiTheme="minorHAnsi" w:hAnsiTheme="minorHAnsi" w:cstheme="minorHAnsi"/>
          <w:color w:val="1F4E79" w:themeColor="accent5" w:themeShade="80"/>
          <w:sz w:val="21"/>
          <w:szCs w:val="21"/>
        </w:rPr>
        <w:t xml:space="preserve">In Vietnam, </w:t>
      </w:r>
      <w:r w:rsidR="003E0DB7" w:rsidRPr="00917F73">
        <w:rPr>
          <w:rFonts w:asciiTheme="minorHAnsi" w:hAnsiTheme="minorHAnsi" w:cstheme="minorHAnsi"/>
          <w:color w:val="1F4E79" w:themeColor="accent5" w:themeShade="80"/>
          <w:sz w:val="21"/>
          <w:szCs w:val="21"/>
        </w:rPr>
        <w:t xml:space="preserve">functioning-based protocols </w:t>
      </w:r>
      <w:r w:rsidR="00402D20" w:rsidRPr="00917F73">
        <w:rPr>
          <w:rFonts w:asciiTheme="minorHAnsi" w:hAnsiTheme="minorHAnsi" w:cstheme="minorHAnsi"/>
          <w:color w:val="1F4E79" w:themeColor="accent5" w:themeShade="80"/>
          <w:sz w:val="21"/>
          <w:szCs w:val="21"/>
        </w:rPr>
        <w:t xml:space="preserve">have been introduced </w:t>
      </w:r>
      <w:r w:rsidR="003E0DB7" w:rsidRPr="00917F73">
        <w:rPr>
          <w:rFonts w:asciiTheme="minorHAnsi" w:hAnsiTheme="minorHAnsi" w:cstheme="minorHAnsi"/>
          <w:color w:val="1F4E79" w:themeColor="accent5" w:themeShade="80"/>
          <w:sz w:val="21"/>
          <w:szCs w:val="21"/>
        </w:rPr>
        <w:t>as opposed to purely medical-based assessments</w:t>
      </w:r>
      <w:r w:rsidR="00402D20" w:rsidRPr="00917F73">
        <w:rPr>
          <w:rFonts w:asciiTheme="minorHAnsi" w:hAnsiTheme="minorHAnsi" w:cstheme="minorHAnsi"/>
          <w:color w:val="1F4E79" w:themeColor="accent5" w:themeShade="80"/>
          <w:sz w:val="21"/>
          <w:szCs w:val="21"/>
        </w:rPr>
        <w:t>, and a</w:t>
      </w:r>
      <w:r w:rsidRPr="00917F73">
        <w:rPr>
          <w:rFonts w:asciiTheme="minorHAnsi" w:hAnsiTheme="minorHAnsi" w:cstheme="minorHAnsi"/>
          <w:color w:val="1F4E79" w:themeColor="accent5" w:themeShade="80"/>
          <w:sz w:val="21"/>
          <w:szCs w:val="21"/>
        </w:rPr>
        <w:t xml:space="preserve">pplications for all forms of social protection are conducted at the local commune-level </w:t>
      </w:r>
      <w:r w:rsidR="00402D20" w:rsidRPr="00917F73">
        <w:rPr>
          <w:rFonts w:asciiTheme="minorHAnsi" w:hAnsiTheme="minorHAnsi" w:cstheme="minorHAnsi"/>
          <w:color w:val="1F4E79" w:themeColor="accent5" w:themeShade="80"/>
          <w:sz w:val="21"/>
          <w:szCs w:val="21"/>
        </w:rPr>
        <w:t xml:space="preserve">of </w:t>
      </w:r>
      <w:r w:rsidRPr="00917F73">
        <w:rPr>
          <w:rFonts w:asciiTheme="minorHAnsi" w:hAnsiTheme="minorHAnsi" w:cstheme="minorHAnsi"/>
          <w:color w:val="1F4E79" w:themeColor="accent5" w:themeShade="80"/>
          <w:sz w:val="21"/>
          <w:szCs w:val="21"/>
        </w:rPr>
        <w:t>People’s Committees, one of the lowest administrative units, and automatically link beneficiaries to local infrastructure, and a shift from a previous, more centralised, system. Research shows that this decentralised approach has been seen to improve coverage under disability-targeted programmes.</w:t>
      </w:r>
      <w:r w:rsidR="00E07032" w:rsidRPr="00917F73">
        <w:rPr>
          <w:rFonts w:asciiTheme="minorHAnsi" w:hAnsiTheme="minorHAnsi" w:cstheme="minorHAnsi"/>
          <w:color w:val="1F4E79" w:themeColor="accent5" w:themeShade="80"/>
          <w:sz w:val="21"/>
          <w:szCs w:val="21"/>
        </w:rPr>
        <w:t xml:space="preserve"> In Cambodia, </w:t>
      </w:r>
      <w:r w:rsidRPr="00917F73">
        <w:rPr>
          <w:rFonts w:asciiTheme="minorHAnsi" w:hAnsiTheme="minorHAnsi" w:cstheme="minorHAnsi"/>
          <w:color w:val="1F4E79" w:themeColor="accent5" w:themeShade="80"/>
          <w:sz w:val="21"/>
          <w:szCs w:val="21"/>
        </w:rPr>
        <w:t>all</w:t>
      </w:r>
      <w:r w:rsidR="00E07032" w:rsidRPr="00917F73">
        <w:rPr>
          <w:rFonts w:asciiTheme="minorHAnsi" w:hAnsiTheme="minorHAnsi" w:cstheme="minorHAnsi"/>
          <w:color w:val="1F4E79" w:themeColor="accent5" w:themeShade="80"/>
          <w:sz w:val="21"/>
          <w:szCs w:val="21"/>
        </w:rPr>
        <w:t xml:space="preserve"> persons </w:t>
      </w:r>
      <w:r w:rsidRPr="00917F73">
        <w:rPr>
          <w:rFonts w:asciiTheme="minorHAnsi" w:hAnsiTheme="minorHAnsi" w:cstheme="minorHAnsi"/>
          <w:color w:val="1F4E79" w:themeColor="accent5" w:themeShade="80"/>
          <w:sz w:val="21"/>
          <w:szCs w:val="21"/>
        </w:rPr>
        <w:t>who qualify for disability cash transfers automatically qualify for free health insurance.</w:t>
      </w:r>
      <w:r w:rsidR="00B1491E" w:rsidRPr="00917F73">
        <w:rPr>
          <w:rFonts w:asciiTheme="minorHAnsi" w:hAnsiTheme="minorHAnsi" w:cstheme="minorHAnsi"/>
          <w:color w:val="1F4E79" w:themeColor="accent5" w:themeShade="80"/>
          <w:sz w:val="21"/>
          <w:szCs w:val="21"/>
        </w:rPr>
        <w:t xml:space="preserve"> M</w:t>
      </w:r>
      <w:r w:rsidRPr="00917F73">
        <w:rPr>
          <w:rFonts w:asciiTheme="minorHAnsi" w:hAnsiTheme="minorHAnsi" w:cstheme="minorHAnsi"/>
          <w:color w:val="1F4E79" w:themeColor="accent5" w:themeShade="80"/>
          <w:sz w:val="21"/>
          <w:szCs w:val="21"/>
        </w:rPr>
        <w:t>any informal social protection initiatives, such as savings and loans groups, have been documented at the community level,</w:t>
      </w:r>
      <w:r w:rsidR="00B1491E" w:rsidRPr="00917F73">
        <w:rPr>
          <w:rFonts w:asciiTheme="minorHAnsi" w:hAnsiTheme="minorHAnsi" w:cstheme="minorHAnsi"/>
          <w:color w:val="1F4E79" w:themeColor="accent5" w:themeShade="80"/>
          <w:sz w:val="21"/>
          <w:szCs w:val="21"/>
        </w:rPr>
        <w:t xml:space="preserve"> in many countries,</w:t>
      </w:r>
      <w:r w:rsidRPr="00917F73">
        <w:rPr>
          <w:rFonts w:asciiTheme="minorHAnsi" w:hAnsiTheme="minorHAnsi" w:cstheme="minorHAnsi"/>
          <w:color w:val="1F4E79" w:themeColor="accent5" w:themeShade="80"/>
          <w:sz w:val="21"/>
          <w:szCs w:val="21"/>
        </w:rPr>
        <w:t xml:space="preserve"> including in Uganda</w:t>
      </w:r>
      <w:r w:rsidR="00B1491E" w:rsidRPr="00917F73">
        <w:rPr>
          <w:rFonts w:asciiTheme="minorHAnsi" w:hAnsiTheme="minorHAnsi" w:cstheme="minorHAnsi"/>
          <w:color w:val="1F4E79" w:themeColor="accent5" w:themeShade="80"/>
          <w:sz w:val="21"/>
          <w:szCs w:val="21"/>
        </w:rPr>
        <w:t xml:space="preserve">, although the </w:t>
      </w:r>
      <w:r w:rsidRPr="00917F73">
        <w:rPr>
          <w:rFonts w:asciiTheme="minorHAnsi" w:hAnsiTheme="minorHAnsi" w:cstheme="minorHAnsi"/>
          <w:color w:val="1F4E79" w:themeColor="accent5" w:themeShade="80"/>
          <w:sz w:val="21"/>
          <w:szCs w:val="21"/>
        </w:rPr>
        <w:t xml:space="preserve">precise role </w:t>
      </w:r>
      <w:r w:rsidR="00B1491E" w:rsidRPr="00917F73">
        <w:rPr>
          <w:rFonts w:asciiTheme="minorHAnsi" w:hAnsiTheme="minorHAnsi" w:cstheme="minorHAnsi"/>
          <w:color w:val="1F4E79" w:themeColor="accent5" w:themeShade="80"/>
          <w:sz w:val="21"/>
          <w:szCs w:val="21"/>
        </w:rPr>
        <w:t xml:space="preserve">these play </w:t>
      </w:r>
      <w:r w:rsidRPr="00917F73">
        <w:rPr>
          <w:rFonts w:asciiTheme="minorHAnsi" w:hAnsiTheme="minorHAnsi" w:cstheme="minorHAnsi"/>
          <w:color w:val="1F4E79" w:themeColor="accent5" w:themeShade="80"/>
          <w:sz w:val="21"/>
          <w:szCs w:val="21"/>
        </w:rPr>
        <w:t xml:space="preserve">in providing material resources for community support among persons with disabilities </w:t>
      </w:r>
      <w:r w:rsidR="00B1491E" w:rsidRPr="00917F73">
        <w:rPr>
          <w:rFonts w:asciiTheme="minorHAnsi" w:hAnsiTheme="minorHAnsi" w:cstheme="minorHAnsi"/>
          <w:color w:val="1F4E79" w:themeColor="accent5" w:themeShade="80"/>
          <w:sz w:val="21"/>
          <w:szCs w:val="21"/>
        </w:rPr>
        <w:t xml:space="preserve">merits further </w:t>
      </w:r>
      <w:r w:rsidR="00CD1624">
        <w:rPr>
          <w:rFonts w:asciiTheme="minorHAnsi" w:hAnsiTheme="minorHAnsi" w:cstheme="minorHAnsi"/>
          <w:color w:val="1F4E79" w:themeColor="accent5" w:themeShade="80"/>
          <w:sz w:val="21"/>
          <w:szCs w:val="21"/>
        </w:rPr>
        <w:t>research</w:t>
      </w:r>
      <w:r w:rsidRPr="00917F73">
        <w:rPr>
          <w:rFonts w:asciiTheme="minorHAnsi" w:hAnsiTheme="minorHAnsi" w:cstheme="minorHAnsi"/>
          <w:color w:val="1F4E79" w:themeColor="accent5" w:themeShade="80"/>
          <w:sz w:val="21"/>
          <w:szCs w:val="21"/>
        </w:rPr>
        <w:t>.</w:t>
      </w:r>
      <w:r w:rsidR="001431E8" w:rsidRPr="00917F73">
        <w:rPr>
          <w:rStyle w:val="FootnoteReference"/>
          <w:rFonts w:asciiTheme="minorHAnsi" w:hAnsiTheme="minorHAnsi" w:cstheme="minorHAnsi"/>
          <w:color w:val="1F4E79" w:themeColor="accent5" w:themeShade="80"/>
          <w:sz w:val="21"/>
          <w:szCs w:val="21"/>
        </w:rPr>
        <w:footnoteReference w:id="17"/>
      </w:r>
    </w:p>
    <w:p w14:paraId="40443ADB" w14:textId="2D6913EB" w:rsidR="00207660" w:rsidRPr="00917F73" w:rsidRDefault="00207660" w:rsidP="00A320CD">
      <w:pPr>
        <w:numPr>
          <w:ilvl w:val="0"/>
          <w:numId w:val="1"/>
        </w:numPr>
        <w:spacing w:after="60" w:line="240" w:lineRule="auto"/>
        <w:ind w:left="0"/>
        <w:rPr>
          <w:rFonts w:asciiTheme="minorHAnsi" w:hAnsiTheme="minorHAnsi" w:cstheme="minorHAnsi"/>
          <w:b/>
          <w:sz w:val="21"/>
          <w:szCs w:val="21"/>
        </w:rPr>
      </w:pPr>
      <w:r w:rsidRPr="00917F73">
        <w:rPr>
          <w:rFonts w:asciiTheme="minorHAnsi" w:hAnsiTheme="minorHAnsi" w:cstheme="minorHAnsi"/>
          <w:b/>
          <w:sz w:val="21"/>
          <w:szCs w:val="21"/>
        </w:rPr>
        <w:t>Main challenges faced at the national level in creating robust, resilient and gender</w:t>
      </w:r>
      <w:r w:rsidR="001D7A11" w:rsidRPr="00917F73">
        <w:rPr>
          <w:rFonts w:asciiTheme="minorHAnsi" w:hAnsiTheme="minorHAnsi" w:cstheme="minorHAnsi"/>
          <w:b/>
          <w:sz w:val="21"/>
          <w:szCs w:val="21"/>
        </w:rPr>
        <w:t>-</w:t>
      </w:r>
      <w:r w:rsidRPr="00917F73">
        <w:rPr>
          <w:rFonts w:asciiTheme="minorHAnsi" w:hAnsiTheme="minorHAnsi" w:cstheme="minorHAnsi"/>
          <w:b/>
          <w:sz w:val="21"/>
          <w:szCs w:val="21"/>
        </w:rPr>
        <w:t>responsive, disability-</w:t>
      </w:r>
      <w:proofErr w:type="gramStart"/>
      <w:r w:rsidRPr="00917F73">
        <w:rPr>
          <w:rFonts w:asciiTheme="minorHAnsi" w:hAnsiTheme="minorHAnsi" w:cstheme="minorHAnsi"/>
          <w:b/>
          <w:sz w:val="21"/>
          <w:szCs w:val="21"/>
        </w:rPr>
        <w:t>inclusive</w:t>
      </w:r>
      <w:proofErr w:type="gramEnd"/>
      <w:r w:rsidRPr="00917F73">
        <w:rPr>
          <w:rFonts w:asciiTheme="minorHAnsi" w:hAnsiTheme="minorHAnsi" w:cstheme="minorHAnsi"/>
          <w:b/>
          <w:sz w:val="21"/>
          <w:szCs w:val="21"/>
        </w:rPr>
        <w:t xml:space="preserve"> and age-sensitive care and support systems with full respect for human rights.  </w:t>
      </w:r>
    </w:p>
    <w:p w14:paraId="4D970BCE" w14:textId="3D76AE31" w:rsidR="000926B8" w:rsidRPr="00917F73" w:rsidRDefault="00EF507D" w:rsidP="00A320CD">
      <w:pPr>
        <w:spacing w:after="60"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color w:val="1F4E79" w:themeColor="accent5" w:themeShade="80"/>
          <w:sz w:val="21"/>
          <w:szCs w:val="21"/>
        </w:rPr>
        <w:t>In LMICs</w:t>
      </w:r>
      <w:r w:rsidR="00393F53" w:rsidRPr="00917F73">
        <w:rPr>
          <w:rFonts w:asciiTheme="minorHAnsi" w:hAnsiTheme="minorHAnsi" w:cstheme="minorHAnsi"/>
          <w:color w:val="1F4E79" w:themeColor="accent5" w:themeShade="80"/>
          <w:sz w:val="21"/>
          <w:szCs w:val="21"/>
        </w:rPr>
        <w:t>,</w:t>
      </w:r>
      <w:r w:rsidRPr="00917F73">
        <w:rPr>
          <w:rFonts w:asciiTheme="minorHAnsi" w:hAnsiTheme="minorHAnsi" w:cstheme="minorHAnsi"/>
          <w:color w:val="1F4E79" w:themeColor="accent5" w:themeShade="80"/>
          <w:sz w:val="21"/>
          <w:szCs w:val="21"/>
        </w:rPr>
        <w:t xml:space="preserve"> formal community support services for persons with disabilities are </w:t>
      </w:r>
      <w:r w:rsidR="00917F73">
        <w:rPr>
          <w:rFonts w:asciiTheme="minorHAnsi" w:hAnsiTheme="minorHAnsi" w:cstheme="minorHAnsi"/>
          <w:color w:val="1F4E79" w:themeColor="accent5" w:themeShade="80"/>
          <w:sz w:val="21"/>
          <w:szCs w:val="21"/>
        </w:rPr>
        <w:t xml:space="preserve">commonly </w:t>
      </w:r>
      <w:r w:rsidRPr="00917F73">
        <w:rPr>
          <w:rFonts w:asciiTheme="minorHAnsi" w:hAnsiTheme="minorHAnsi" w:cstheme="minorHAnsi"/>
          <w:color w:val="1F4E79" w:themeColor="accent5" w:themeShade="80"/>
          <w:sz w:val="21"/>
          <w:szCs w:val="21"/>
        </w:rPr>
        <w:t>under-developed, under-resourced, or do not exist, leaving persons with disabilities to rely primarily on family members to have their needs met</w:t>
      </w:r>
      <w:r w:rsidR="00D0552C" w:rsidRPr="00917F73">
        <w:rPr>
          <w:rFonts w:asciiTheme="minorHAnsi" w:hAnsiTheme="minorHAnsi" w:cstheme="minorHAnsi"/>
          <w:color w:val="1F4E79" w:themeColor="accent5" w:themeShade="80"/>
          <w:sz w:val="21"/>
          <w:szCs w:val="21"/>
        </w:rPr>
        <w:t>; in most LMICs</w:t>
      </w:r>
      <w:r w:rsidR="004D38B3" w:rsidRPr="00917F73">
        <w:rPr>
          <w:rFonts w:asciiTheme="minorHAnsi" w:hAnsiTheme="minorHAnsi" w:cstheme="minorHAnsi"/>
          <w:color w:val="1F4E79" w:themeColor="accent5" w:themeShade="80"/>
          <w:sz w:val="21"/>
          <w:szCs w:val="21"/>
        </w:rPr>
        <w:t>, families and informal carers are the only source of support for people with mental health conditions and psychosocial disabilities</w:t>
      </w:r>
      <w:r w:rsidR="00601411" w:rsidRPr="00917F73">
        <w:rPr>
          <w:rFonts w:asciiTheme="minorHAnsi" w:hAnsiTheme="minorHAnsi" w:cstheme="minorHAnsi"/>
          <w:color w:val="1F4E79" w:themeColor="accent5" w:themeShade="80"/>
          <w:sz w:val="21"/>
          <w:szCs w:val="21"/>
        </w:rPr>
        <w:t xml:space="preserve">. </w:t>
      </w:r>
      <w:r w:rsidR="00A47851" w:rsidRPr="00917F73">
        <w:rPr>
          <w:rFonts w:asciiTheme="minorHAnsi" w:hAnsiTheme="minorHAnsi" w:cstheme="minorHAnsi"/>
          <w:color w:val="1F4E79" w:themeColor="accent5" w:themeShade="80"/>
          <w:sz w:val="21"/>
          <w:szCs w:val="21"/>
        </w:rPr>
        <w:t>Family members and caregivers may not have the necessary knowledge or skills; they too often take on these roles because there are few options for formal social support or trained support persons; this situation is further exacerbated in health emergencies when support services that are already limited become disrupted, further increasing the demands on families and other informal networks.</w:t>
      </w:r>
      <w:r w:rsidR="00A47851" w:rsidRPr="00917F73">
        <w:rPr>
          <w:rStyle w:val="FootnoteReference"/>
          <w:rFonts w:asciiTheme="minorHAnsi" w:hAnsiTheme="minorHAnsi" w:cstheme="minorHAnsi"/>
          <w:color w:val="1F4E79" w:themeColor="accent5" w:themeShade="80"/>
          <w:sz w:val="21"/>
          <w:szCs w:val="21"/>
        </w:rPr>
        <w:footnoteReference w:id="18"/>
      </w:r>
      <w:r w:rsidR="00A47851" w:rsidRPr="00917F73">
        <w:rPr>
          <w:rFonts w:asciiTheme="minorHAnsi" w:hAnsiTheme="minorHAnsi" w:cstheme="minorHAnsi"/>
          <w:color w:val="1F4E79" w:themeColor="accent5" w:themeShade="80"/>
          <w:sz w:val="21"/>
          <w:szCs w:val="21"/>
        </w:rPr>
        <w:t xml:space="preserve"> </w:t>
      </w:r>
      <w:r w:rsidR="00601411" w:rsidRPr="00917F73">
        <w:rPr>
          <w:rFonts w:asciiTheme="minorHAnsi" w:hAnsiTheme="minorHAnsi" w:cstheme="minorHAnsi"/>
          <w:color w:val="1F4E79" w:themeColor="accent5" w:themeShade="80"/>
          <w:sz w:val="21"/>
          <w:szCs w:val="21"/>
        </w:rPr>
        <w:t>The lack of</w:t>
      </w:r>
      <w:r w:rsidR="00F14F32" w:rsidRPr="00917F73">
        <w:rPr>
          <w:rFonts w:asciiTheme="minorHAnsi" w:hAnsiTheme="minorHAnsi" w:cstheme="minorHAnsi"/>
          <w:color w:val="1F4E79" w:themeColor="accent5" w:themeShade="80"/>
          <w:sz w:val="21"/>
          <w:szCs w:val="21"/>
        </w:rPr>
        <w:t xml:space="preserve"> choice and over-reliance on families and informal carers leads</w:t>
      </w:r>
      <w:r w:rsidR="004D38B3" w:rsidRPr="00917F73">
        <w:rPr>
          <w:rFonts w:asciiTheme="minorHAnsi" w:hAnsiTheme="minorHAnsi" w:cstheme="minorHAnsi"/>
          <w:color w:val="1F4E79" w:themeColor="accent5" w:themeShade="80"/>
          <w:sz w:val="21"/>
          <w:szCs w:val="21"/>
        </w:rPr>
        <w:t xml:space="preserve"> to loss of autonomy and privacy </w:t>
      </w:r>
      <w:r w:rsidR="00E46067" w:rsidRPr="00917F73">
        <w:rPr>
          <w:rFonts w:asciiTheme="minorHAnsi" w:hAnsiTheme="minorHAnsi" w:cstheme="minorHAnsi"/>
          <w:color w:val="1F4E79" w:themeColor="accent5" w:themeShade="80"/>
          <w:sz w:val="21"/>
          <w:szCs w:val="21"/>
        </w:rPr>
        <w:t xml:space="preserve">and infringement of rights </w:t>
      </w:r>
      <w:r w:rsidR="00C61212">
        <w:rPr>
          <w:rFonts w:asciiTheme="minorHAnsi" w:hAnsiTheme="minorHAnsi" w:cstheme="minorHAnsi"/>
          <w:color w:val="1F4E79" w:themeColor="accent5" w:themeShade="80"/>
          <w:sz w:val="21"/>
          <w:szCs w:val="21"/>
        </w:rPr>
        <w:t>for tho</w:t>
      </w:r>
      <w:r w:rsidR="004D38B3" w:rsidRPr="00917F73">
        <w:rPr>
          <w:rFonts w:asciiTheme="minorHAnsi" w:hAnsiTheme="minorHAnsi" w:cstheme="minorHAnsi"/>
          <w:color w:val="1F4E79" w:themeColor="accent5" w:themeShade="80"/>
          <w:sz w:val="21"/>
          <w:szCs w:val="21"/>
        </w:rPr>
        <w:t>se receiving support</w:t>
      </w:r>
      <w:r w:rsidR="00601411" w:rsidRPr="00917F73">
        <w:rPr>
          <w:rFonts w:asciiTheme="minorHAnsi" w:hAnsiTheme="minorHAnsi" w:cstheme="minorHAnsi"/>
          <w:color w:val="1F4E79" w:themeColor="accent5" w:themeShade="80"/>
          <w:sz w:val="21"/>
          <w:szCs w:val="21"/>
        </w:rPr>
        <w:t xml:space="preserve">, </w:t>
      </w:r>
      <w:r w:rsidR="00C61212">
        <w:rPr>
          <w:rFonts w:asciiTheme="minorHAnsi" w:hAnsiTheme="minorHAnsi" w:cstheme="minorHAnsi"/>
          <w:color w:val="1F4E79" w:themeColor="accent5" w:themeShade="80"/>
          <w:sz w:val="21"/>
          <w:szCs w:val="21"/>
        </w:rPr>
        <w:t xml:space="preserve">and to </w:t>
      </w:r>
      <w:r w:rsidR="00601411" w:rsidRPr="00917F73">
        <w:rPr>
          <w:rFonts w:asciiTheme="minorHAnsi" w:hAnsiTheme="minorHAnsi" w:cstheme="minorHAnsi"/>
          <w:color w:val="1F4E79" w:themeColor="accent5" w:themeShade="80"/>
          <w:sz w:val="21"/>
          <w:szCs w:val="21"/>
        </w:rPr>
        <w:t>gender-based inequalities due to the feminization of caring responsibilities</w:t>
      </w:r>
      <w:r w:rsidR="004D38B3" w:rsidRPr="00917F73">
        <w:rPr>
          <w:rFonts w:asciiTheme="minorHAnsi" w:hAnsiTheme="minorHAnsi" w:cstheme="minorHAnsi"/>
          <w:color w:val="1F4E79" w:themeColor="accent5" w:themeShade="80"/>
          <w:sz w:val="21"/>
          <w:szCs w:val="21"/>
        </w:rPr>
        <w:t>.</w:t>
      </w:r>
      <w:r w:rsidR="000508A7" w:rsidRPr="00917F73">
        <w:rPr>
          <w:rStyle w:val="FootnoteReference"/>
          <w:rFonts w:asciiTheme="minorHAnsi" w:hAnsiTheme="minorHAnsi" w:cstheme="minorHAnsi"/>
          <w:color w:val="1F4E79" w:themeColor="accent5" w:themeShade="80"/>
          <w:sz w:val="21"/>
          <w:szCs w:val="21"/>
        </w:rPr>
        <w:footnoteReference w:id="19"/>
      </w:r>
      <w:r w:rsidR="008853B3" w:rsidRPr="00917F73">
        <w:rPr>
          <w:rFonts w:asciiTheme="minorHAnsi" w:hAnsiTheme="minorHAnsi" w:cstheme="minorHAnsi"/>
          <w:color w:val="1F4E79" w:themeColor="accent5" w:themeShade="80"/>
          <w:sz w:val="21"/>
          <w:szCs w:val="21"/>
        </w:rPr>
        <w:t xml:space="preserve"> </w:t>
      </w:r>
      <w:r w:rsidR="00986741" w:rsidRPr="00917F73">
        <w:rPr>
          <w:rFonts w:asciiTheme="minorHAnsi" w:hAnsiTheme="minorHAnsi" w:cstheme="minorHAnsi"/>
          <w:color w:val="1F4E79" w:themeColor="accent5" w:themeShade="80"/>
          <w:sz w:val="21"/>
          <w:szCs w:val="21"/>
        </w:rPr>
        <w:t>The lack of support services is also a contributing factor to deteriorated health among family members and caregivers of persons with disabilities who may often develop mental health conditions such as depression or anxiety.</w:t>
      </w:r>
      <w:r w:rsidR="00986741" w:rsidRPr="00917F73">
        <w:rPr>
          <w:rStyle w:val="FootnoteReference"/>
          <w:rFonts w:asciiTheme="minorHAnsi" w:hAnsiTheme="minorHAnsi" w:cstheme="minorHAnsi"/>
          <w:color w:val="1F4E79" w:themeColor="accent5" w:themeShade="80"/>
          <w:sz w:val="21"/>
          <w:szCs w:val="21"/>
        </w:rPr>
        <w:footnoteReference w:id="20"/>
      </w:r>
    </w:p>
    <w:p w14:paraId="7A84A24D" w14:textId="047C8D5D" w:rsidR="00EA43A4" w:rsidRPr="00917F73" w:rsidRDefault="00773D29" w:rsidP="00A320CD">
      <w:pPr>
        <w:spacing w:after="60"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color w:val="1F4E79" w:themeColor="accent5" w:themeShade="80"/>
          <w:sz w:val="21"/>
          <w:szCs w:val="21"/>
        </w:rPr>
        <w:t xml:space="preserve">Consequently, persons with disabilities </w:t>
      </w:r>
      <w:r w:rsidR="00E46DBC">
        <w:rPr>
          <w:rFonts w:asciiTheme="minorHAnsi" w:hAnsiTheme="minorHAnsi" w:cstheme="minorHAnsi"/>
          <w:color w:val="1F4E79" w:themeColor="accent5" w:themeShade="80"/>
          <w:sz w:val="21"/>
          <w:szCs w:val="21"/>
        </w:rPr>
        <w:t xml:space="preserve">commonly </w:t>
      </w:r>
      <w:r w:rsidRPr="00917F73">
        <w:rPr>
          <w:rFonts w:asciiTheme="minorHAnsi" w:hAnsiTheme="minorHAnsi" w:cstheme="minorHAnsi"/>
          <w:color w:val="1F4E79" w:themeColor="accent5" w:themeShade="80"/>
          <w:sz w:val="21"/>
          <w:szCs w:val="21"/>
        </w:rPr>
        <w:t>have a range of unmet needs in relation to accessing formal services</w:t>
      </w:r>
      <w:r w:rsidR="008A6C7F" w:rsidRPr="00917F73">
        <w:rPr>
          <w:rFonts w:asciiTheme="minorHAnsi" w:hAnsiTheme="minorHAnsi" w:cstheme="minorHAnsi"/>
          <w:color w:val="1F4E79" w:themeColor="accent5" w:themeShade="80"/>
          <w:sz w:val="21"/>
          <w:szCs w:val="21"/>
        </w:rPr>
        <w:t xml:space="preserve"> in the community</w:t>
      </w:r>
      <w:r w:rsidRPr="00917F73">
        <w:rPr>
          <w:rFonts w:asciiTheme="minorHAnsi" w:hAnsiTheme="minorHAnsi" w:cstheme="minorHAnsi"/>
          <w:color w:val="1F4E79" w:themeColor="accent5" w:themeShade="80"/>
          <w:sz w:val="21"/>
          <w:szCs w:val="21"/>
        </w:rPr>
        <w:t>, getting disability-related information, developing strategies for daily living, receiving support for childcare among parents of children with disabilities, accessing social support and other social resources, finding support for communication and socialisation, and being able to pursue employment opportunities in line with personal preferences</w:t>
      </w:r>
      <w:r w:rsidR="00AB6126" w:rsidRPr="00917F73">
        <w:rPr>
          <w:rFonts w:asciiTheme="minorHAnsi" w:hAnsiTheme="minorHAnsi" w:cstheme="minorHAnsi"/>
          <w:color w:val="1F4E79" w:themeColor="accent5" w:themeShade="80"/>
          <w:sz w:val="21"/>
          <w:szCs w:val="21"/>
        </w:rPr>
        <w:t>.</w:t>
      </w:r>
      <w:r w:rsidR="00AB6126" w:rsidRPr="00917F73">
        <w:rPr>
          <w:rFonts w:asciiTheme="minorHAnsi" w:hAnsiTheme="minorHAnsi" w:cstheme="minorHAnsi"/>
          <w:i/>
          <w:iCs/>
          <w:color w:val="1F4E79" w:themeColor="accent5" w:themeShade="80"/>
          <w:sz w:val="21"/>
          <w:szCs w:val="21"/>
        </w:rPr>
        <w:t xml:space="preserve"> </w:t>
      </w:r>
      <w:r w:rsidR="00AB6126" w:rsidRPr="00917F73">
        <w:rPr>
          <w:rFonts w:asciiTheme="minorHAnsi" w:hAnsiTheme="minorHAnsi" w:cstheme="minorHAnsi"/>
          <w:color w:val="1F4E79" w:themeColor="accent5" w:themeShade="80"/>
          <w:sz w:val="21"/>
          <w:szCs w:val="21"/>
        </w:rPr>
        <w:t xml:space="preserve">A major </w:t>
      </w:r>
      <w:r w:rsidR="0031236E">
        <w:rPr>
          <w:rFonts w:asciiTheme="minorHAnsi" w:hAnsiTheme="minorHAnsi" w:cstheme="minorHAnsi"/>
          <w:color w:val="1F4E79" w:themeColor="accent5" w:themeShade="80"/>
          <w:sz w:val="21"/>
          <w:szCs w:val="21"/>
        </w:rPr>
        <w:t>gap is in establishing</w:t>
      </w:r>
      <w:r w:rsidR="00E46DBC">
        <w:rPr>
          <w:rFonts w:asciiTheme="minorHAnsi" w:hAnsiTheme="minorHAnsi" w:cstheme="minorHAnsi"/>
          <w:color w:val="1F4E79" w:themeColor="accent5" w:themeShade="80"/>
          <w:sz w:val="21"/>
          <w:szCs w:val="21"/>
        </w:rPr>
        <w:t xml:space="preserve"> </w:t>
      </w:r>
      <w:r w:rsidR="00AB6126" w:rsidRPr="00917F73">
        <w:rPr>
          <w:rFonts w:asciiTheme="minorHAnsi" w:hAnsiTheme="minorHAnsi" w:cstheme="minorHAnsi"/>
          <w:color w:val="1F4E79" w:themeColor="accent5" w:themeShade="80"/>
          <w:sz w:val="21"/>
          <w:szCs w:val="21"/>
        </w:rPr>
        <w:t>linkages between persons with disabilities and available resources</w:t>
      </w:r>
      <w:r w:rsidR="00E46DBC">
        <w:rPr>
          <w:rFonts w:asciiTheme="minorHAnsi" w:hAnsiTheme="minorHAnsi" w:cstheme="minorHAnsi"/>
          <w:color w:val="1F4E79" w:themeColor="accent5" w:themeShade="80"/>
          <w:sz w:val="21"/>
          <w:szCs w:val="21"/>
        </w:rPr>
        <w:t xml:space="preserve"> for care and support</w:t>
      </w:r>
      <w:r w:rsidR="0031236E">
        <w:rPr>
          <w:rFonts w:asciiTheme="minorHAnsi" w:hAnsiTheme="minorHAnsi" w:cstheme="minorHAnsi"/>
          <w:color w:val="1F4E79" w:themeColor="accent5" w:themeShade="80"/>
          <w:sz w:val="21"/>
          <w:szCs w:val="21"/>
        </w:rPr>
        <w:t xml:space="preserve"> at </w:t>
      </w:r>
      <w:r w:rsidR="00CC5BBC">
        <w:rPr>
          <w:rFonts w:asciiTheme="minorHAnsi" w:hAnsiTheme="minorHAnsi" w:cstheme="minorHAnsi"/>
          <w:color w:val="1F4E79" w:themeColor="accent5" w:themeShade="80"/>
          <w:sz w:val="21"/>
          <w:szCs w:val="21"/>
        </w:rPr>
        <w:t>community</w:t>
      </w:r>
      <w:r w:rsidR="0031236E">
        <w:rPr>
          <w:rFonts w:asciiTheme="minorHAnsi" w:hAnsiTheme="minorHAnsi" w:cstheme="minorHAnsi"/>
          <w:color w:val="1F4E79" w:themeColor="accent5" w:themeShade="80"/>
          <w:sz w:val="21"/>
          <w:szCs w:val="21"/>
        </w:rPr>
        <w:t xml:space="preserve"> level</w:t>
      </w:r>
      <w:r w:rsidR="00DD5143" w:rsidRPr="00917F73">
        <w:rPr>
          <w:rFonts w:asciiTheme="minorHAnsi" w:hAnsiTheme="minorHAnsi" w:cstheme="minorHAnsi"/>
          <w:color w:val="1F4E79" w:themeColor="accent5" w:themeShade="80"/>
          <w:sz w:val="21"/>
          <w:szCs w:val="21"/>
        </w:rPr>
        <w:t>.</w:t>
      </w:r>
      <w:r w:rsidR="003420AE" w:rsidRPr="00917F73">
        <w:rPr>
          <w:rStyle w:val="FootnoteReference"/>
          <w:rFonts w:asciiTheme="minorHAnsi" w:hAnsiTheme="minorHAnsi" w:cstheme="minorHAnsi"/>
          <w:color w:val="1F4E79" w:themeColor="accent5" w:themeShade="80"/>
          <w:sz w:val="21"/>
          <w:szCs w:val="21"/>
        </w:rPr>
        <w:footnoteReference w:id="21"/>
      </w:r>
      <w:r w:rsidR="00DD5143" w:rsidRPr="00917F73">
        <w:rPr>
          <w:rFonts w:asciiTheme="minorHAnsi" w:hAnsiTheme="minorHAnsi" w:cstheme="minorHAnsi"/>
          <w:color w:val="1F4E79" w:themeColor="accent5" w:themeShade="80"/>
          <w:sz w:val="21"/>
          <w:szCs w:val="21"/>
        </w:rPr>
        <w:t xml:space="preserve"> </w:t>
      </w:r>
    </w:p>
    <w:p w14:paraId="0F6F13BE" w14:textId="2711D2E3" w:rsidR="004C7D40" w:rsidRPr="00917F73" w:rsidRDefault="004C7D40" w:rsidP="00A320CD">
      <w:pPr>
        <w:spacing w:after="60"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color w:val="1F4E79" w:themeColor="accent5" w:themeShade="80"/>
          <w:sz w:val="21"/>
          <w:szCs w:val="21"/>
        </w:rPr>
        <w:t>The additional costs of living associated with disability</w:t>
      </w:r>
      <w:r w:rsidRPr="00917F73">
        <w:rPr>
          <w:rFonts w:asciiTheme="minorHAnsi" w:hAnsiTheme="minorHAnsi" w:cstheme="minorHAnsi"/>
          <w:i/>
          <w:iCs/>
          <w:color w:val="1F4E79" w:themeColor="accent5" w:themeShade="80"/>
          <w:sz w:val="21"/>
          <w:szCs w:val="21"/>
        </w:rPr>
        <w:t xml:space="preserve"> </w:t>
      </w:r>
      <w:r w:rsidRPr="00917F73">
        <w:rPr>
          <w:rFonts w:asciiTheme="minorHAnsi" w:hAnsiTheme="minorHAnsi" w:cstheme="minorHAnsi"/>
          <w:color w:val="1F4E79" w:themeColor="accent5" w:themeShade="80"/>
          <w:sz w:val="21"/>
          <w:szCs w:val="21"/>
        </w:rPr>
        <w:t xml:space="preserve">represent an increase of around a third of the average income for those with moderate disability, and by more than 40% of an average income for those with significant disability. These include costs associated with health care, housing, transportation, personal assistance, and assistive products. Because of these higher costs, persons with disabilities experience </w:t>
      </w:r>
      <w:r w:rsidR="008B1732" w:rsidRPr="00917F73">
        <w:rPr>
          <w:rFonts w:asciiTheme="minorHAnsi" w:hAnsiTheme="minorHAnsi" w:cstheme="minorHAnsi"/>
          <w:i/>
          <w:iCs/>
          <w:color w:val="1F4E79" w:themeColor="accent5" w:themeShade="80"/>
          <w:sz w:val="21"/>
          <w:szCs w:val="21"/>
        </w:rPr>
        <w:t>inter alia</w:t>
      </w:r>
      <w:r w:rsidR="008B1732" w:rsidRPr="00917F73">
        <w:rPr>
          <w:rFonts w:asciiTheme="minorHAnsi" w:hAnsiTheme="minorHAnsi" w:cstheme="minorHAnsi"/>
          <w:color w:val="1F4E79" w:themeColor="accent5" w:themeShade="80"/>
          <w:sz w:val="21"/>
          <w:szCs w:val="21"/>
        </w:rPr>
        <w:t xml:space="preserve"> </w:t>
      </w:r>
      <w:r w:rsidRPr="00917F73">
        <w:rPr>
          <w:rFonts w:asciiTheme="minorHAnsi" w:hAnsiTheme="minorHAnsi" w:cstheme="minorHAnsi"/>
          <w:color w:val="1F4E79" w:themeColor="accent5" w:themeShade="80"/>
          <w:sz w:val="21"/>
          <w:szCs w:val="21"/>
        </w:rPr>
        <w:t>reduced access to timely care and support</w:t>
      </w:r>
      <w:r w:rsidR="008B1732" w:rsidRPr="00917F73">
        <w:rPr>
          <w:rFonts w:asciiTheme="minorHAnsi" w:hAnsiTheme="minorHAnsi" w:cstheme="minorHAnsi"/>
          <w:color w:val="1F4E79" w:themeColor="accent5" w:themeShade="80"/>
          <w:sz w:val="21"/>
          <w:szCs w:val="21"/>
        </w:rPr>
        <w:t xml:space="preserve">, </w:t>
      </w:r>
      <w:r w:rsidRPr="00917F73">
        <w:rPr>
          <w:rFonts w:asciiTheme="minorHAnsi" w:hAnsiTheme="minorHAnsi" w:cstheme="minorHAnsi"/>
          <w:color w:val="1F4E79" w:themeColor="accent5" w:themeShade="80"/>
          <w:sz w:val="21"/>
          <w:szCs w:val="21"/>
        </w:rPr>
        <w:t xml:space="preserve">inability to pay for necessary </w:t>
      </w:r>
      <w:r w:rsidR="008B1732" w:rsidRPr="00917F73">
        <w:rPr>
          <w:rFonts w:asciiTheme="minorHAnsi" w:hAnsiTheme="minorHAnsi" w:cstheme="minorHAnsi"/>
          <w:color w:val="1F4E79" w:themeColor="accent5" w:themeShade="80"/>
          <w:sz w:val="21"/>
          <w:szCs w:val="21"/>
        </w:rPr>
        <w:t xml:space="preserve">assistive </w:t>
      </w:r>
      <w:r w:rsidRPr="00917F73">
        <w:rPr>
          <w:rFonts w:asciiTheme="minorHAnsi" w:hAnsiTheme="minorHAnsi" w:cstheme="minorHAnsi"/>
          <w:color w:val="1F4E79" w:themeColor="accent5" w:themeShade="80"/>
          <w:sz w:val="21"/>
          <w:szCs w:val="21"/>
        </w:rPr>
        <w:lastRenderedPageBreak/>
        <w:t>devices and increased reliance on support from family members. All these factors have an inevitable negative effect on their health resulting in increased mortality and morbidity, and decreased functioning</w:t>
      </w:r>
      <w:r w:rsidR="00CE2C79" w:rsidRPr="00917F73">
        <w:rPr>
          <w:rFonts w:asciiTheme="minorHAnsi" w:hAnsiTheme="minorHAnsi" w:cstheme="minorHAnsi"/>
          <w:color w:val="1F4E79" w:themeColor="accent5" w:themeShade="80"/>
          <w:sz w:val="21"/>
          <w:szCs w:val="21"/>
        </w:rPr>
        <w:t>, and significantly higher levels of poverty on average.</w:t>
      </w:r>
      <w:r w:rsidR="00CE2C79" w:rsidRPr="00917F73">
        <w:rPr>
          <w:rStyle w:val="FootnoteReference"/>
          <w:rFonts w:asciiTheme="minorHAnsi" w:hAnsiTheme="minorHAnsi" w:cstheme="minorHAnsi"/>
          <w:color w:val="1F4E79" w:themeColor="accent5" w:themeShade="80"/>
          <w:sz w:val="21"/>
          <w:szCs w:val="21"/>
        </w:rPr>
        <w:footnoteReference w:id="22"/>
      </w:r>
    </w:p>
    <w:p w14:paraId="20331C96" w14:textId="77777777" w:rsidR="00D724B7" w:rsidRPr="00D724B7" w:rsidRDefault="00D724B7" w:rsidP="00D724B7">
      <w:pPr>
        <w:spacing w:after="60" w:line="240" w:lineRule="auto"/>
        <w:rPr>
          <w:rFonts w:asciiTheme="minorHAnsi" w:hAnsiTheme="minorHAnsi" w:cstheme="minorHAnsi"/>
          <w:color w:val="1F4E79" w:themeColor="accent5" w:themeShade="80"/>
          <w:sz w:val="21"/>
          <w:szCs w:val="21"/>
        </w:rPr>
      </w:pPr>
      <w:r w:rsidRPr="00D724B7">
        <w:rPr>
          <w:rFonts w:asciiTheme="minorHAnsi" w:hAnsiTheme="minorHAnsi" w:cstheme="minorHAnsi"/>
          <w:color w:val="1F4E79" w:themeColor="accent5" w:themeShade="80"/>
          <w:sz w:val="21"/>
          <w:szCs w:val="21"/>
        </w:rPr>
        <w:t>Where formal support structures exist, providers are commonly overworked, and services are stretched because of lack of funding and personnel with relevant training in community support work for persons with disabilities.</w:t>
      </w:r>
      <w:r w:rsidRPr="00D724B7">
        <w:rPr>
          <w:rFonts w:asciiTheme="minorHAnsi" w:hAnsiTheme="minorHAnsi" w:cstheme="minorHAnsi"/>
          <w:color w:val="1F4E79" w:themeColor="accent5" w:themeShade="80"/>
          <w:sz w:val="21"/>
          <w:szCs w:val="21"/>
          <w:vertAlign w:val="superscript"/>
        </w:rPr>
        <w:footnoteReference w:id="23"/>
      </w:r>
      <w:r w:rsidRPr="00D724B7">
        <w:rPr>
          <w:rFonts w:asciiTheme="minorHAnsi" w:hAnsiTheme="minorHAnsi" w:cstheme="minorHAnsi"/>
          <w:color w:val="1F4E79" w:themeColor="accent5" w:themeShade="80"/>
          <w:sz w:val="21"/>
          <w:szCs w:val="21"/>
        </w:rPr>
        <w:t xml:space="preserve"> Health and care workers may hold negative attitudes and beliefs about persons with disabilities which can lead to discriminatory practices, a lack of understanding and respect, and negative assumptions about the capacity of individuals with disabilities to engage in or make decisions about their own care and support, undermining their autonomy and independence. The lack of knowledge and skills or miscommunication of health and care workers is linked directly to several factors including hindered access to services and poor quality of care and support, leading to poor outcomes. </w:t>
      </w:r>
      <w:proofErr w:type="gramStart"/>
      <w:r w:rsidRPr="00D724B7">
        <w:rPr>
          <w:rFonts w:asciiTheme="minorHAnsi" w:hAnsiTheme="minorHAnsi" w:cstheme="minorHAnsi"/>
          <w:color w:val="1F4E79" w:themeColor="accent5" w:themeShade="80"/>
          <w:sz w:val="21"/>
          <w:szCs w:val="21"/>
        </w:rPr>
        <w:t>In particular, negative</w:t>
      </w:r>
      <w:proofErr w:type="gramEnd"/>
      <w:r w:rsidRPr="00D724B7">
        <w:rPr>
          <w:rFonts w:asciiTheme="minorHAnsi" w:hAnsiTheme="minorHAnsi" w:cstheme="minorHAnsi"/>
          <w:color w:val="1F4E79" w:themeColor="accent5" w:themeShade="80"/>
          <w:sz w:val="21"/>
          <w:szCs w:val="21"/>
        </w:rPr>
        <w:t xml:space="preserve"> and false beliefs concerning persons with psychosocial disabilities can lead to coercive practices including involuntary admission, treatment, seclusion and restraint. Examples exist of interventions to increase awareness, knowledge and skills on disability-related issues among health and care workers, but very little is known about their effectiveness; interventions are often developed and delivered by health practitioners without the involvement of persons with disabilities and may not reflect a rights-based approach that is aligned with the CRPD.</w:t>
      </w:r>
      <w:r w:rsidRPr="00D724B7">
        <w:rPr>
          <w:rFonts w:asciiTheme="minorHAnsi" w:hAnsiTheme="minorHAnsi" w:cstheme="minorHAnsi"/>
          <w:color w:val="1F4E79" w:themeColor="accent5" w:themeShade="80"/>
          <w:sz w:val="21"/>
          <w:szCs w:val="21"/>
          <w:vertAlign w:val="superscript"/>
        </w:rPr>
        <w:footnoteReference w:id="24"/>
      </w:r>
      <w:r w:rsidRPr="00D724B7">
        <w:rPr>
          <w:rFonts w:asciiTheme="minorHAnsi" w:hAnsiTheme="minorHAnsi" w:cstheme="minorHAnsi"/>
          <w:color w:val="1F4E79" w:themeColor="accent5" w:themeShade="80"/>
          <w:sz w:val="21"/>
          <w:szCs w:val="21"/>
        </w:rPr>
        <w:t xml:space="preserve"> Furthermore, there do not appear to be many programmes for caregivers that look at persons with disabilities’ participation as a key outcome.</w:t>
      </w:r>
      <w:r w:rsidRPr="00D724B7">
        <w:rPr>
          <w:rFonts w:asciiTheme="minorHAnsi" w:hAnsiTheme="minorHAnsi" w:cstheme="minorHAnsi"/>
          <w:color w:val="1F4E79" w:themeColor="accent5" w:themeShade="80"/>
          <w:sz w:val="21"/>
          <w:szCs w:val="21"/>
          <w:vertAlign w:val="superscript"/>
        </w:rPr>
        <w:footnoteReference w:id="25"/>
      </w:r>
    </w:p>
    <w:p w14:paraId="37F3711E" w14:textId="2CC6ADE5" w:rsidR="000878B2" w:rsidRPr="00917F73" w:rsidRDefault="008A6C7F" w:rsidP="00A320CD">
      <w:pPr>
        <w:spacing w:after="60"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color w:val="1F4E79" w:themeColor="accent5" w:themeShade="80"/>
          <w:sz w:val="21"/>
          <w:szCs w:val="21"/>
        </w:rPr>
        <w:t xml:space="preserve">A lack of </w:t>
      </w:r>
      <w:r w:rsidR="00EC703D" w:rsidRPr="00917F73">
        <w:rPr>
          <w:rFonts w:asciiTheme="minorHAnsi" w:hAnsiTheme="minorHAnsi" w:cstheme="minorHAnsi"/>
          <w:color w:val="1F4E79" w:themeColor="accent5" w:themeShade="80"/>
          <w:sz w:val="21"/>
          <w:szCs w:val="21"/>
        </w:rPr>
        <w:t>formal community support services is also reflected in</w:t>
      </w:r>
      <w:r w:rsidR="00BC45FB" w:rsidRPr="00917F73">
        <w:rPr>
          <w:rFonts w:asciiTheme="minorHAnsi" w:hAnsiTheme="minorHAnsi" w:cstheme="minorHAnsi"/>
          <w:color w:val="1F4E79" w:themeColor="accent5" w:themeShade="80"/>
          <w:sz w:val="21"/>
          <w:szCs w:val="21"/>
        </w:rPr>
        <w:t xml:space="preserve"> persistently </w:t>
      </w:r>
      <w:r w:rsidR="00EC703D" w:rsidRPr="00917F73">
        <w:rPr>
          <w:rFonts w:asciiTheme="minorHAnsi" w:hAnsiTheme="minorHAnsi" w:cstheme="minorHAnsi"/>
          <w:color w:val="1F4E79" w:themeColor="accent5" w:themeShade="80"/>
          <w:sz w:val="21"/>
          <w:szCs w:val="21"/>
        </w:rPr>
        <w:t>high numbers of persons with disabilities living in institutions or special homes</w:t>
      </w:r>
      <w:r w:rsidR="006B6212" w:rsidRPr="00917F73">
        <w:rPr>
          <w:rFonts w:asciiTheme="minorHAnsi" w:hAnsiTheme="minorHAnsi" w:cstheme="minorHAnsi"/>
          <w:color w:val="1F4E79" w:themeColor="accent5" w:themeShade="80"/>
          <w:sz w:val="21"/>
          <w:szCs w:val="21"/>
        </w:rPr>
        <w:t xml:space="preserve">; in many countries, the health </w:t>
      </w:r>
      <w:r w:rsidR="00E262D2" w:rsidRPr="00917F73">
        <w:rPr>
          <w:rFonts w:asciiTheme="minorHAnsi" w:hAnsiTheme="minorHAnsi" w:cstheme="minorHAnsi"/>
          <w:color w:val="1F4E79" w:themeColor="accent5" w:themeShade="80"/>
          <w:sz w:val="21"/>
          <w:szCs w:val="21"/>
        </w:rPr>
        <w:t xml:space="preserve">provision for </w:t>
      </w:r>
      <w:r w:rsidR="006B6212" w:rsidRPr="00917F73">
        <w:rPr>
          <w:rFonts w:asciiTheme="minorHAnsi" w:hAnsiTheme="minorHAnsi" w:cstheme="minorHAnsi"/>
          <w:color w:val="1F4E79" w:themeColor="accent5" w:themeShade="80"/>
          <w:sz w:val="21"/>
          <w:szCs w:val="21"/>
        </w:rPr>
        <w:t>individuals with psychosocial disabilities is still predominantly provided in psychiatric or social care institutions</w:t>
      </w:r>
      <w:r w:rsidR="00F90103" w:rsidRPr="00917F73">
        <w:rPr>
          <w:rFonts w:asciiTheme="minorHAnsi" w:hAnsiTheme="minorHAnsi" w:cstheme="minorHAnsi"/>
          <w:color w:val="1F4E79" w:themeColor="accent5" w:themeShade="80"/>
          <w:sz w:val="21"/>
          <w:szCs w:val="21"/>
        </w:rPr>
        <w:t>. Persons with disabilities frequently enter these institutions as children or adolescents</w:t>
      </w:r>
      <w:r w:rsidR="00C43EB8">
        <w:rPr>
          <w:rFonts w:asciiTheme="minorHAnsi" w:hAnsiTheme="minorHAnsi" w:cstheme="minorHAnsi"/>
          <w:color w:val="1F4E79" w:themeColor="accent5" w:themeShade="80"/>
          <w:sz w:val="21"/>
          <w:szCs w:val="21"/>
        </w:rPr>
        <w:t xml:space="preserve">, often </w:t>
      </w:r>
      <w:r w:rsidR="00F90103" w:rsidRPr="00917F73">
        <w:rPr>
          <w:rFonts w:asciiTheme="minorHAnsi" w:hAnsiTheme="minorHAnsi" w:cstheme="minorHAnsi"/>
          <w:color w:val="1F4E79" w:themeColor="accent5" w:themeShade="80"/>
          <w:sz w:val="21"/>
          <w:szCs w:val="21"/>
        </w:rPr>
        <w:t>against the wishes of their parents</w:t>
      </w:r>
      <w:r w:rsidR="00C43EB8">
        <w:rPr>
          <w:rFonts w:asciiTheme="minorHAnsi" w:hAnsiTheme="minorHAnsi" w:cstheme="minorHAnsi"/>
          <w:color w:val="1F4E79" w:themeColor="accent5" w:themeShade="80"/>
          <w:sz w:val="21"/>
          <w:szCs w:val="21"/>
        </w:rPr>
        <w:t xml:space="preserve">, </w:t>
      </w:r>
      <w:r w:rsidR="00F90103" w:rsidRPr="00917F73">
        <w:rPr>
          <w:rFonts w:asciiTheme="minorHAnsi" w:hAnsiTheme="minorHAnsi" w:cstheme="minorHAnsi"/>
          <w:color w:val="1F4E79" w:themeColor="accent5" w:themeShade="80"/>
          <w:sz w:val="21"/>
          <w:szCs w:val="21"/>
        </w:rPr>
        <w:t xml:space="preserve">and remain for their entire lives. </w:t>
      </w:r>
      <w:r w:rsidR="00D11A50" w:rsidRPr="00917F73">
        <w:rPr>
          <w:rFonts w:asciiTheme="minorHAnsi" w:hAnsiTheme="minorHAnsi" w:cstheme="minorHAnsi"/>
          <w:color w:val="1F4E79" w:themeColor="accent5" w:themeShade="80"/>
          <w:sz w:val="21"/>
          <w:szCs w:val="21"/>
        </w:rPr>
        <w:t>Institutionali</w:t>
      </w:r>
      <w:r w:rsidR="00C43EB8">
        <w:rPr>
          <w:rFonts w:asciiTheme="minorHAnsi" w:hAnsiTheme="minorHAnsi" w:cstheme="minorHAnsi"/>
          <w:color w:val="1F4E79" w:themeColor="accent5" w:themeShade="80"/>
          <w:sz w:val="21"/>
          <w:szCs w:val="21"/>
        </w:rPr>
        <w:t>s</w:t>
      </w:r>
      <w:r w:rsidR="00D11A50" w:rsidRPr="00917F73">
        <w:rPr>
          <w:rFonts w:asciiTheme="minorHAnsi" w:hAnsiTheme="minorHAnsi" w:cstheme="minorHAnsi"/>
          <w:color w:val="1F4E79" w:themeColor="accent5" w:themeShade="80"/>
          <w:sz w:val="21"/>
          <w:szCs w:val="21"/>
        </w:rPr>
        <w:t xml:space="preserve">ation, particularly for persons with psychosocial, </w:t>
      </w:r>
      <w:proofErr w:type="gramStart"/>
      <w:r w:rsidR="00D11A50" w:rsidRPr="00917F73">
        <w:rPr>
          <w:rFonts w:asciiTheme="minorHAnsi" w:hAnsiTheme="minorHAnsi" w:cstheme="minorHAnsi"/>
          <w:color w:val="1F4E79" w:themeColor="accent5" w:themeShade="80"/>
          <w:sz w:val="21"/>
          <w:szCs w:val="21"/>
        </w:rPr>
        <w:t>intellectual</w:t>
      </w:r>
      <w:proofErr w:type="gramEnd"/>
      <w:r w:rsidR="00D11A50" w:rsidRPr="00917F73">
        <w:rPr>
          <w:rFonts w:asciiTheme="minorHAnsi" w:hAnsiTheme="minorHAnsi" w:cstheme="minorHAnsi"/>
          <w:color w:val="1F4E79" w:themeColor="accent5" w:themeShade="80"/>
          <w:sz w:val="21"/>
          <w:szCs w:val="21"/>
        </w:rPr>
        <w:t xml:space="preserve"> and cognitive disabilities, is associated with </w:t>
      </w:r>
      <w:r w:rsidR="00D70855" w:rsidRPr="00917F73">
        <w:rPr>
          <w:rFonts w:asciiTheme="minorHAnsi" w:hAnsiTheme="minorHAnsi" w:cstheme="minorHAnsi"/>
          <w:color w:val="1F4E79" w:themeColor="accent5" w:themeShade="80"/>
          <w:sz w:val="21"/>
          <w:szCs w:val="21"/>
        </w:rPr>
        <w:t>poor quality services, inadequate</w:t>
      </w:r>
      <w:r w:rsidR="00821E9F" w:rsidRPr="00917F73">
        <w:rPr>
          <w:rFonts w:asciiTheme="minorHAnsi" w:hAnsiTheme="minorHAnsi" w:cstheme="minorHAnsi"/>
          <w:color w:val="1F4E79" w:themeColor="accent5" w:themeShade="80"/>
          <w:sz w:val="21"/>
          <w:szCs w:val="21"/>
        </w:rPr>
        <w:t xml:space="preserve"> living conditions,</w:t>
      </w:r>
      <w:r w:rsidR="0013032F" w:rsidRPr="00917F73">
        <w:rPr>
          <w:rFonts w:asciiTheme="minorHAnsi" w:hAnsiTheme="minorHAnsi" w:cstheme="minorHAnsi"/>
          <w:color w:val="1F4E79" w:themeColor="accent5" w:themeShade="80"/>
          <w:sz w:val="21"/>
          <w:szCs w:val="21"/>
        </w:rPr>
        <w:t xml:space="preserve"> loneliness and isolation,</w:t>
      </w:r>
      <w:r w:rsidR="00821E9F" w:rsidRPr="00917F73">
        <w:rPr>
          <w:rFonts w:asciiTheme="minorHAnsi" w:hAnsiTheme="minorHAnsi" w:cstheme="minorHAnsi"/>
          <w:color w:val="1F4E79" w:themeColor="accent5" w:themeShade="80"/>
          <w:sz w:val="21"/>
          <w:szCs w:val="21"/>
        </w:rPr>
        <w:t xml:space="preserve"> and exposure to a range of </w:t>
      </w:r>
      <w:r w:rsidR="00D11A50" w:rsidRPr="00917F73">
        <w:rPr>
          <w:rFonts w:asciiTheme="minorHAnsi" w:hAnsiTheme="minorHAnsi" w:cstheme="minorHAnsi"/>
          <w:color w:val="1F4E79" w:themeColor="accent5" w:themeShade="80"/>
          <w:sz w:val="21"/>
          <w:szCs w:val="21"/>
        </w:rPr>
        <w:t xml:space="preserve">human rights violations </w:t>
      </w:r>
      <w:r w:rsidR="0013032F" w:rsidRPr="00917F73">
        <w:rPr>
          <w:rFonts w:asciiTheme="minorHAnsi" w:hAnsiTheme="minorHAnsi" w:cstheme="minorHAnsi"/>
          <w:color w:val="1F4E79" w:themeColor="accent5" w:themeShade="80"/>
          <w:sz w:val="21"/>
          <w:szCs w:val="21"/>
        </w:rPr>
        <w:t>including forced treatment and coercive practices, and psychological, physical, and sexual abuse or violence</w:t>
      </w:r>
      <w:r w:rsidR="00F90103" w:rsidRPr="00917F73">
        <w:rPr>
          <w:rFonts w:asciiTheme="minorHAnsi" w:hAnsiTheme="minorHAnsi" w:cstheme="minorHAnsi"/>
          <w:color w:val="1F4E79" w:themeColor="accent5" w:themeShade="80"/>
          <w:sz w:val="21"/>
          <w:szCs w:val="21"/>
        </w:rPr>
        <w:t xml:space="preserve">. Persons with autism or learning disabilities </w:t>
      </w:r>
      <w:r w:rsidR="00245CE9">
        <w:rPr>
          <w:rFonts w:asciiTheme="minorHAnsi" w:hAnsiTheme="minorHAnsi" w:cstheme="minorHAnsi"/>
          <w:color w:val="1F4E79" w:themeColor="accent5" w:themeShade="80"/>
          <w:sz w:val="21"/>
          <w:szCs w:val="21"/>
        </w:rPr>
        <w:t xml:space="preserve">are often detained long-term </w:t>
      </w:r>
      <w:r w:rsidR="00F90103" w:rsidRPr="00917F73">
        <w:rPr>
          <w:rFonts w:asciiTheme="minorHAnsi" w:hAnsiTheme="minorHAnsi" w:cstheme="minorHAnsi"/>
          <w:color w:val="1F4E79" w:themeColor="accent5" w:themeShade="80"/>
          <w:sz w:val="21"/>
          <w:szCs w:val="21"/>
        </w:rPr>
        <w:t xml:space="preserve">in institutions </w:t>
      </w:r>
      <w:r w:rsidR="00245CE9">
        <w:rPr>
          <w:rFonts w:asciiTheme="minorHAnsi" w:hAnsiTheme="minorHAnsi" w:cstheme="minorHAnsi"/>
          <w:color w:val="1F4E79" w:themeColor="accent5" w:themeShade="80"/>
          <w:sz w:val="21"/>
          <w:szCs w:val="21"/>
        </w:rPr>
        <w:t>or</w:t>
      </w:r>
      <w:r w:rsidR="00F90103" w:rsidRPr="00917F73">
        <w:rPr>
          <w:rFonts w:asciiTheme="minorHAnsi" w:hAnsiTheme="minorHAnsi" w:cstheme="minorHAnsi"/>
          <w:color w:val="1F4E79" w:themeColor="accent5" w:themeShade="80"/>
          <w:sz w:val="21"/>
          <w:szCs w:val="21"/>
        </w:rPr>
        <w:t xml:space="preserve"> inpatient facilities</w:t>
      </w:r>
      <w:r w:rsidR="000A042D" w:rsidRPr="000A042D">
        <w:rPr>
          <w:rFonts w:asciiTheme="minorHAnsi" w:hAnsiTheme="minorHAnsi" w:cstheme="minorHAnsi"/>
          <w:color w:val="1F4E79" w:themeColor="accent5" w:themeShade="80"/>
          <w:sz w:val="21"/>
          <w:szCs w:val="21"/>
        </w:rPr>
        <w:t xml:space="preserve"> </w:t>
      </w:r>
      <w:r w:rsidR="00BC4F1B">
        <w:rPr>
          <w:rFonts w:asciiTheme="minorHAnsi" w:hAnsiTheme="minorHAnsi" w:cstheme="minorHAnsi"/>
          <w:color w:val="1F4E79" w:themeColor="accent5" w:themeShade="80"/>
          <w:sz w:val="21"/>
          <w:szCs w:val="21"/>
        </w:rPr>
        <w:t xml:space="preserve">located </w:t>
      </w:r>
      <w:r w:rsidR="00D50C35">
        <w:rPr>
          <w:rFonts w:asciiTheme="minorHAnsi" w:hAnsiTheme="minorHAnsi" w:cstheme="minorHAnsi"/>
          <w:color w:val="1F4E79" w:themeColor="accent5" w:themeShade="80"/>
          <w:sz w:val="21"/>
          <w:szCs w:val="21"/>
        </w:rPr>
        <w:t xml:space="preserve">far from their families where they </w:t>
      </w:r>
      <w:r w:rsidR="00D50C35" w:rsidRPr="00917F73">
        <w:rPr>
          <w:rFonts w:asciiTheme="minorHAnsi" w:hAnsiTheme="minorHAnsi" w:cstheme="minorHAnsi"/>
          <w:color w:val="1F4E79" w:themeColor="accent5" w:themeShade="80"/>
          <w:sz w:val="21"/>
          <w:szCs w:val="21"/>
        </w:rPr>
        <w:t xml:space="preserve">can </w:t>
      </w:r>
      <w:r w:rsidR="005D270C">
        <w:rPr>
          <w:rFonts w:asciiTheme="minorHAnsi" w:hAnsiTheme="minorHAnsi" w:cstheme="minorHAnsi"/>
          <w:color w:val="1F4E79" w:themeColor="accent5" w:themeShade="80"/>
          <w:sz w:val="21"/>
          <w:szCs w:val="21"/>
        </w:rPr>
        <w:t xml:space="preserve">be </w:t>
      </w:r>
      <w:r w:rsidR="006B6212" w:rsidRPr="00917F73">
        <w:rPr>
          <w:rFonts w:asciiTheme="minorHAnsi" w:hAnsiTheme="minorHAnsi" w:cstheme="minorHAnsi"/>
          <w:color w:val="1F4E79" w:themeColor="accent5" w:themeShade="80"/>
          <w:sz w:val="21"/>
          <w:szCs w:val="21"/>
        </w:rPr>
        <w:t>subjected</w:t>
      </w:r>
      <w:r w:rsidR="00F90103" w:rsidRPr="00917F73">
        <w:rPr>
          <w:rFonts w:asciiTheme="minorHAnsi" w:hAnsiTheme="minorHAnsi" w:cstheme="minorHAnsi"/>
          <w:color w:val="1F4E79" w:themeColor="accent5" w:themeShade="80"/>
          <w:sz w:val="21"/>
          <w:szCs w:val="21"/>
        </w:rPr>
        <w:t xml:space="preserve"> to abusive</w:t>
      </w:r>
      <w:r w:rsidR="005D270C">
        <w:rPr>
          <w:rFonts w:asciiTheme="minorHAnsi" w:hAnsiTheme="minorHAnsi" w:cstheme="minorHAnsi"/>
          <w:color w:val="1F4E79" w:themeColor="accent5" w:themeShade="80"/>
          <w:sz w:val="21"/>
          <w:szCs w:val="21"/>
        </w:rPr>
        <w:t>,</w:t>
      </w:r>
      <w:r w:rsidR="00F90103" w:rsidRPr="00917F73">
        <w:rPr>
          <w:rFonts w:asciiTheme="minorHAnsi" w:hAnsiTheme="minorHAnsi" w:cstheme="minorHAnsi"/>
          <w:color w:val="1F4E79" w:themeColor="accent5" w:themeShade="80"/>
          <w:sz w:val="21"/>
          <w:szCs w:val="21"/>
        </w:rPr>
        <w:t xml:space="preserve"> </w:t>
      </w:r>
      <w:proofErr w:type="gramStart"/>
      <w:r w:rsidR="00F90103" w:rsidRPr="00917F73">
        <w:rPr>
          <w:rFonts w:asciiTheme="minorHAnsi" w:hAnsiTheme="minorHAnsi" w:cstheme="minorHAnsi"/>
          <w:color w:val="1F4E79" w:themeColor="accent5" w:themeShade="80"/>
          <w:sz w:val="21"/>
          <w:szCs w:val="21"/>
        </w:rPr>
        <w:t>restrictive</w:t>
      </w:r>
      <w:proofErr w:type="gramEnd"/>
      <w:r w:rsidR="00F90103" w:rsidRPr="00917F73">
        <w:rPr>
          <w:rFonts w:asciiTheme="minorHAnsi" w:hAnsiTheme="minorHAnsi" w:cstheme="minorHAnsi"/>
          <w:color w:val="1F4E79" w:themeColor="accent5" w:themeShade="80"/>
          <w:sz w:val="21"/>
          <w:szCs w:val="21"/>
        </w:rPr>
        <w:t xml:space="preserve"> </w:t>
      </w:r>
      <w:r w:rsidR="005D270C">
        <w:rPr>
          <w:rFonts w:asciiTheme="minorHAnsi" w:hAnsiTheme="minorHAnsi" w:cstheme="minorHAnsi"/>
          <w:color w:val="1F4E79" w:themeColor="accent5" w:themeShade="80"/>
          <w:sz w:val="21"/>
          <w:szCs w:val="21"/>
        </w:rPr>
        <w:t xml:space="preserve">and inhumane </w:t>
      </w:r>
      <w:r w:rsidR="00F90103" w:rsidRPr="00917F73">
        <w:rPr>
          <w:rFonts w:asciiTheme="minorHAnsi" w:hAnsiTheme="minorHAnsi" w:cstheme="minorHAnsi"/>
          <w:color w:val="1F4E79" w:themeColor="accent5" w:themeShade="80"/>
          <w:sz w:val="21"/>
          <w:szCs w:val="21"/>
        </w:rPr>
        <w:t>practices</w:t>
      </w:r>
      <w:r w:rsidR="00300671">
        <w:rPr>
          <w:rFonts w:asciiTheme="minorHAnsi" w:hAnsiTheme="minorHAnsi" w:cstheme="minorHAnsi"/>
          <w:color w:val="1F4E79" w:themeColor="accent5" w:themeShade="80"/>
          <w:sz w:val="21"/>
          <w:szCs w:val="21"/>
        </w:rPr>
        <w:t>.</w:t>
      </w:r>
      <w:r w:rsidR="007734F9" w:rsidRPr="00917F73">
        <w:rPr>
          <w:rStyle w:val="FootnoteReference"/>
          <w:rFonts w:asciiTheme="minorHAnsi" w:hAnsiTheme="minorHAnsi" w:cstheme="minorHAnsi"/>
          <w:color w:val="1F4E79" w:themeColor="accent5" w:themeShade="80"/>
          <w:sz w:val="21"/>
          <w:szCs w:val="21"/>
        </w:rPr>
        <w:footnoteReference w:id="26"/>
      </w:r>
      <w:r w:rsidR="00633BA9">
        <w:rPr>
          <w:rFonts w:asciiTheme="minorHAnsi" w:hAnsiTheme="minorHAnsi" w:cstheme="minorHAnsi"/>
          <w:color w:val="1F4E79" w:themeColor="accent5" w:themeShade="80"/>
          <w:sz w:val="21"/>
          <w:szCs w:val="21"/>
        </w:rPr>
        <w:t xml:space="preserve"> </w:t>
      </w:r>
      <w:r w:rsidR="00B71D8C" w:rsidRPr="00917F73">
        <w:rPr>
          <w:rFonts w:asciiTheme="minorHAnsi" w:hAnsiTheme="minorHAnsi" w:cstheme="minorHAnsi"/>
          <w:color w:val="1F4E79" w:themeColor="accent5" w:themeShade="80"/>
          <w:sz w:val="21"/>
          <w:szCs w:val="21"/>
        </w:rPr>
        <w:t xml:space="preserve">Inadequate provision of formal community support and housing </w:t>
      </w:r>
      <w:r w:rsidR="00EA2AB3" w:rsidRPr="00917F73">
        <w:rPr>
          <w:rFonts w:asciiTheme="minorHAnsi" w:hAnsiTheme="minorHAnsi" w:cstheme="minorHAnsi"/>
          <w:color w:val="1F4E79" w:themeColor="accent5" w:themeShade="80"/>
          <w:sz w:val="21"/>
          <w:szCs w:val="21"/>
        </w:rPr>
        <w:t>can also lead to homelessness among persons with disabilities if deinstitutionali</w:t>
      </w:r>
      <w:r w:rsidR="00300671">
        <w:rPr>
          <w:rFonts w:asciiTheme="minorHAnsi" w:hAnsiTheme="minorHAnsi" w:cstheme="minorHAnsi"/>
          <w:color w:val="1F4E79" w:themeColor="accent5" w:themeShade="80"/>
          <w:sz w:val="21"/>
          <w:szCs w:val="21"/>
        </w:rPr>
        <w:t>s</w:t>
      </w:r>
      <w:r w:rsidR="00EA2AB3" w:rsidRPr="00917F73">
        <w:rPr>
          <w:rFonts w:asciiTheme="minorHAnsi" w:hAnsiTheme="minorHAnsi" w:cstheme="minorHAnsi"/>
          <w:color w:val="1F4E79" w:themeColor="accent5" w:themeShade="80"/>
          <w:sz w:val="21"/>
          <w:szCs w:val="21"/>
        </w:rPr>
        <w:t>ation is not conducted through a regulated and systemic process with appropriate support and access to affordable accommodation.</w:t>
      </w:r>
      <w:r w:rsidR="00887084" w:rsidRPr="00917F73">
        <w:rPr>
          <w:rStyle w:val="FootnoteReference"/>
          <w:rFonts w:asciiTheme="minorHAnsi" w:hAnsiTheme="minorHAnsi" w:cstheme="minorHAnsi"/>
          <w:color w:val="1F4E79" w:themeColor="accent5" w:themeShade="80"/>
          <w:sz w:val="21"/>
          <w:szCs w:val="21"/>
        </w:rPr>
        <w:footnoteReference w:id="27"/>
      </w:r>
      <w:r w:rsidR="00EA2AB3" w:rsidRPr="00917F73">
        <w:rPr>
          <w:rFonts w:asciiTheme="minorHAnsi" w:hAnsiTheme="minorHAnsi" w:cstheme="minorHAnsi"/>
          <w:color w:val="1F4E79" w:themeColor="accent5" w:themeShade="80"/>
          <w:sz w:val="21"/>
          <w:szCs w:val="21"/>
        </w:rPr>
        <w:t xml:space="preserve"> </w:t>
      </w:r>
    </w:p>
    <w:p w14:paraId="32284E24" w14:textId="5A8F53F8" w:rsidR="00061A45" w:rsidRPr="00917F73" w:rsidRDefault="005600DD" w:rsidP="00A320CD">
      <w:pPr>
        <w:spacing w:after="60" w:line="240" w:lineRule="auto"/>
        <w:rPr>
          <w:rFonts w:asciiTheme="minorHAnsi" w:hAnsiTheme="minorHAnsi" w:cstheme="minorHAnsi"/>
          <w:color w:val="1F4E79" w:themeColor="accent5" w:themeShade="80"/>
          <w:sz w:val="21"/>
          <w:szCs w:val="21"/>
        </w:rPr>
      </w:pPr>
      <w:r w:rsidRPr="00917F73">
        <w:rPr>
          <w:rFonts w:asciiTheme="minorHAnsi" w:hAnsiTheme="minorHAnsi" w:cstheme="minorHAnsi"/>
          <w:color w:val="1F4E79" w:themeColor="accent5" w:themeShade="80"/>
          <w:sz w:val="21"/>
          <w:szCs w:val="21"/>
        </w:rPr>
        <w:t>I</w:t>
      </w:r>
      <w:r>
        <w:rPr>
          <w:rFonts w:asciiTheme="minorHAnsi" w:hAnsiTheme="minorHAnsi" w:cstheme="minorHAnsi"/>
          <w:color w:val="1F4E79" w:themeColor="accent5" w:themeShade="80"/>
          <w:sz w:val="21"/>
          <w:szCs w:val="21"/>
        </w:rPr>
        <w:t>nstitutionalisation</w:t>
      </w:r>
      <w:r w:rsidRPr="00917F73">
        <w:rPr>
          <w:rFonts w:asciiTheme="minorHAnsi" w:hAnsiTheme="minorHAnsi" w:cstheme="minorHAnsi"/>
          <w:color w:val="1F4E79" w:themeColor="accent5" w:themeShade="80"/>
          <w:sz w:val="21"/>
          <w:szCs w:val="21"/>
        </w:rPr>
        <w:t xml:space="preserve"> can also expose persons with disabilities to higher risks relating to infectious disease outbreaks and associated health emergencies, as reflected in elevated rates of mortality from COVID-19 among persons with disabilities in long-term care institutions, largely because of poor living conditions and the inability to ensure prevention measures. </w:t>
      </w:r>
      <w:r w:rsidR="00F977D0" w:rsidRPr="00917F73">
        <w:rPr>
          <w:rFonts w:asciiTheme="minorHAnsi" w:hAnsiTheme="minorHAnsi" w:cstheme="minorHAnsi"/>
          <w:color w:val="1F4E79" w:themeColor="accent5" w:themeShade="80"/>
          <w:sz w:val="21"/>
          <w:szCs w:val="21"/>
        </w:rPr>
        <w:t xml:space="preserve">Where persons with disabilities </w:t>
      </w:r>
      <w:r w:rsidR="001367A8" w:rsidRPr="00917F73">
        <w:rPr>
          <w:rFonts w:asciiTheme="minorHAnsi" w:hAnsiTheme="minorHAnsi" w:cstheme="minorHAnsi"/>
          <w:color w:val="1F4E79" w:themeColor="accent5" w:themeShade="80"/>
          <w:sz w:val="21"/>
          <w:szCs w:val="21"/>
        </w:rPr>
        <w:t>are supported in the community, multisectoral</w:t>
      </w:r>
      <w:r w:rsidR="00974316" w:rsidRPr="00917F73">
        <w:rPr>
          <w:rFonts w:asciiTheme="minorHAnsi" w:hAnsiTheme="minorHAnsi" w:cstheme="minorHAnsi"/>
          <w:color w:val="1F4E79" w:themeColor="accent5" w:themeShade="80"/>
          <w:sz w:val="21"/>
          <w:szCs w:val="21"/>
        </w:rPr>
        <w:t xml:space="preserve"> preparedness and</w:t>
      </w:r>
      <w:r w:rsidR="001367A8" w:rsidRPr="00917F73">
        <w:rPr>
          <w:rFonts w:asciiTheme="minorHAnsi" w:hAnsiTheme="minorHAnsi" w:cstheme="minorHAnsi"/>
          <w:color w:val="1F4E79" w:themeColor="accent5" w:themeShade="80"/>
          <w:sz w:val="21"/>
          <w:szCs w:val="21"/>
        </w:rPr>
        <w:t xml:space="preserve"> coordination mechanisms </w:t>
      </w:r>
      <w:r w:rsidR="00974316" w:rsidRPr="00917F73">
        <w:rPr>
          <w:rFonts w:asciiTheme="minorHAnsi" w:hAnsiTheme="minorHAnsi" w:cstheme="minorHAnsi"/>
          <w:color w:val="1F4E79" w:themeColor="accent5" w:themeShade="80"/>
          <w:sz w:val="21"/>
          <w:szCs w:val="21"/>
        </w:rPr>
        <w:t xml:space="preserve">are </w:t>
      </w:r>
      <w:r w:rsidR="002330E8" w:rsidRPr="00917F73">
        <w:rPr>
          <w:rFonts w:asciiTheme="minorHAnsi" w:hAnsiTheme="minorHAnsi" w:cstheme="minorHAnsi"/>
          <w:color w:val="1F4E79" w:themeColor="accent5" w:themeShade="80"/>
          <w:sz w:val="21"/>
          <w:szCs w:val="21"/>
        </w:rPr>
        <w:t xml:space="preserve">also </w:t>
      </w:r>
      <w:r w:rsidR="00974316" w:rsidRPr="00917F73">
        <w:rPr>
          <w:rFonts w:asciiTheme="minorHAnsi" w:hAnsiTheme="minorHAnsi" w:cstheme="minorHAnsi"/>
          <w:color w:val="1F4E79" w:themeColor="accent5" w:themeShade="80"/>
          <w:sz w:val="21"/>
          <w:szCs w:val="21"/>
        </w:rPr>
        <w:t xml:space="preserve">needed to </w:t>
      </w:r>
      <w:r w:rsidR="002330E8" w:rsidRPr="00917F73">
        <w:rPr>
          <w:rFonts w:asciiTheme="minorHAnsi" w:hAnsiTheme="minorHAnsi" w:cstheme="minorHAnsi"/>
          <w:color w:val="1F4E79" w:themeColor="accent5" w:themeShade="80"/>
          <w:sz w:val="21"/>
          <w:szCs w:val="21"/>
        </w:rPr>
        <w:t xml:space="preserve">reduce the additional risks for persons with disabilities in health emergencies resulting from </w:t>
      </w:r>
      <w:r w:rsidR="00684A36" w:rsidRPr="00917F73">
        <w:rPr>
          <w:rFonts w:asciiTheme="minorHAnsi" w:hAnsiTheme="minorHAnsi" w:cstheme="minorHAnsi"/>
          <w:color w:val="1F4E79" w:themeColor="accent5" w:themeShade="80"/>
          <w:sz w:val="21"/>
          <w:szCs w:val="21"/>
        </w:rPr>
        <w:t>response measures such as lockdowns and physical distancing requirements, and disruptions to care and support services.</w:t>
      </w:r>
      <w:r w:rsidR="000878B2" w:rsidRPr="00917F73">
        <w:rPr>
          <w:rStyle w:val="FootnoteReference"/>
          <w:rFonts w:asciiTheme="minorHAnsi" w:hAnsiTheme="minorHAnsi" w:cstheme="minorHAnsi"/>
          <w:color w:val="1F4E79" w:themeColor="accent5" w:themeShade="80"/>
          <w:sz w:val="21"/>
          <w:szCs w:val="21"/>
        </w:rPr>
        <w:footnoteReference w:id="28"/>
      </w:r>
    </w:p>
    <w:sectPr w:rsidR="00061A45" w:rsidRPr="00917F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2B03" w14:textId="77777777" w:rsidR="00207660" w:rsidRDefault="00207660" w:rsidP="00207660">
      <w:pPr>
        <w:spacing w:after="0" w:line="240" w:lineRule="auto"/>
      </w:pPr>
      <w:r>
        <w:separator/>
      </w:r>
    </w:p>
  </w:endnote>
  <w:endnote w:type="continuationSeparator" w:id="0">
    <w:p w14:paraId="26D75863" w14:textId="77777777" w:rsidR="00207660" w:rsidRDefault="00207660" w:rsidP="0020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7A61" w14:textId="77777777" w:rsidR="00207660" w:rsidRDefault="00207660" w:rsidP="00207660">
      <w:pPr>
        <w:spacing w:after="0" w:line="240" w:lineRule="auto"/>
      </w:pPr>
      <w:r>
        <w:separator/>
      </w:r>
    </w:p>
  </w:footnote>
  <w:footnote w:type="continuationSeparator" w:id="0">
    <w:p w14:paraId="1E1675F8" w14:textId="77777777" w:rsidR="00207660" w:rsidRDefault="00207660" w:rsidP="00207660">
      <w:pPr>
        <w:spacing w:after="0" w:line="240" w:lineRule="auto"/>
      </w:pPr>
      <w:r>
        <w:continuationSeparator/>
      </w:r>
    </w:p>
  </w:footnote>
  <w:footnote w:id="1">
    <w:p w14:paraId="0EEC478C" w14:textId="158214E5" w:rsidR="00080694" w:rsidRPr="00C05A79" w:rsidRDefault="00080694">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00635B91">
        <w:rPr>
          <w:rFonts w:asciiTheme="minorHAnsi" w:hAnsiTheme="minorHAnsi" w:cstheme="minorHAnsi"/>
          <w:sz w:val="18"/>
          <w:szCs w:val="18"/>
        </w:rPr>
        <w:t xml:space="preserve"> </w:t>
      </w:r>
      <w:r w:rsidR="00635B91" w:rsidRPr="00635B91">
        <w:rPr>
          <w:rFonts w:asciiTheme="minorHAnsi" w:hAnsiTheme="minorHAnsi" w:cstheme="minorHAnsi"/>
          <w:sz w:val="18"/>
          <w:szCs w:val="18"/>
        </w:rPr>
        <w:t>This obligation has been further developed in the Committee on the Rights of Persons with Disabilities General Comments on articles 9, 12 and 19</w:t>
      </w:r>
      <w:r w:rsidR="005F46D4">
        <w:rPr>
          <w:rFonts w:asciiTheme="minorHAnsi" w:hAnsiTheme="minorHAnsi" w:cstheme="minorHAnsi"/>
          <w:sz w:val="18"/>
          <w:szCs w:val="18"/>
        </w:rPr>
        <w:t>; see</w:t>
      </w:r>
      <w:r w:rsidRPr="00C05A79">
        <w:rPr>
          <w:rFonts w:asciiTheme="minorHAnsi" w:hAnsiTheme="minorHAnsi" w:cstheme="minorHAnsi"/>
          <w:sz w:val="18"/>
          <w:szCs w:val="18"/>
        </w:rPr>
        <w:t xml:space="preserve"> </w:t>
      </w:r>
      <w:hyperlink r:id="rId1" w:history="1">
        <w:r w:rsidRPr="00C05A79">
          <w:rPr>
            <w:rStyle w:val="Hyperlink"/>
            <w:rFonts w:asciiTheme="minorHAnsi" w:hAnsiTheme="minorHAnsi" w:cstheme="minorHAnsi"/>
            <w:sz w:val="18"/>
            <w:szCs w:val="18"/>
          </w:rPr>
          <w:t>Community 2030 Narrative (2023)</w:t>
        </w:r>
      </w:hyperlink>
      <w:r w:rsidRPr="00C05A79">
        <w:rPr>
          <w:rFonts w:asciiTheme="minorHAnsi" w:hAnsiTheme="minorHAnsi" w:cstheme="minorHAnsi"/>
          <w:sz w:val="18"/>
          <w:szCs w:val="18"/>
        </w:rPr>
        <w:t>.</w:t>
      </w:r>
    </w:p>
  </w:footnote>
  <w:footnote w:id="2">
    <w:p w14:paraId="69999216" w14:textId="74337EFD" w:rsidR="002249F4" w:rsidRPr="00C05A79" w:rsidRDefault="002249F4">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Committee on the Rights of Persons with Disabilities, General Comment No. 1, Article 12: Equal Recognition before the Law, UN Doc. CRPD/C/GC/1 (2014)</w:t>
      </w:r>
      <w:r w:rsidR="005B77AE" w:rsidRPr="00C05A79">
        <w:rPr>
          <w:rFonts w:asciiTheme="minorHAnsi" w:hAnsiTheme="minorHAnsi" w:cstheme="minorHAnsi"/>
          <w:sz w:val="18"/>
          <w:szCs w:val="18"/>
        </w:rPr>
        <w:t xml:space="preserve">, discussed in </w:t>
      </w:r>
      <w:r w:rsidR="00AB42A8" w:rsidRPr="00C05A79">
        <w:rPr>
          <w:rFonts w:asciiTheme="minorHAnsi" w:hAnsiTheme="minorHAnsi" w:cstheme="minorHAnsi"/>
          <w:sz w:val="18"/>
          <w:szCs w:val="18"/>
        </w:rPr>
        <w:t>Funk M, Bold ND</w:t>
      </w:r>
      <w:r w:rsidR="00250D39" w:rsidRPr="00C05A79">
        <w:rPr>
          <w:rFonts w:asciiTheme="minorHAnsi" w:hAnsiTheme="minorHAnsi" w:cstheme="minorHAnsi"/>
          <w:sz w:val="18"/>
          <w:szCs w:val="18"/>
        </w:rPr>
        <w:t xml:space="preserve"> (2020)</w:t>
      </w:r>
      <w:r w:rsidR="00AB42A8" w:rsidRPr="00C05A79">
        <w:rPr>
          <w:rFonts w:asciiTheme="minorHAnsi" w:hAnsiTheme="minorHAnsi" w:cstheme="minorHAnsi"/>
          <w:sz w:val="18"/>
          <w:szCs w:val="18"/>
        </w:rPr>
        <w:t xml:space="preserve"> </w:t>
      </w:r>
      <w:hyperlink r:id="rId2" w:anchor="r4" w:history="1">
        <w:r w:rsidR="00A604D2" w:rsidRPr="00C05A79">
          <w:rPr>
            <w:rStyle w:val="Hyperlink"/>
            <w:rFonts w:asciiTheme="minorHAnsi" w:hAnsiTheme="minorHAnsi" w:cstheme="minorHAnsi"/>
            <w:sz w:val="18"/>
            <w:szCs w:val="18"/>
          </w:rPr>
          <w:t>‘</w:t>
        </w:r>
        <w:r w:rsidR="00AB42A8" w:rsidRPr="00C05A79">
          <w:rPr>
            <w:rStyle w:val="Hyperlink"/>
            <w:rFonts w:asciiTheme="minorHAnsi" w:hAnsiTheme="minorHAnsi" w:cstheme="minorHAnsi"/>
            <w:sz w:val="18"/>
            <w:szCs w:val="18"/>
          </w:rPr>
          <w:t xml:space="preserve">WHO's </w:t>
        </w:r>
        <w:proofErr w:type="spellStart"/>
        <w:r w:rsidR="00AB42A8" w:rsidRPr="00C05A79">
          <w:rPr>
            <w:rStyle w:val="Hyperlink"/>
            <w:rFonts w:asciiTheme="minorHAnsi" w:hAnsiTheme="minorHAnsi" w:cstheme="minorHAnsi"/>
            <w:sz w:val="18"/>
            <w:szCs w:val="18"/>
          </w:rPr>
          <w:t>QualityRights</w:t>
        </w:r>
        <w:proofErr w:type="spellEnd"/>
        <w:r w:rsidR="00AB42A8" w:rsidRPr="00C05A79">
          <w:rPr>
            <w:rStyle w:val="Hyperlink"/>
            <w:rFonts w:asciiTheme="minorHAnsi" w:hAnsiTheme="minorHAnsi" w:cstheme="minorHAnsi"/>
            <w:sz w:val="18"/>
            <w:szCs w:val="18"/>
          </w:rPr>
          <w:t xml:space="preserve"> Initiative: Transforming Services and Promoting Rights in Mental Health</w:t>
        </w:r>
        <w:r w:rsidR="00A604D2" w:rsidRPr="00C05A79">
          <w:rPr>
            <w:rStyle w:val="Hyperlink"/>
            <w:rFonts w:asciiTheme="minorHAnsi" w:hAnsiTheme="minorHAnsi" w:cstheme="minorHAnsi"/>
            <w:sz w:val="18"/>
            <w:szCs w:val="18"/>
          </w:rPr>
          <w:t>’</w:t>
        </w:r>
      </w:hyperlink>
      <w:r w:rsidR="00A604D2" w:rsidRPr="00C05A79">
        <w:rPr>
          <w:rFonts w:asciiTheme="minorHAnsi" w:hAnsiTheme="minorHAnsi" w:cstheme="minorHAnsi"/>
          <w:sz w:val="18"/>
          <w:szCs w:val="18"/>
        </w:rPr>
        <w:t>,</w:t>
      </w:r>
      <w:r w:rsidR="00AB42A8" w:rsidRPr="00C05A79">
        <w:rPr>
          <w:rFonts w:asciiTheme="minorHAnsi" w:hAnsiTheme="minorHAnsi" w:cstheme="minorHAnsi"/>
          <w:sz w:val="18"/>
          <w:szCs w:val="18"/>
        </w:rPr>
        <w:t xml:space="preserve"> Health Hum Rights. 2020 Jun;22(1):69-75. PMID: 32669790; PMCID: PMC7348459.</w:t>
      </w:r>
    </w:p>
  </w:footnote>
  <w:footnote w:id="3">
    <w:p w14:paraId="3727C0F3" w14:textId="2FBD0252" w:rsidR="00847D99" w:rsidRDefault="00847D99">
      <w:pPr>
        <w:pStyle w:val="FootnoteText"/>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t>
      </w:r>
      <w:r w:rsidR="008C1DB2" w:rsidRPr="00C05A79">
        <w:rPr>
          <w:rFonts w:asciiTheme="minorHAnsi" w:hAnsiTheme="minorHAnsi" w:cstheme="minorHAnsi"/>
          <w:sz w:val="18"/>
          <w:szCs w:val="18"/>
        </w:rPr>
        <w:t xml:space="preserve">Funk and Bold (2020), </w:t>
      </w:r>
      <w:hyperlink r:id="rId3" w:anchor="r4" w:history="1">
        <w:r w:rsidR="008C1DB2" w:rsidRPr="00C05A79">
          <w:rPr>
            <w:rStyle w:val="Hyperlink"/>
            <w:rFonts w:asciiTheme="minorHAnsi" w:hAnsiTheme="minorHAnsi" w:cstheme="minorHAnsi"/>
            <w:i/>
            <w:iCs/>
            <w:sz w:val="18"/>
            <w:szCs w:val="18"/>
          </w:rPr>
          <w:t>op cit</w:t>
        </w:r>
        <w:r w:rsidR="008C1DB2" w:rsidRPr="00C05A79">
          <w:rPr>
            <w:rStyle w:val="Hyperlink"/>
            <w:rFonts w:asciiTheme="minorHAnsi" w:hAnsiTheme="minorHAnsi" w:cstheme="minorHAnsi"/>
            <w:sz w:val="18"/>
            <w:szCs w:val="18"/>
          </w:rPr>
          <w:t>.</w:t>
        </w:r>
      </w:hyperlink>
      <w:r w:rsidR="008C1DB2" w:rsidRPr="00C05A79">
        <w:rPr>
          <w:rFonts w:asciiTheme="minorHAnsi" w:hAnsiTheme="minorHAnsi" w:cstheme="minorHAnsi"/>
          <w:sz w:val="18"/>
          <w:szCs w:val="18"/>
        </w:rPr>
        <w:t>, citing WHO (20</w:t>
      </w:r>
      <w:r w:rsidR="008340DA" w:rsidRPr="00C05A79">
        <w:rPr>
          <w:rFonts w:asciiTheme="minorHAnsi" w:hAnsiTheme="minorHAnsi" w:cstheme="minorHAnsi"/>
          <w:sz w:val="18"/>
          <w:szCs w:val="18"/>
        </w:rPr>
        <w:t>19)</w:t>
      </w:r>
      <w:r w:rsidR="008C1DB2" w:rsidRPr="00C05A79">
        <w:rPr>
          <w:rFonts w:asciiTheme="minorHAnsi" w:hAnsiTheme="minorHAnsi" w:cstheme="minorHAnsi"/>
          <w:sz w:val="18"/>
          <w:szCs w:val="18"/>
        </w:rPr>
        <w:t> </w:t>
      </w:r>
      <w:hyperlink r:id="rId4" w:history="1">
        <w:r w:rsidR="008C1DB2" w:rsidRPr="00C05A79">
          <w:rPr>
            <w:rStyle w:val="Hyperlink"/>
            <w:rFonts w:asciiTheme="minorHAnsi" w:hAnsiTheme="minorHAnsi" w:cstheme="minorHAnsi"/>
            <w:i/>
            <w:iCs/>
            <w:sz w:val="18"/>
            <w:szCs w:val="18"/>
          </w:rPr>
          <w:t xml:space="preserve">Legal capacity and the right to decide: WHO </w:t>
        </w:r>
        <w:proofErr w:type="spellStart"/>
        <w:r w:rsidR="008C1DB2" w:rsidRPr="00C05A79">
          <w:rPr>
            <w:rStyle w:val="Hyperlink"/>
            <w:rFonts w:asciiTheme="minorHAnsi" w:hAnsiTheme="minorHAnsi" w:cstheme="minorHAnsi"/>
            <w:i/>
            <w:iCs/>
            <w:sz w:val="18"/>
            <w:szCs w:val="18"/>
          </w:rPr>
          <w:t>QualityRights</w:t>
        </w:r>
        <w:proofErr w:type="spellEnd"/>
        <w:r w:rsidR="008C1DB2" w:rsidRPr="00C05A79">
          <w:rPr>
            <w:rStyle w:val="Hyperlink"/>
            <w:rFonts w:asciiTheme="minorHAnsi" w:hAnsiTheme="minorHAnsi" w:cstheme="minorHAnsi"/>
            <w:i/>
            <w:iCs/>
            <w:sz w:val="18"/>
            <w:szCs w:val="18"/>
          </w:rPr>
          <w:t xml:space="preserve"> Core training; Mental health and social services</w:t>
        </w:r>
      </w:hyperlink>
      <w:r w:rsidR="008340DA" w:rsidRPr="00C05A79">
        <w:rPr>
          <w:rFonts w:asciiTheme="minorHAnsi" w:hAnsiTheme="minorHAnsi" w:cstheme="minorHAnsi"/>
          <w:sz w:val="18"/>
          <w:szCs w:val="18"/>
        </w:rPr>
        <w:t>.</w:t>
      </w:r>
      <w:r w:rsidR="008C1DB2" w:rsidRPr="008C1DB2">
        <w:t> </w:t>
      </w:r>
    </w:p>
  </w:footnote>
  <w:footnote w:id="4">
    <w:p w14:paraId="52F45827" w14:textId="400281AC" w:rsidR="00813CCC" w:rsidRPr="00C05A79" w:rsidRDefault="00BC45D5">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t>
      </w:r>
      <w:hyperlink r:id="rId5" w:history="1">
        <w:r w:rsidR="00813CCC" w:rsidRPr="00C05A79">
          <w:rPr>
            <w:rStyle w:val="Hyperlink"/>
            <w:rFonts w:asciiTheme="minorHAnsi" w:hAnsiTheme="minorHAnsi" w:cstheme="minorHAnsi"/>
            <w:sz w:val="18"/>
            <w:szCs w:val="18"/>
          </w:rPr>
          <w:t>https://www.hi.org/sn_uploads/document/Rehabilitation-through-a-gender-lens-ReLABHS-Factsheet-2021.pdf</w:t>
        </w:r>
      </w:hyperlink>
    </w:p>
  </w:footnote>
  <w:footnote w:id="5">
    <w:p w14:paraId="2D59723B" w14:textId="59CAAE62" w:rsidR="009A76D8" w:rsidRPr="00C05A79" w:rsidRDefault="009A76D8">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w:t>
      </w:r>
      <w:r w:rsidR="00C53CFF" w:rsidRPr="00C05A79">
        <w:rPr>
          <w:rFonts w:asciiTheme="minorHAnsi" w:hAnsiTheme="minorHAnsi" w:cstheme="minorHAnsi"/>
          <w:sz w:val="18"/>
          <w:szCs w:val="18"/>
        </w:rPr>
        <w:t>orld Health Organization (WHO)</w:t>
      </w:r>
      <w:r w:rsidRPr="00C05A79">
        <w:rPr>
          <w:rFonts w:asciiTheme="minorHAnsi" w:hAnsiTheme="minorHAnsi" w:cstheme="minorHAnsi"/>
          <w:sz w:val="18"/>
          <w:szCs w:val="18"/>
        </w:rPr>
        <w:t xml:space="preserve"> (2022) </w:t>
      </w:r>
      <w:hyperlink r:id="rId6" w:history="1">
        <w:r w:rsidRPr="00C05A79">
          <w:rPr>
            <w:rStyle w:val="Hyperlink"/>
            <w:rFonts w:asciiTheme="minorHAnsi" w:hAnsiTheme="minorHAnsi" w:cstheme="minorHAnsi"/>
            <w:i/>
            <w:iCs/>
            <w:sz w:val="18"/>
            <w:szCs w:val="18"/>
          </w:rPr>
          <w:t xml:space="preserve">Global </w:t>
        </w:r>
        <w:r w:rsidR="00263233" w:rsidRPr="00C05A79">
          <w:rPr>
            <w:rStyle w:val="Hyperlink"/>
            <w:rFonts w:asciiTheme="minorHAnsi" w:hAnsiTheme="minorHAnsi" w:cstheme="minorHAnsi"/>
            <w:i/>
            <w:iCs/>
            <w:sz w:val="18"/>
            <w:szCs w:val="18"/>
          </w:rPr>
          <w:t>r</w:t>
        </w:r>
        <w:r w:rsidRPr="00C05A79">
          <w:rPr>
            <w:rStyle w:val="Hyperlink"/>
            <w:rFonts w:asciiTheme="minorHAnsi" w:hAnsiTheme="minorHAnsi" w:cstheme="minorHAnsi"/>
            <w:i/>
            <w:iCs/>
            <w:sz w:val="18"/>
            <w:szCs w:val="18"/>
          </w:rPr>
          <w:t xml:space="preserve">eport on </w:t>
        </w:r>
        <w:r w:rsidR="00263233" w:rsidRPr="00C05A79">
          <w:rPr>
            <w:rStyle w:val="Hyperlink"/>
            <w:rFonts w:asciiTheme="minorHAnsi" w:hAnsiTheme="minorHAnsi" w:cstheme="minorHAnsi"/>
            <w:i/>
            <w:iCs/>
            <w:sz w:val="18"/>
            <w:szCs w:val="18"/>
          </w:rPr>
          <w:t>h</w:t>
        </w:r>
        <w:r w:rsidRPr="00C05A79">
          <w:rPr>
            <w:rStyle w:val="Hyperlink"/>
            <w:rFonts w:asciiTheme="minorHAnsi" w:hAnsiTheme="minorHAnsi" w:cstheme="minorHAnsi"/>
            <w:i/>
            <w:iCs/>
            <w:sz w:val="18"/>
            <w:szCs w:val="18"/>
          </w:rPr>
          <w:t xml:space="preserve">ealth </w:t>
        </w:r>
        <w:r w:rsidR="00263233" w:rsidRPr="00C05A79">
          <w:rPr>
            <w:rStyle w:val="Hyperlink"/>
            <w:rFonts w:asciiTheme="minorHAnsi" w:hAnsiTheme="minorHAnsi" w:cstheme="minorHAnsi"/>
            <w:i/>
            <w:iCs/>
            <w:sz w:val="18"/>
            <w:szCs w:val="18"/>
          </w:rPr>
          <w:t>e</w:t>
        </w:r>
        <w:r w:rsidRPr="00C05A79">
          <w:rPr>
            <w:rStyle w:val="Hyperlink"/>
            <w:rFonts w:asciiTheme="minorHAnsi" w:hAnsiTheme="minorHAnsi" w:cstheme="minorHAnsi"/>
            <w:i/>
            <w:iCs/>
            <w:sz w:val="18"/>
            <w:szCs w:val="18"/>
          </w:rPr>
          <w:t xml:space="preserve">quity for </w:t>
        </w:r>
        <w:r w:rsidR="00263233" w:rsidRPr="00C05A79">
          <w:rPr>
            <w:rStyle w:val="Hyperlink"/>
            <w:rFonts w:asciiTheme="minorHAnsi" w:hAnsiTheme="minorHAnsi" w:cstheme="minorHAnsi"/>
            <w:i/>
            <w:iCs/>
            <w:sz w:val="18"/>
            <w:szCs w:val="18"/>
          </w:rPr>
          <w:t>p</w:t>
        </w:r>
        <w:r w:rsidRPr="00C05A79">
          <w:rPr>
            <w:rStyle w:val="Hyperlink"/>
            <w:rFonts w:asciiTheme="minorHAnsi" w:hAnsiTheme="minorHAnsi" w:cstheme="minorHAnsi"/>
            <w:i/>
            <w:iCs/>
            <w:sz w:val="18"/>
            <w:szCs w:val="18"/>
          </w:rPr>
          <w:t xml:space="preserve">ersons with </w:t>
        </w:r>
        <w:r w:rsidR="00263233" w:rsidRPr="00C05A79">
          <w:rPr>
            <w:rStyle w:val="Hyperlink"/>
            <w:rFonts w:asciiTheme="minorHAnsi" w:hAnsiTheme="minorHAnsi" w:cstheme="minorHAnsi"/>
            <w:i/>
            <w:iCs/>
            <w:sz w:val="18"/>
            <w:szCs w:val="18"/>
          </w:rPr>
          <w:t>d</w:t>
        </w:r>
        <w:r w:rsidRPr="00C05A79">
          <w:rPr>
            <w:rStyle w:val="Hyperlink"/>
            <w:rFonts w:asciiTheme="minorHAnsi" w:hAnsiTheme="minorHAnsi" w:cstheme="minorHAnsi"/>
            <w:i/>
            <w:iCs/>
            <w:sz w:val="18"/>
            <w:szCs w:val="18"/>
          </w:rPr>
          <w:t>isabilities</w:t>
        </w:r>
      </w:hyperlink>
      <w:r w:rsidRPr="00C05A79">
        <w:rPr>
          <w:rFonts w:asciiTheme="minorHAnsi" w:hAnsiTheme="minorHAnsi" w:cstheme="minorHAnsi"/>
          <w:sz w:val="18"/>
          <w:szCs w:val="18"/>
        </w:rPr>
        <w:t>, p.112</w:t>
      </w:r>
      <w:r w:rsidR="00371CF0" w:rsidRPr="00C05A79">
        <w:rPr>
          <w:rFonts w:asciiTheme="minorHAnsi" w:hAnsiTheme="minorHAnsi" w:cstheme="minorHAnsi"/>
          <w:sz w:val="18"/>
          <w:szCs w:val="18"/>
        </w:rPr>
        <w:t>.</w:t>
      </w:r>
    </w:p>
  </w:footnote>
  <w:footnote w:id="6">
    <w:p w14:paraId="6126AB18" w14:textId="4441DF76" w:rsidR="006E2C7A" w:rsidRPr="00C05A79" w:rsidRDefault="006E2C7A">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Hunt X., Bradshaw M., Vogel S.L., Encalada A.V., Eksteen S., Schneider M., Chunga K., Swartz L. ‘</w:t>
      </w:r>
      <w:hyperlink r:id="rId7" w:history="1">
        <w:r w:rsidRPr="00C05A79">
          <w:rPr>
            <w:rStyle w:val="Hyperlink"/>
            <w:rFonts w:asciiTheme="minorHAnsi" w:hAnsiTheme="minorHAnsi" w:cstheme="minorHAnsi"/>
            <w:sz w:val="18"/>
            <w:szCs w:val="18"/>
          </w:rPr>
          <w:t>Community Support for Persons with Disabilities in Low- and Middle-Income Countries: A Scoping Review</w:t>
        </w:r>
      </w:hyperlink>
      <w:r w:rsidRPr="00C05A79">
        <w:rPr>
          <w:rFonts w:asciiTheme="minorHAnsi" w:hAnsiTheme="minorHAnsi" w:cstheme="minorHAnsi"/>
          <w:sz w:val="18"/>
          <w:szCs w:val="18"/>
        </w:rPr>
        <w:t xml:space="preserve">’ (2022) Int J Environ Res Public Health. 2022 Jul 6;19(14):8269. </w:t>
      </w:r>
      <w:proofErr w:type="spellStart"/>
      <w:r w:rsidRPr="00C05A79">
        <w:rPr>
          <w:rFonts w:asciiTheme="minorHAnsi" w:hAnsiTheme="minorHAnsi" w:cstheme="minorHAnsi"/>
          <w:sz w:val="18"/>
          <w:szCs w:val="18"/>
        </w:rPr>
        <w:t>doi</w:t>
      </w:r>
      <w:proofErr w:type="spellEnd"/>
      <w:r w:rsidRPr="00C05A79">
        <w:rPr>
          <w:rFonts w:asciiTheme="minorHAnsi" w:hAnsiTheme="minorHAnsi" w:cstheme="minorHAnsi"/>
          <w:sz w:val="18"/>
          <w:szCs w:val="18"/>
        </w:rPr>
        <w:t>: 10.3390/ijerph19148269. PMID: 35886121; PMCID: PMC9319493.</w:t>
      </w:r>
    </w:p>
  </w:footnote>
  <w:footnote w:id="7">
    <w:p w14:paraId="78D6C7BC" w14:textId="3179D066" w:rsidR="00FD3CCD" w:rsidRPr="00C05A79" w:rsidRDefault="00FD3CCD">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t>
      </w:r>
      <w:hyperlink r:id="rId8" w:history="1">
        <w:r w:rsidRPr="00C05A79">
          <w:rPr>
            <w:rStyle w:val="Hyperlink"/>
            <w:rFonts w:asciiTheme="minorHAnsi" w:hAnsiTheme="minorHAnsi" w:cstheme="minorHAnsi"/>
            <w:sz w:val="18"/>
            <w:szCs w:val="18"/>
          </w:rPr>
          <w:t>https://relabhs.org/wp-content/uploads/2023/12/Article-ReLAB-HS-Rehabilitation-in-UHC_Final-Formatted-.pdf</w:t>
        </w:r>
      </w:hyperlink>
    </w:p>
  </w:footnote>
  <w:footnote w:id="8">
    <w:p w14:paraId="304295FC" w14:textId="231FC860" w:rsidR="00284C3F" w:rsidRPr="00C05A79" w:rsidRDefault="00284C3F">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WHO (2022), </w:t>
      </w:r>
      <w:hyperlink r:id="rId9" w:history="1">
        <w:r w:rsidR="004A6912">
          <w:rPr>
            <w:rStyle w:val="Hyperlink"/>
            <w:rFonts w:asciiTheme="minorHAnsi" w:hAnsiTheme="minorHAnsi" w:cstheme="minorHAnsi"/>
            <w:i/>
            <w:iCs/>
            <w:sz w:val="18"/>
            <w:szCs w:val="18"/>
          </w:rPr>
          <w:t>op cit.</w:t>
        </w:r>
      </w:hyperlink>
      <w:r w:rsidRPr="00C05A79">
        <w:rPr>
          <w:rFonts w:asciiTheme="minorHAnsi" w:hAnsiTheme="minorHAnsi" w:cstheme="minorHAnsi"/>
          <w:sz w:val="18"/>
          <w:szCs w:val="18"/>
        </w:rPr>
        <w:t>, p.202.</w:t>
      </w:r>
    </w:p>
  </w:footnote>
  <w:footnote w:id="9">
    <w:p w14:paraId="0FF6C346" w14:textId="2285183C" w:rsidR="00A20EE7" w:rsidRPr="00C05A79" w:rsidRDefault="00A20EE7">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t>
      </w:r>
      <w:r w:rsidR="007D0FF9" w:rsidRPr="00C05A79">
        <w:rPr>
          <w:rFonts w:asciiTheme="minorHAnsi" w:hAnsiTheme="minorHAnsi" w:cstheme="minorHAnsi"/>
          <w:sz w:val="18"/>
          <w:szCs w:val="18"/>
        </w:rPr>
        <w:t xml:space="preserve">Funk and Bold, </w:t>
      </w:r>
      <w:hyperlink r:id="rId10" w:anchor="r4" w:history="1">
        <w:r w:rsidR="007D0FF9" w:rsidRPr="00C05A79">
          <w:rPr>
            <w:rStyle w:val="Hyperlink"/>
            <w:rFonts w:asciiTheme="minorHAnsi" w:hAnsiTheme="minorHAnsi" w:cstheme="minorHAnsi"/>
            <w:i/>
            <w:iCs/>
            <w:sz w:val="18"/>
            <w:szCs w:val="18"/>
          </w:rPr>
          <w:t>op cit</w:t>
        </w:r>
      </w:hyperlink>
      <w:r w:rsidR="005A5BFC" w:rsidRPr="00C05A79">
        <w:rPr>
          <w:rFonts w:asciiTheme="minorHAnsi" w:hAnsiTheme="minorHAnsi" w:cstheme="minorHAnsi"/>
          <w:sz w:val="18"/>
          <w:szCs w:val="18"/>
        </w:rPr>
        <w:t>.</w:t>
      </w:r>
    </w:p>
  </w:footnote>
  <w:footnote w:id="10">
    <w:p w14:paraId="533F7DE2" w14:textId="77777777" w:rsidR="00FC0318" w:rsidRPr="00C05A79" w:rsidRDefault="00FC0318" w:rsidP="00FC0318">
      <w:pPr>
        <w:pStyle w:val="FootnoteText"/>
        <w:rPr>
          <w:rFonts w:asciiTheme="minorHAnsi" w:hAnsiTheme="minorHAnsi" w:cstheme="minorHAnsi"/>
          <w:b/>
          <w:bCs/>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WHO (2021) </w:t>
      </w:r>
      <w:hyperlink r:id="rId11" w:history="1">
        <w:r w:rsidRPr="00C05A79">
          <w:rPr>
            <w:rStyle w:val="Hyperlink"/>
            <w:rFonts w:asciiTheme="minorHAnsi" w:hAnsiTheme="minorHAnsi" w:cstheme="minorHAnsi"/>
            <w:i/>
            <w:iCs/>
            <w:sz w:val="18"/>
            <w:szCs w:val="18"/>
          </w:rPr>
          <w:t>Guidance on community mental health services: Promoting person-centred and rights-based approaches</w:t>
        </w:r>
      </w:hyperlink>
      <w:r w:rsidRPr="00C05A79">
        <w:rPr>
          <w:rFonts w:asciiTheme="minorHAnsi" w:hAnsiTheme="minorHAnsi" w:cstheme="minorHAnsi"/>
          <w:sz w:val="18"/>
          <w:szCs w:val="18"/>
        </w:rPr>
        <w:t>.</w:t>
      </w:r>
    </w:p>
  </w:footnote>
  <w:footnote w:id="11">
    <w:p w14:paraId="3E9723DA" w14:textId="1A5680BF" w:rsidR="00230210" w:rsidRPr="00D5461E" w:rsidRDefault="00230210">
      <w:pPr>
        <w:pStyle w:val="FootnoteText"/>
        <w:rPr>
          <w:rFonts w:asciiTheme="minorHAnsi" w:hAnsiTheme="minorHAnsi" w:cstheme="minorHAnsi"/>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WHO (2022),</w:t>
      </w:r>
      <w:r w:rsidRPr="00C05A79">
        <w:rPr>
          <w:rFonts w:asciiTheme="minorHAnsi" w:hAnsiTheme="minorHAnsi" w:cstheme="minorHAnsi"/>
          <w:i/>
          <w:iCs/>
          <w:sz w:val="18"/>
          <w:szCs w:val="18"/>
        </w:rPr>
        <w:t xml:space="preserve"> </w:t>
      </w:r>
      <w:hyperlink r:id="rId12" w:history="1">
        <w:r w:rsidRPr="00C05A79">
          <w:rPr>
            <w:rStyle w:val="Hyperlink"/>
            <w:rFonts w:asciiTheme="minorHAnsi" w:hAnsiTheme="minorHAnsi" w:cstheme="minorHAnsi"/>
            <w:i/>
            <w:iCs/>
            <w:sz w:val="18"/>
            <w:szCs w:val="18"/>
          </w:rPr>
          <w:t>op cit.</w:t>
        </w:r>
      </w:hyperlink>
      <w:r w:rsidRPr="00C05A79">
        <w:rPr>
          <w:rFonts w:asciiTheme="minorHAnsi" w:hAnsiTheme="minorHAnsi" w:cstheme="minorHAnsi"/>
          <w:sz w:val="18"/>
          <w:szCs w:val="18"/>
        </w:rPr>
        <w:t>, p.202</w:t>
      </w:r>
      <w:r w:rsidR="003D22F0" w:rsidRPr="00C05A79">
        <w:rPr>
          <w:rFonts w:asciiTheme="minorHAnsi" w:hAnsiTheme="minorHAnsi" w:cstheme="minorHAnsi"/>
          <w:sz w:val="18"/>
          <w:szCs w:val="18"/>
        </w:rPr>
        <w:t xml:space="preserve">, citing </w:t>
      </w:r>
      <w:proofErr w:type="spellStart"/>
      <w:r w:rsidR="003D22F0" w:rsidRPr="00C05A79">
        <w:rPr>
          <w:rFonts w:asciiTheme="minorHAnsi" w:hAnsiTheme="minorHAnsi" w:cstheme="minorHAnsi"/>
          <w:sz w:val="18"/>
          <w:szCs w:val="18"/>
        </w:rPr>
        <w:t>Ministerio</w:t>
      </w:r>
      <w:proofErr w:type="spellEnd"/>
      <w:r w:rsidR="003D22F0" w:rsidRPr="00C05A79">
        <w:rPr>
          <w:rFonts w:asciiTheme="minorHAnsi" w:hAnsiTheme="minorHAnsi" w:cstheme="minorHAnsi"/>
          <w:sz w:val="18"/>
          <w:szCs w:val="18"/>
        </w:rPr>
        <w:t xml:space="preserve"> de Salud de Argentina (2021) </w:t>
      </w:r>
      <w:proofErr w:type="spellStart"/>
      <w:r w:rsidR="003D22F0" w:rsidRPr="00C05A79">
        <w:rPr>
          <w:rFonts w:asciiTheme="minorHAnsi" w:hAnsiTheme="minorHAnsi" w:cstheme="minorHAnsi"/>
          <w:i/>
          <w:iCs/>
          <w:sz w:val="18"/>
          <w:szCs w:val="18"/>
        </w:rPr>
        <w:t>Monitoreo</w:t>
      </w:r>
      <w:proofErr w:type="spellEnd"/>
      <w:r w:rsidR="003D22F0" w:rsidRPr="00C05A79">
        <w:rPr>
          <w:rFonts w:asciiTheme="minorHAnsi" w:hAnsiTheme="minorHAnsi" w:cstheme="minorHAnsi"/>
          <w:i/>
          <w:iCs/>
          <w:sz w:val="18"/>
          <w:szCs w:val="18"/>
        </w:rPr>
        <w:t xml:space="preserve"> de </w:t>
      </w:r>
      <w:proofErr w:type="spellStart"/>
      <w:r w:rsidR="003D22F0" w:rsidRPr="00C05A79">
        <w:rPr>
          <w:rFonts w:asciiTheme="minorHAnsi" w:hAnsiTheme="minorHAnsi" w:cstheme="minorHAnsi"/>
          <w:i/>
          <w:iCs/>
          <w:sz w:val="18"/>
          <w:szCs w:val="18"/>
        </w:rPr>
        <w:t>los</w:t>
      </w:r>
      <w:proofErr w:type="spellEnd"/>
      <w:r w:rsidR="003D22F0" w:rsidRPr="00C05A79">
        <w:rPr>
          <w:rFonts w:asciiTheme="minorHAnsi" w:hAnsiTheme="minorHAnsi" w:cstheme="minorHAnsi"/>
          <w:i/>
          <w:iCs/>
          <w:sz w:val="18"/>
          <w:szCs w:val="18"/>
        </w:rPr>
        <w:t xml:space="preserve"> </w:t>
      </w:r>
      <w:proofErr w:type="spellStart"/>
      <w:r w:rsidR="003D22F0" w:rsidRPr="00C05A79">
        <w:rPr>
          <w:rFonts w:asciiTheme="minorHAnsi" w:hAnsiTheme="minorHAnsi" w:cstheme="minorHAnsi"/>
          <w:i/>
          <w:iCs/>
          <w:sz w:val="18"/>
          <w:szCs w:val="18"/>
        </w:rPr>
        <w:t>procesos</w:t>
      </w:r>
      <w:proofErr w:type="spellEnd"/>
      <w:r w:rsidR="003D22F0" w:rsidRPr="00C05A79">
        <w:rPr>
          <w:rFonts w:asciiTheme="minorHAnsi" w:hAnsiTheme="minorHAnsi" w:cstheme="minorHAnsi"/>
          <w:i/>
          <w:iCs/>
          <w:sz w:val="18"/>
          <w:szCs w:val="18"/>
        </w:rPr>
        <w:t xml:space="preserve"> de </w:t>
      </w:r>
      <w:proofErr w:type="spellStart"/>
      <w:r w:rsidR="003D22F0" w:rsidRPr="00C05A79">
        <w:rPr>
          <w:rFonts w:asciiTheme="minorHAnsi" w:hAnsiTheme="minorHAnsi" w:cstheme="minorHAnsi"/>
          <w:i/>
          <w:iCs/>
          <w:sz w:val="18"/>
          <w:szCs w:val="18"/>
        </w:rPr>
        <w:t>atencion</w:t>
      </w:r>
      <w:proofErr w:type="spellEnd"/>
      <w:r w:rsidR="003D22F0" w:rsidRPr="00C05A79">
        <w:rPr>
          <w:rFonts w:asciiTheme="minorHAnsi" w:hAnsiTheme="minorHAnsi" w:cstheme="minorHAnsi"/>
          <w:i/>
          <w:iCs/>
          <w:sz w:val="18"/>
          <w:szCs w:val="18"/>
        </w:rPr>
        <w:t xml:space="preserve"> y de </w:t>
      </w:r>
      <w:proofErr w:type="spellStart"/>
      <w:r w:rsidR="003D22F0" w:rsidRPr="00C05A79">
        <w:rPr>
          <w:rFonts w:asciiTheme="minorHAnsi" w:hAnsiTheme="minorHAnsi" w:cstheme="minorHAnsi"/>
          <w:i/>
          <w:iCs/>
          <w:sz w:val="18"/>
          <w:szCs w:val="18"/>
        </w:rPr>
        <w:t>adecuacion</w:t>
      </w:r>
      <w:proofErr w:type="spellEnd"/>
      <w:r w:rsidR="003D22F0" w:rsidRPr="00C05A79">
        <w:rPr>
          <w:rFonts w:asciiTheme="minorHAnsi" w:hAnsiTheme="minorHAnsi" w:cstheme="minorHAnsi"/>
          <w:i/>
          <w:iCs/>
          <w:sz w:val="18"/>
          <w:szCs w:val="18"/>
        </w:rPr>
        <w:t xml:space="preserve"> de </w:t>
      </w:r>
      <w:proofErr w:type="spellStart"/>
      <w:r w:rsidR="003D22F0" w:rsidRPr="00C05A79">
        <w:rPr>
          <w:rFonts w:asciiTheme="minorHAnsi" w:hAnsiTheme="minorHAnsi" w:cstheme="minorHAnsi"/>
          <w:i/>
          <w:iCs/>
          <w:sz w:val="18"/>
          <w:szCs w:val="18"/>
        </w:rPr>
        <w:t>los</w:t>
      </w:r>
      <w:proofErr w:type="spellEnd"/>
      <w:r w:rsidR="003D22F0" w:rsidRPr="00C05A79">
        <w:rPr>
          <w:rFonts w:asciiTheme="minorHAnsi" w:hAnsiTheme="minorHAnsi" w:cstheme="minorHAnsi"/>
          <w:i/>
          <w:iCs/>
          <w:sz w:val="18"/>
          <w:szCs w:val="18"/>
        </w:rPr>
        <w:t xml:space="preserve"> </w:t>
      </w:r>
      <w:proofErr w:type="spellStart"/>
      <w:r w:rsidR="003D22F0" w:rsidRPr="00C05A79">
        <w:rPr>
          <w:rFonts w:asciiTheme="minorHAnsi" w:hAnsiTheme="minorHAnsi" w:cstheme="minorHAnsi"/>
          <w:i/>
          <w:iCs/>
          <w:sz w:val="18"/>
          <w:szCs w:val="18"/>
        </w:rPr>
        <w:t>hospitales</w:t>
      </w:r>
      <w:proofErr w:type="spellEnd"/>
      <w:r w:rsidR="003D22F0" w:rsidRPr="00C05A79">
        <w:rPr>
          <w:rFonts w:asciiTheme="minorHAnsi" w:hAnsiTheme="minorHAnsi" w:cstheme="minorHAnsi"/>
          <w:i/>
          <w:iCs/>
          <w:sz w:val="18"/>
          <w:szCs w:val="18"/>
        </w:rPr>
        <w:t xml:space="preserve"> </w:t>
      </w:r>
      <w:proofErr w:type="spellStart"/>
      <w:r w:rsidR="003D22F0" w:rsidRPr="00C05A79">
        <w:rPr>
          <w:rFonts w:asciiTheme="minorHAnsi" w:hAnsiTheme="minorHAnsi" w:cstheme="minorHAnsi"/>
          <w:i/>
          <w:iCs/>
          <w:sz w:val="18"/>
          <w:szCs w:val="18"/>
        </w:rPr>
        <w:t>neuropsiquiatricos</w:t>
      </w:r>
      <w:proofErr w:type="spellEnd"/>
      <w:r w:rsidR="003D22F0" w:rsidRPr="00C05A79">
        <w:rPr>
          <w:rFonts w:asciiTheme="minorHAnsi" w:hAnsiTheme="minorHAnsi" w:cstheme="minorHAnsi"/>
          <w:i/>
          <w:iCs/>
          <w:sz w:val="18"/>
          <w:szCs w:val="18"/>
        </w:rPr>
        <w:t xml:space="preserve"> </w:t>
      </w:r>
      <w:proofErr w:type="spellStart"/>
      <w:r w:rsidR="003D22F0" w:rsidRPr="00C05A79">
        <w:rPr>
          <w:rFonts w:asciiTheme="minorHAnsi" w:hAnsiTheme="minorHAnsi" w:cstheme="minorHAnsi"/>
          <w:i/>
          <w:iCs/>
          <w:sz w:val="18"/>
          <w:szCs w:val="18"/>
        </w:rPr>
        <w:t>publicos</w:t>
      </w:r>
      <w:proofErr w:type="spellEnd"/>
      <w:r w:rsidR="003D22F0" w:rsidRPr="00C05A79">
        <w:rPr>
          <w:rFonts w:asciiTheme="minorHAnsi" w:hAnsiTheme="minorHAnsi" w:cstheme="minorHAnsi"/>
          <w:i/>
          <w:iCs/>
          <w:sz w:val="18"/>
          <w:szCs w:val="18"/>
        </w:rPr>
        <w:t xml:space="preserve"> de la </w:t>
      </w:r>
      <w:proofErr w:type="spellStart"/>
      <w:r w:rsidR="003D22F0" w:rsidRPr="00C05A79">
        <w:rPr>
          <w:rFonts w:asciiTheme="minorHAnsi" w:hAnsiTheme="minorHAnsi" w:cstheme="minorHAnsi"/>
          <w:i/>
          <w:iCs/>
          <w:sz w:val="18"/>
          <w:szCs w:val="18"/>
        </w:rPr>
        <w:t>provincia</w:t>
      </w:r>
      <w:proofErr w:type="spellEnd"/>
      <w:r w:rsidR="003D22F0" w:rsidRPr="00C05A79">
        <w:rPr>
          <w:rFonts w:asciiTheme="minorHAnsi" w:hAnsiTheme="minorHAnsi" w:cstheme="minorHAnsi"/>
          <w:i/>
          <w:iCs/>
          <w:sz w:val="18"/>
          <w:szCs w:val="18"/>
        </w:rPr>
        <w:t xml:space="preserve"> de Buenos Aires</w:t>
      </w:r>
      <w:r w:rsidR="003D22F0" w:rsidRPr="00C05A79">
        <w:rPr>
          <w:rFonts w:asciiTheme="minorHAnsi" w:hAnsiTheme="minorHAnsi" w:cstheme="minorHAnsi"/>
          <w:sz w:val="18"/>
          <w:szCs w:val="18"/>
        </w:rPr>
        <w:t>, Informe Año 2021.</w:t>
      </w:r>
    </w:p>
  </w:footnote>
  <w:footnote w:id="12">
    <w:p w14:paraId="5D0DAC60" w14:textId="76467807" w:rsidR="00C225B2" w:rsidRPr="00C05A79" w:rsidRDefault="00C225B2">
      <w:pPr>
        <w:pStyle w:val="FootnoteText"/>
        <w:rPr>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WHO (2022),</w:t>
      </w:r>
      <w:r w:rsidRPr="00C05A79">
        <w:rPr>
          <w:rFonts w:asciiTheme="minorHAnsi" w:hAnsiTheme="minorHAnsi" w:cstheme="minorHAnsi"/>
          <w:i/>
          <w:iCs/>
          <w:sz w:val="18"/>
          <w:szCs w:val="18"/>
        </w:rPr>
        <w:t xml:space="preserve"> </w:t>
      </w:r>
      <w:hyperlink r:id="rId13" w:history="1">
        <w:r w:rsidR="00467E26">
          <w:rPr>
            <w:rStyle w:val="Hyperlink"/>
            <w:rFonts w:asciiTheme="minorHAnsi" w:hAnsiTheme="minorHAnsi" w:cstheme="minorHAnsi"/>
            <w:i/>
            <w:iCs/>
            <w:sz w:val="18"/>
            <w:szCs w:val="18"/>
          </w:rPr>
          <w:t xml:space="preserve">op cit. </w:t>
        </w:r>
      </w:hyperlink>
      <w:r w:rsidRPr="00C05A79">
        <w:rPr>
          <w:rFonts w:asciiTheme="minorHAnsi" w:hAnsiTheme="minorHAnsi" w:cstheme="minorHAnsi"/>
          <w:sz w:val="18"/>
          <w:szCs w:val="18"/>
        </w:rPr>
        <w:t>, p.202.</w:t>
      </w:r>
    </w:p>
  </w:footnote>
  <w:footnote w:id="13">
    <w:p w14:paraId="5612AE69" w14:textId="0DFC3C30" w:rsidR="008E698A" w:rsidRPr="00C05A79" w:rsidRDefault="008E698A">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Funk and Bold (2020), </w:t>
      </w:r>
      <w:hyperlink r:id="rId14" w:anchor="r4" w:history="1">
        <w:r w:rsidRPr="00C05A79">
          <w:rPr>
            <w:rStyle w:val="Hyperlink"/>
            <w:rFonts w:asciiTheme="minorHAnsi" w:hAnsiTheme="minorHAnsi" w:cstheme="minorHAnsi"/>
            <w:i/>
            <w:iCs/>
            <w:sz w:val="18"/>
            <w:szCs w:val="18"/>
          </w:rPr>
          <w:t xml:space="preserve">op </w:t>
        </w:r>
        <w:proofErr w:type="spellStart"/>
        <w:r w:rsidRPr="00C05A79">
          <w:rPr>
            <w:rStyle w:val="Hyperlink"/>
            <w:rFonts w:asciiTheme="minorHAnsi" w:hAnsiTheme="minorHAnsi" w:cstheme="minorHAnsi"/>
            <w:i/>
            <w:iCs/>
            <w:sz w:val="18"/>
            <w:szCs w:val="18"/>
          </w:rPr>
          <w:t>cit</w:t>
        </w:r>
        <w:proofErr w:type="spellEnd"/>
      </w:hyperlink>
      <w:r w:rsidRPr="00C05A79">
        <w:rPr>
          <w:rFonts w:asciiTheme="minorHAnsi" w:hAnsiTheme="minorHAnsi" w:cstheme="minorHAnsi"/>
          <w:sz w:val="18"/>
          <w:szCs w:val="18"/>
        </w:rPr>
        <w:t xml:space="preserve"> . See also</w:t>
      </w:r>
      <w:r w:rsidR="00D24F82" w:rsidRPr="00C05A79">
        <w:rPr>
          <w:rFonts w:asciiTheme="minorHAnsi" w:hAnsiTheme="minorHAnsi" w:cstheme="minorHAnsi"/>
          <w:sz w:val="18"/>
          <w:szCs w:val="18"/>
        </w:rPr>
        <w:t>:</w:t>
      </w:r>
      <w:r w:rsidRPr="00C05A79">
        <w:rPr>
          <w:rFonts w:asciiTheme="minorHAnsi" w:hAnsiTheme="minorHAnsi" w:cstheme="minorHAnsi"/>
          <w:sz w:val="18"/>
          <w:szCs w:val="18"/>
        </w:rPr>
        <w:t xml:space="preserve"> </w:t>
      </w:r>
      <w:r w:rsidR="00D24F82" w:rsidRPr="00C05A79">
        <w:rPr>
          <w:rFonts w:asciiTheme="minorHAnsi" w:hAnsiTheme="minorHAnsi" w:cstheme="minorHAnsi"/>
          <w:sz w:val="18"/>
          <w:szCs w:val="18"/>
        </w:rPr>
        <w:t xml:space="preserve">Mion ABZ, Ventura CAA. ‘The WHO </w:t>
      </w:r>
      <w:proofErr w:type="spellStart"/>
      <w:r w:rsidR="00D24F82" w:rsidRPr="00C05A79">
        <w:rPr>
          <w:rFonts w:asciiTheme="minorHAnsi" w:hAnsiTheme="minorHAnsi" w:cstheme="minorHAnsi"/>
          <w:sz w:val="18"/>
          <w:szCs w:val="18"/>
        </w:rPr>
        <w:t>QualityRights</w:t>
      </w:r>
      <w:proofErr w:type="spellEnd"/>
      <w:r w:rsidR="00D24F82" w:rsidRPr="00C05A79">
        <w:rPr>
          <w:rFonts w:asciiTheme="minorHAnsi" w:hAnsiTheme="minorHAnsi" w:cstheme="minorHAnsi"/>
          <w:sz w:val="18"/>
          <w:szCs w:val="18"/>
        </w:rPr>
        <w:t xml:space="preserve"> Initiative and its use worldwide: A literature review’, </w:t>
      </w:r>
      <w:r w:rsidR="00D24F82" w:rsidRPr="00C05A79">
        <w:rPr>
          <w:rFonts w:asciiTheme="minorHAnsi" w:hAnsiTheme="minorHAnsi" w:cstheme="minorHAnsi"/>
          <w:i/>
          <w:iCs/>
          <w:sz w:val="18"/>
          <w:szCs w:val="18"/>
        </w:rPr>
        <w:t>International Journal of Social Psychiatry</w:t>
      </w:r>
      <w:r w:rsidR="00D24F82" w:rsidRPr="00C05A79">
        <w:rPr>
          <w:rFonts w:asciiTheme="minorHAnsi" w:hAnsiTheme="minorHAnsi" w:cstheme="minorHAnsi"/>
          <w:sz w:val="18"/>
          <w:szCs w:val="18"/>
        </w:rPr>
        <w:t>. 2023;0(0). doi:</w:t>
      </w:r>
      <w:hyperlink r:id="rId15" w:history="1">
        <w:r w:rsidR="00D24F82" w:rsidRPr="00C05A79">
          <w:rPr>
            <w:rStyle w:val="Hyperlink"/>
            <w:rFonts w:asciiTheme="minorHAnsi" w:hAnsiTheme="minorHAnsi" w:cstheme="minorHAnsi"/>
            <w:sz w:val="18"/>
            <w:szCs w:val="18"/>
          </w:rPr>
          <w:t>10.1177/00207640231207580</w:t>
        </w:r>
      </w:hyperlink>
      <w:r w:rsidR="00D24F82" w:rsidRPr="00C05A79">
        <w:rPr>
          <w:rFonts w:asciiTheme="minorHAnsi" w:hAnsiTheme="minorHAnsi" w:cstheme="minorHAnsi"/>
          <w:sz w:val="18"/>
          <w:szCs w:val="18"/>
        </w:rPr>
        <w:t>.</w:t>
      </w:r>
    </w:p>
  </w:footnote>
  <w:footnote w:id="14">
    <w:p w14:paraId="650AC6A1" w14:textId="62E826F0" w:rsidR="002029F6" w:rsidRPr="00C05A79" w:rsidRDefault="002029F6">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WHO</w:t>
      </w:r>
      <w:r w:rsidR="00F80A6B" w:rsidRPr="00C05A79">
        <w:rPr>
          <w:rFonts w:asciiTheme="minorHAnsi" w:hAnsiTheme="minorHAnsi" w:cstheme="minorHAnsi"/>
          <w:sz w:val="18"/>
          <w:szCs w:val="18"/>
        </w:rPr>
        <w:t xml:space="preserve"> (2019) ‘</w:t>
      </w:r>
      <w:hyperlink r:id="rId16" w:history="1">
        <w:r w:rsidR="00F80A6B" w:rsidRPr="00C05A79">
          <w:rPr>
            <w:rStyle w:val="Hyperlink"/>
            <w:rFonts w:asciiTheme="minorHAnsi" w:hAnsiTheme="minorHAnsi" w:cstheme="minorHAnsi"/>
            <w:sz w:val="18"/>
            <w:szCs w:val="18"/>
          </w:rPr>
          <w:t xml:space="preserve">Legal capacity and the right to decide: WHO </w:t>
        </w:r>
        <w:proofErr w:type="spellStart"/>
        <w:r w:rsidR="00F80A6B" w:rsidRPr="00C05A79">
          <w:rPr>
            <w:rStyle w:val="Hyperlink"/>
            <w:rFonts w:asciiTheme="minorHAnsi" w:hAnsiTheme="minorHAnsi" w:cstheme="minorHAnsi"/>
            <w:sz w:val="18"/>
            <w:szCs w:val="18"/>
          </w:rPr>
          <w:t>QualityRights</w:t>
        </w:r>
        <w:proofErr w:type="spellEnd"/>
        <w:r w:rsidR="00F80A6B" w:rsidRPr="00C05A79">
          <w:rPr>
            <w:rStyle w:val="Hyperlink"/>
            <w:rFonts w:asciiTheme="minorHAnsi" w:hAnsiTheme="minorHAnsi" w:cstheme="minorHAnsi"/>
            <w:sz w:val="18"/>
            <w:szCs w:val="18"/>
          </w:rPr>
          <w:t xml:space="preserve"> core training: mental health and social services: course guide’</w:t>
        </w:r>
      </w:hyperlink>
      <w:r w:rsidR="00F80A6B" w:rsidRPr="00C05A79">
        <w:rPr>
          <w:rFonts w:asciiTheme="minorHAnsi" w:hAnsiTheme="minorHAnsi" w:cstheme="minorHAnsi"/>
          <w:sz w:val="18"/>
          <w:szCs w:val="18"/>
        </w:rPr>
        <w:t xml:space="preserve">; </w:t>
      </w:r>
      <w:r w:rsidR="00152F57" w:rsidRPr="00C05A79">
        <w:rPr>
          <w:rFonts w:asciiTheme="minorHAnsi" w:hAnsiTheme="minorHAnsi" w:cstheme="minorHAnsi"/>
          <w:sz w:val="18"/>
          <w:szCs w:val="18"/>
        </w:rPr>
        <w:t>and WHO (20</w:t>
      </w:r>
      <w:r w:rsidR="008A34C5" w:rsidRPr="00C05A79">
        <w:rPr>
          <w:rFonts w:asciiTheme="minorHAnsi" w:hAnsiTheme="minorHAnsi" w:cstheme="minorHAnsi"/>
          <w:sz w:val="18"/>
          <w:szCs w:val="18"/>
        </w:rPr>
        <w:t>1</w:t>
      </w:r>
      <w:r w:rsidR="00152F57" w:rsidRPr="00C05A79">
        <w:rPr>
          <w:rFonts w:asciiTheme="minorHAnsi" w:hAnsiTheme="minorHAnsi" w:cstheme="minorHAnsi"/>
          <w:sz w:val="18"/>
          <w:szCs w:val="18"/>
        </w:rPr>
        <w:t>9) ‘</w:t>
      </w:r>
      <w:hyperlink r:id="rId17" w:history="1">
        <w:r w:rsidR="00152F57" w:rsidRPr="00C05A79">
          <w:rPr>
            <w:rStyle w:val="Hyperlink"/>
            <w:rFonts w:asciiTheme="minorHAnsi" w:hAnsiTheme="minorHAnsi" w:cstheme="minorHAnsi"/>
            <w:sz w:val="18"/>
            <w:szCs w:val="18"/>
          </w:rPr>
          <w:t xml:space="preserve">Supported decision-making and advance planning. WHO </w:t>
        </w:r>
        <w:proofErr w:type="spellStart"/>
        <w:r w:rsidR="00152F57" w:rsidRPr="00C05A79">
          <w:rPr>
            <w:rStyle w:val="Hyperlink"/>
            <w:rFonts w:asciiTheme="minorHAnsi" w:hAnsiTheme="minorHAnsi" w:cstheme="minorHAnsi"/>
            <w:sz w:val="18"/>
            <w:szCs w:val="18"/>
          </w:rPr>
          <w:t>QualityRights</w:t>
        </w:r>
        <w:proofErr w:type="spellEnd"/>
        <w:r w:rsidR="00152F57" w:rsidRPr="00C05A79">
          <w:rPr>
            <w:rStyle w:val="Hyperlink"/>
            <w:rFonts w:asciiTheme="minorHAnsi" w:hAnsiTheme="minorHAnsi" w:cstheme="minorHAnsi"/>
            <w:sz w:val="18"/>
            <w:szCs w:val="18"/>
          </w:rPr>
          <w:t xml:space="preserve"> specialized training. Course guide</w:t>
        </w:r>
      </w:hyperlink>
      <w:r w:rsidR="00152F57" w:rsidRPr="00C05A79">
        <w:rPr>
          <w:rFonts w:asciiTheme="minorHAnsi" w:hAnsiTheme="minorHAnsi" w:cstheme="minorHAnsi"/>
          <w:sz w:val="18"/>
          <w:szCs w:val="18"/>
        </w:rPr>
        <w:t xml:space="preserve">.’; </w:t>
      </w:r>
      <w:r w:rsidR="00F80A6B" w:rsidRPr="00C05A79">
        <w:rPr>
          <w:rFonts w:asciiTheme="minorHAnsi" w:hAnsiTheme="minorHAnsi" w:cstheme="minorHAnsi"/>
          <w:sz w:val="18"/>
          <w:szCs w:val="18"/>
        </w:rPr>
        <w:t xml:space="preserve">see also WHO (2022), </w:t>
      </w:r>
      <w:hyperlink r:id="rId18" w:history="1">
        <w:r w:rsidR="00F80A6B" w:rsidRPr="00C05A79">
          <w:rPr>
            <w:rStyle w:val="Hyperlink"/>
            <w:rFonts w:asciiTheme="minorHAnsi" w:hAnsiTheme="minorHAnsi" w:cstheme="minorHAnsi"/>
            <w:i/>
            <w:iCs/>
            <w:sz w:val="18"/>
            <w:szCs w:val="18"/>
          </w:rPr>
          <w:t>op cit.</w:t>
        </w:r>
      </w:hyperlink>
      <w:r w:rsidR="00F80A6B" w:rsidRPr="00C05A79">
        <w:rPr>
          <w:rFonts w:asciiTheme="minorHAnsi" w:hAnsiTheme="minorHAnsi" w:cstheme="minorHAnsi"/>
          <w:sz w:val="18"/>
          <w:szCs w:val="18"/>
        </w:rPr>
        <w:t>, p.171.</w:t>
      </w:r>
    </w:p>
  </w:footnote>
  <w:footnote w:id="15">
    <w:p w14:paraId="3E5718F4" w14:textId="77777777" w:rsidR="008374F9" w:rsidRPr="00C05A79" w:rsidRDefault="008374F9" w:rsidP="008374F9">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Australian Government Department of Health and Aged Care (2021), </w:t>
      </w:r>
      <w:hyperlink r:id="rId19" w:history="1">
        <w:r w:rsidRPr="00C05A79">
          <w:rPr>
            <w:rStyle w:val="Hyperlink"/>
            <w:rFonts w:asciiTheme="minorHAnsi" w:hAnsiTheme="minorHAnsi" w:cstheme="minorHAnsi"/>
            <w:i/>
            <w:iCs/>
            <w:sz w:val="18"/>
            <w:szCs w:val="18"/>
          </w:rPr>
          <w:t xml:space="preserve">National roadmap for improving the health of people with intellectual </w:t>
        </w:r>
        <w:r w:rsidRPr="00C05A79">
          <w:rPr>
            <w:rStyle w:val="Hyperlink"/>
            <w:rFonts w:asciiTheme="minorHAnsi" w:hAnsiTheme="minorHAnsi" w:cstheme="minorHAnsi"/>
            <w:sz w:val="18"/>
            <w:szCs w:val="18"/>
          </w:rPr>
          <w:t>disability</w:t>
        </w:r>
      </w:hyperlink>
      <w:r w:rsidRPr="00C05A79">
        <w:rPr>
          <w:rFonts w:asciiTheme="minorHAnsi" w:hAnsiTheme="minorHAnsi" w:cstheme="minorHAnsi"/>
          <w:sz w:val="18"/>
          <w:szCs w:val="18"/>
        </w:rPr>
        <w:t xml:space="preserve">; cited in WHO (2022) </w:t>
      </w:r>
      <w:hyperlink r:id="rId20" w:history="1">
        <w:r w:rsidRPr="00C05A79">
          <w:rPr>
            <w:rStyle w:val="Hyperlink"/>
            <w:rFonts w:asciiTheme="minorHAnsi" w:hAnsiTheme="minorHAnsi" w:cstheme="minorHAnsi"/>
            <w:i/>
            <w:iCs/>
            <w:sz w:val="18"/>
            <w:szCs w:val="18"/>
          </w:rPr>
          <w:t>op cit</w:t>
        </w:r>
      </w:hyperlink>
      <w:r w:rsidRPr="00C05A79">
        <w:rPr>
          <w:rFonts w:asciiTheme="minorHAnsi" w:hAnsiTheme="minorHAnsi" w:cstheme="minorHAnsi"/>
          <w:i/>
          <w:iCs/>
          <w:sz w:val="18"/>
          <w:szCs w:val="18"/>
        </w:rPr>
        <w:t xml:space="preserve">., </w:t>
      </w:r>
      <w:r w:rsidRPr="00C05A79">
        <w:rPr>
          <w:rFonts w:asciiTheme="minorHAnsi" w:hAnsiTheme="minorHAnsi" w:cstheme="minorHAnsi"/>
          <w:sz w:val="18"/>
          <w:szCs w:val="18"/>
        </w:rPr>
        <w:t>p.71.</w:t>
      </w:r>
    </w:p>
  </w:footnote>
  <w:footnote w:id="16">
    <w:p w14:paraId="2721018A" w14:textId="7C5617D4" w:rsidR="005E4857" w:rsidRDefault="005E4857">
      <w:pPr>
        <w:pStyle w:val="FootnoteText"/>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WHO (</w:t>
      </w:r>
      <w:r w:rsidR="00123BCB" w:rsidRPr="00C05A79">
        <w:rPr>
          <w:rFonts w:asciiTheme="minorHAnsi" w:hAnsiTheme="minorHAnsi" w:cstheme="minorHAnsi"/>
          <w:sz w:val="18"/>
          <w:szCs w:val="18"/>
        </w:rPr>
        <w:t>2019) ‘</w:t>
      </w:r>
      <w:proofErr w:type="spellStart"/>
      <w:r w:rsidR="00C93352" w:rsidRPr="00C05A79">
        <w:rPr>
          <w:rFonts w:asciiTheme="minorHAnsi" w:hAnsiTheme="minorHAnsi" w:cstheme="minorHAnsi"/>
          <w:sz w:val="18"/>
          <w:szCs w:val="18"/>
        </w:rPr>
        <w:fldChar w:fldCharType="begin"/>
      </w:r>
      <w:r w:rsidR="00C93352" w:rsidRPr="00C05A79">
        <w:rPr>
          <w:rFonts w:asciiTheme="minorHAnsi" w:hAnsiTheme="minorHAnsi" w:cstheme="minorHAnsi"/>
          <w:sz w:val="18"/>
          <w:szCs w:val="18"/>
        </w:rPr>
        <w:instrText>HYPERLINK "https://www.who.int/publications/i/item/9789241515863"</w:instrText>
      </w:r>
      <w:r w:rsidR="00C93352" w:rsidRPr="00C05A79">
        <w:rPr>
          <w:rFonts w:asciiTheme="minorHAnsi" w:hAnsiTheme="minorHAnsi" w:cstheme="minorHAnsi"/>
          <w:sz w:val="18"/>
          <w:szCs w:val="18"/>
        </w:rPr>
      </w:r>
      <w:r w:rsidR="00C93352" w:rsidRPr="00C05A79">
        <w:rPr>
          <w:rFonts w:asciiTheme="minorHAnsi" w:hAnsiTheme="minorHAnsi" w:cstheme="minorHAnsi"/>
          <w:sz w:val="18"/>
          <w:szCs w:val="18"/>
        </w:rPr>
        <w:fldChar w:fldCharType="separate"/>
      </w:r>
      <w:r w:rsidR="00123BCB" w:rsidRPr="00C05A79">
        <w:rPr>
          <w:rStyle w:val="Hyperlink"/>
          <w:rFonts w:asciiTheme="minorHAnsi" w:hAnsiTheme="minorHAnsi" w:cstheme="minorHAnsi"/>
          <w:sz w:val="18"/>
          <w:szCs w:val="18"/>
        </w:rPr>
        <w:t>iSupport</w:t>
      </w:r>
      <w:proofErr w:type="spellEnd"/>
      <w:r w:rsidR="00123BCB" w:rsidRPr="00C05A79">
        <w:rPr>
          <w:rStyle w:val="Hyperlink"/>
          <w:rFonts w:asciiTheme="minorHAnsi" w:hAnsiTheme="minorHAnsi" w:cstheme="minorHAnsi"/>
          <w:sz w:val="18"/>
          <w:szCs w:val="18"/>
        </w:rPr>
        <w:t xml:space="preserve"> for Dementia: training and support manual for carers of people with dementia</w:t>
      </w:r>
      <w:r w:rsidR="00C93352" w:rsidRPr="00C05A79">
        <w:rPr>
          <w:rStyle w:val="Hyperlink"/>
          <w:rFonts w:asciiTheme="minorHAnsi" w:hAnsiTheme="minorHAnsi" w:cstheme="minorHAnsi"/>
          <w:sz w:val="18"/>
          <w:szCs w:val="18"/>
        </w:rPr>
        <w:fldChar w:fldCharType="end"/>
      </w:r>
      <w:r w:rsidR="00123BCB" w:rsidRPr="00C05A79">
        <w:rPr>
          <w:rFonts w:asciiTheme="minorHAnsi" w:hAnsiTheme="minorHAnsi" w:cstheme="minorHAnsi"/>
          <w:sz w:val="18"/>
          <w:szCs w:val="18"/>
        </w:rPr>
        <w:t>’.</w:t>
      </w:r>
    </w:p>
  </w:footnote>
  <w:footnote w:id="17">
    <w:p w14:paraId="5E9E71B1" w14:textId="6FD3A9B0" w:rsidR="001431E8" w:rsidRPr="00C05A79" w:rsidRDefault="001431E8">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006E2C7A" w:rsidRPr="00C05A79">
        <w:rPr>
          <w:rFonts w:asciiTheme="minorHAnsi" w:hAnsiTheme="minorHAnsi" w:cstheme="minorHAnsi"/>
          <w:sz w:val="18"/>
          <w:szCs w:val="18"/>
        </w:rPr>
        <w:t xml:space="preserve"> Hunt, Bradshaw et al. (2022), </w:t>
      </w:r>
      <w:hyperlink r:id="rId21" w:history="1">
        <w:r w:rsidR="006E2C7A" w:rsidRPr="00C05A79">
          <w:rPr>
            <w:rStyle w:val="Hyperlink"/>
            <w:rFonts w:asciiTheme="minorHAnsi" w:hAnsiTheme="minorHAnsi" w:cstheme="minorHAnsi"/>
            <w:i/>
            <w:iCs/>
            <w:sz w:val="18"/>
            <w:szCs w:val="18"/>
          </w:rPr>
          <w:t xml:space="preserve">op </w:t>
        </w:r>
        <w:proofErr w:type="spellStart"/>
        <w:r w:rsidR="006E2C7A" w:rsidRPr="00C05A79">
          <w:rPr>
            <w:rStyle w:val="Hyperlink"/>
            <w:rFonts w:asciiTheme="minorHAnsi" w:hAnsiTheme="minorHAnsi" w:cstheme="minorHAnsi"/>
            <w:i/>
            <w:iCs/>
            <w:sz w:val="18"/>
            <w:szCs w:val="18"/>
          </w:rPr>
          <w:t>cit</w:t>
        </w:r>
        <w:proofErr w:type="spellEnd"/>
      </w:hyperlink>
      <w:r w:rsidR="00AD4CCD">
        <w:rPr>
          <w:rFonts w:asciiTheme="minorHAnsi" w:hAnsiTheme="minorHAnsi" w:cstheme="minorHAnsi"/>
          <w:sz w:val="18"/>
          <w:szCs w:val="18"/>
        </w:rPr>
        <w:t xml:space="preserve"> and various sources cited therein.</w:t>
      </w:r>
    </w:p>
  </w:footnote>
  <w:footnote w:id="18">
    <w:p w14:paraId="2F469374" w14:textId="76389F06" w:rsidR="00A47851" w:rsidRPr="00C05A79" w:rsidRDefault="00A47851" w:rsidP="00A47851">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WHO (2022), </w:t>
      </w:r>
      <w:hyperlink r:id="rId22" w:history="1">
        <w:r w:rsidR="00467E26">
          <w:rPr>
            <w:rStyle w:val="Hyperlink"/>
            <w:rFonts w:asciiTheme="minorHAnsi" w:hAnsiTheme="minorHAnsi" w:cstheme="minorHAnsi"/>
            <w:i/>
            <w:iCs/>
            <w:sz w:val="18"/>
            <w:szCs w:val="18"/>
          </w:rPr>
          <w:t xml:space="preserve">op cit. </w:t>
        </w:r>
      </w:hyperlink>
      <w:r w:rsidRPr="00C05A79">
        <w:rPr>
          <w:rFonts w:asciiTheme="minorHAnsi" w:hAnsiTheme="minorHAnsi" w:cstheme="minorHAnsi"/>
          <w:sz w:val="18"/>
          <w:szCs w:val="18"/>
        </w:rPr>
        <w:t>, p.98.</w:t>
      </w:r>
    </w:p>
  </w:footnote>
  <w:footnote w:id="19">
    <w:p w14:paraId="330156D8" w14:textId="74E38216" w:rsidR="000508A7" w:rsidRPr="00C05A79" w:rsidRDefault="000508A7">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t>
      </w:r>
      <w:r w:rsidR="00182BFD" w:rsidRPr="00C05A79">
        <w:rPr>
          <w:rFonts w:asciiTheme="minorHAnsi" w:hAnsiTheme="minorHAnsi" w:cstheme="minorHAnsi"/>
          <w:sz w:val="18"/>
          <w:szCs w:val="18"/>
        </w:rPr>
        <w:t xml:space="preserve">WHO (2021) </w:t>
      </w:r>
      <w:hyperlink r:id="rId23" w:history="1">
        <w:r w:rsidR="00182BFD" w:rsidRPr="00C05A79">
          <w:rPr>
            <w:rStyle w:val="Hyperlink"/>
            <w:rFonts w:asciiTheme="minorHAnsi" w:hAnsiTheme="minorHAnsi" w:cstheme="minorHAnsi"/>
            <w:i/>
            <w:iCs/>
            <w:sz w:val="18"/>
            <w:szCs w:val="18"/>
          </w:rPr>
          <w:t>Guidance on community mental health services: Promoting person-centred and rights-based approaches</w:t>
        </w:r>
      </w:hyperlink>
      <w:r w:rsidR="00182BFD" w:rsidRPr="00C05A79">
        <w:rPr>
          <w:rFonts w:asciiTheme="minorHAnsi" w:hAnsiTheme="minorHAnsi" w:cstheme="minorHAnsi"/>
          <w:sz w:val="18"/>
          <w:szCs w:val="18"/>
        </w:rPr>
        <w:t>, p.</w:t>
      </w:r>
      <w:r w:rsidR="00E57B0C" w:rsidRPr="00C05A79">
        <w:rPr>
          <w:rFonts w:asciiTheme="minorHAnsi" w:hAnsiTheme="minorHAnsi" w:cstheme="minorHAnsi"/>
          <w:sz w:val="18"/>
          <w:szCs w:val="18"/>
        </w:rPr>
        <w:t xml:space="preserve">188; Hunt, Bradshaw et al. (2022), </w:t>
      </w:r>
      <w:hyperlink r:id="rId24" w:history="1">
        <w:r w:rsidR="00E57B0C" w:rsidRPr="00C05A79">
          <w:rPr>
            <w:rStyle w:val="Hyperlink"/>
            <w:rFonts w:asciiTheme="minorHAnsi" w:hAnsiTheme="minorHAnsi" w:cstheme="minorHAnsi"/>
            <w:i/>
            <w:iCs/>
            <w:sz w:val="18"/>
            <w:szCs w:val="18"/>
          </w:rPr>
          <w:t xml:space="preserve">op </w:t>
        </w:r>
        <w:proofErr w:type="spellStart"/>
        <w:r w:rsidR="00E57B0C" w:rsidRPr="00C05A79">
          <w:rPr>
            <w:rStyle w:val="Hyperlink"/>
            <w:rFonts w:asciiTheme="minorHAnsi" w:hAnsiTheme="minorHAnsi" w:cstheme="minorHAnsi"/>
            <w:i/>
            <w:iCs/>
            <w:sz w:val="18"/>
            <w:szCs w:val="18"/>
          </w:rPr>
          <w:t>cit</w:t>
        </w:r>
        <w:proofErr w:type="spellEnd"/>
      </w:hyperlink>
      <w:r w:rsidR="00F56B49" w:rsidRPr="00C05A79">
        <w:rPr>
          <w:rFonts w:asciiTheme="minorHAnsi" w:hAnsiTheme="minorHAnsi" w:cstheme="minorHAnsi"/>
          <w:sz w:val="18"/>
          <w:szCs w:val="18"/>
        </w:rPr>
        <w:t xml:space="preserve">; WHO (2022), </w:t>
      </w:r>
      <w:hyperlink r:id="rId25" w:history="1">
        <w:r w:rsidR="00F56B49" w:rsidRPr="00C05A79">
          <w:rPr>
            <w:rStyle w:val="Hyperlink"/>
            <w:rFonts w:asciiTheme="minorHAnsi" w:hAnsiTheme="minorHAnsi" w:cstheme="minorHAnsi"/>
            <w:i/>
            <w:iCs/>
            <w:sz w:val="18"/>
            <w:szCs w:val="18"/>
          </w:rPr>
          <w:t>op cit</w:t>
        </w:r>
      </w:hyperlink>
      <w:r w:rsidR="00F56B49" w:rsidRPr="00C05A79">
        <w:rPr>
          <w:rFonts w:asciiTheme="minorHAnsi" w:hAnsiTheme="minorHAnsi" w:cstheme="minorHAnsi"/>
          <w:sz w:val="18"/>
          <w:szCs w:val="18"/>
        </w:rPr>
        <w:t>., p.40</w:t>
      </w:r>
      <w:r w:rsidR="00013CAD">
        <w:rPr>
          <w:rFonts w:asciiTheme="minorHAnsi" w:hAnsiTheme="minorHAnsi" w:cstheme="minorHAnsi"/>
          <w:sz w:val="18"/>
          <w:szCs w:val="18"/>
        </w:rPr>
        <w:t>;</w:t>
      </w:r>
      <w:r w:rsidR="00013CAD" w:rsidRPr="00013CAD">
        <w:rPr>
          <w:rFonts w:ascii="Segoe UI" w:hAnsi="Segoe UI" w:cs="Segoe UI"/>
          <w:sz w:val="18"/>
          <w:szCs w:val="18"/>
        </w:rPr>
        <w:t xml:space="preserve"> </w:t>
      </w:r>
      <w:hyperlink r:id="rId26" w:history="1">
        <w:r w:rsidR="00013CAD" w:rsidRPr="002F6468">
          <w:rPr>
            <w:rStyle w:val="Hyperlink"/>
            <w:rFonts w:asciiTheme="minorHAnsi" w:hAnsiTheme="minorHAnsi" w:cstheme="minorHAnsi"/>
            <w:sz w:val="18"/>
            <w:szCs w:val="18"/>
          </w:rPr>
          <w:t>https://relabhs.org/wp-content/uploads/2023/12/Article-ReLAB-HS-Rehabilitation-in-UHC_Final-Formatted-.pdf</w:t>
        </w:r>
      </w:hyperlink>
      <w:r w:rsidR="00013CAD">
        <w:rPr>
          <w:rFonts w:asciiTheme="minorHAnsi" w:hAnsiTheme="minorHAnsi" w:cstheme="minorHAnsi"/>
          <w:sz w:val="18"/>
          <w:szCs w:val="18"/>
        </w:rPr>
        <w:t xml:space="preserve"> </w:t>
      </w:r>
    </w:p>
  </w:footnote>
  <w:footnote w:id="20">
    <w:p w14:paraId="77B93567" w14:textId="77777777" w:rsidR="00986741" w:rsidRPr="00C05A79" w:rsidRDefault="00986741" w:rsidP="00986741">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Ibid.</w:t>
      </w:r>
    </w:p>
  </w:footnote>
  <w:footnote w:id="21">
    <w:p w14:paraId="66691441" w14:textId="77777777" w:rsidR="003420AE" w:rsidRPr="00C05A79" w:rsidRDefault="003420AE" w:rsidP="003420AE">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Hunt, Bradshaw et al. (2022), </w:t>
      </w:r>
      <w:hyperlink r:id="rId27" w:history="1">
        <w:r w:rsidRPr="00C05A79">
          <w:rPr>
            <w:rStyle w:val="Hyperlink"/>
            <w:rFonts w:asciiTheme="minorHAnsi" w:hAnsiTheme="minorHAnsi" w:cstheme="minorHAnsi"/>
            <w:i/>
            <w:iCs/>
            <w:sz w:val="18"/>
            <w:szCs w:val="18"/>
          </w:rPr>
          <w:t>op cit</w:t>
        </w:r>
      </w:hyperlink>
      <w:r w:rsidRPr="00C05A79">
        <w:rPr>
          <w:rFonts w:asciiTheme="minorHAnsi" w:hAnsiTheme="minorHAnsi" w:cstheme="minorHAnsi"/>
          <w:sz w:val="18"/>
          <w:szCs w:val="18"/>
        </w:rPr>
        <w:t>.</w:t>
      </w:r>
    </w:p>
  </w:footnote>
  <w:footnote w:id="22">
    <w:p w14:paraId="255897E8" w14:textId="60ACCBBA" w:rsidR="00CE2C79" w:rsidRPr="00C05A79" w:rsidRDefault="00CE2C79">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WHO (2022), </w:t>
      </w:r>
      <w:hyperlink r:id="rId28" w:history="1">
        <w:r w:rsidR="00467E26">
          <w:rPr>
            <w:rStyle w:val="Hyperlink"/>
            <w:rFonts w:asciiTheme="minorHAnsi" w:hAnsiTheme="minorHAnsi" w:cstheme="minorHAnsi"/>
            <w:i/>
            <w:iCs/>
            <w:sz w:val="18"/>
            <w:szCs w:val="18"/>
          </w:rPr>
          <w:t xml:space="preserve">op cit. </w:t>
        </w:r>
      </w:hyperlink>
      <w:r w:rsidRPr="00C05A79">
        <w:rPr>
          <w:rFonts w:asciiTheme="minorHAnsi" w:hAnsiTheme="minorHAnsi" w:cstheme="minorHAnsi"/>
          <w:sz w:val="18"/>
          <w:szCs w:val="18"/>
        </w:rPr>
        <w:t>, p.4</w:t>
      </w:r>
      <w:r w:rsidR="00C02229">
        <w:rPr>
          <w:rFonts w:asciiTheme="minorHAnsi" w:hAnsiTheme="minorHAnsi" w:cstheme="minorHAnsi"/>
          <w:sz w:val="18"/>
          <w:szCs w:val="18"/>
        </w:rPr>
        <w:t xml:space="preserve"> and various sources cited therein.</w:t>
      </w:r>
    </w:p>
  </w:footnote>
  <w:footnote w:id="23">
    <w:p w14:paraId="63DC5CF7" w14:textId="77777777" w:rsidR="00D724B7" w:rsidRDefault="00D724B7" w:rsidP="00D724B7">
      <w:pPr>
        <w:pStyle w:val="FootnoteText"/>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Hunt, Bradshaw et al. (2022), </w:t>
      </w:r>
      <w:hyperlink r:id="rId29" w:history="1">
        <w:r w:rsidRPr="00C05A79">
          <w:rPr>
            <w:rStyle w:val="Hyperlink"/>
            <w:rFonts w:asciiTheme="minorHAnsi" w:hAnsiTheme="minorHAnsi" w:cstheme="minorHAnsi"/>
            <w:i/>
            <w:iCs/>
            <w:sz w:val="18"/>
            <w:szCs w:val="18"/>
          </w:rPr>
          <w:t>op cit</w:t>
        </w:r>
      </w:hyperlink>
      <w:r w:rsidRPr="00C05A79">
        <w:rPr>
          <w:rFonts w:asciiTheme="minorHAnsi" w:hAnsiTheme="minorHAnsi" w:cstheme="minorHAnsi"/>
          <w:sz w:val="18"/>
          <w:szCs w:val="18"/>
        </w:rPr>
        <w:t>.</w:t>
      </w:r>
    </w:p>
  </w:footnote>
  <w:footnote w:id="24">
    <w:p w14:paraId="17E74B98" w14:textId="2D302917" w:rsidR="00D724B7" w:rsidRPr="00C05A79" w:rsidRDefault="00D724B7" w:rsidP="00D724B7">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WHO (2022), </w:t>
      </w:r>
      <w:hyperlink r:id="rId30" w:history="1">
        <w:r w:rsidR="00467E26">
          <w:rPr>
            <w:rStyle w:val="Hyperlink"/>
            <w:rFonts w:asciiTheme="minorHAnsi" w:hAnsiTheme="minorHAnsi" w:cstheme="minorHAnsi"/>
            <w:i/>
            <w:iCs/>
            <w:sz w:val="18"/>
            <w:szCs w:val="18"/>
          </w:rPr>
          <w:t>op cit.</w:t>
        </w:r>
      </w:hyperlink>
      <w:r w:rsidRPr="00C05A79">
        <w:rPr>
          <w:rFonts w:asciiTheme="minorHAnsi" w:hAnsiTheme="minorHAnsi" w:cstheme="minorHAnsi"/>
          <w:sz w:val="18"/>
          <w:szCs w:val="18"/>
        </w:rPr>
        <w:t>, pp.92-3.</w:t>
      </w:r>
    </w:p>
  </w:footnote>
  <w:footnote w:id="25">
    <w:p w14:paraId="1F4BD439" w14:textId="77777777" w:rsidR="00D724B7" w:rsidRPr="00C05A79" w:rsidRDefault="00D724B7" w:rsidP="00D724B7">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Hunt, Bradshaw et al. (2022), </w:t>
      </w:r>
      <w:hyperlink r:id="rId31" w:history="1">
        <w:r w:rsidRPr="00C05A79">
          <w:rPr>
            <w:rStyle w:val="Hyperlink"/>
            <w:rFonts w:asciiTheme="minorHAnsi" w:hAnsiTheme="minorHAnsi" w:cstheme="minorHAnsi"/>
            <w:i/>
            <w:iCs/>
            <w:sz w:val="18"/>
            <w:szCs w:val="18"/>
          </w:rPr>
          <w:t>op cit</w:t>
        </w:r>
      </w:hyperlink>
      <w:r w:rsidRPr="00C05A79">
        <w:rPr>
          <w:rFonts w:asciiTheme="minorHAnsi" w:hAnsiTheme="minorHAnsi" w:cstheme="minorHAnsi"/>
          <w:sz w:val="18"/>
          <w:szCs w:val="18"/>
        </w:rPr>
        <w:t>.</w:t>
      </w:r>
    </w:p>
  </w:footnote>
  <w:footnote w:id="26">
    <w:p w14:paraId="5CC3260D" w14:textId="59DE17C1" w:rsidR="007734F9" w:rsidRPr="00C05A79" w:rsidRDefault="007734F9">
      <w:pPr>
        <w:pStyle w:val="FootnoteText"/>
        <w:rPr>
          <w:rFonts w:asciiTheme="minorHAnsi" w:hAnsiTheme="minorHAnsi" w:cstheme="minorHAnsi"/>
          <w:sz w:val="18"/>
          <w:szCs w:val="18"/>
        </w:rPr>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WHO (2022), </w:t>
      </w:r>
      <w:hyperlink r:id="rId32" w:history="1">
        <w:r w:rsidR="00467E26">
          <w:rPr>
            <w:rStyle w:val="Hyperlink"/>
            <w:rFonts w:asciiTheme="minorHAnsi" w:hAnsiTheme="minorHAnsi" w:cstheme="minorHAnsi"/>
            <w:i/>
            <w:iCs/>
            <w:sz w:val="18"/>
            <w:szCs w:val="18"/>
          </w:rPr>
          <w:t xml:space="preserve">op cit. </w:t>
        </w:r>
      </w:hyperlink>
      <w:r w:rsidRPr="00C05A79">
        <w:rPr>
          <w:rFonts w:asciiTheme="minorHAnsi" w:hAnsiTheme="minorHAnsi" w:cstheme="minorHAnsi"/>
          <w:sz w:val="18"/>
          <w:szCs w:val="18"/>
        </w:rPr>
        <w:t>, p</w:t>
      </w:r>
      <w:r w:rsidR="001300E1" w:rsidRPr="00C05A79">
        <w:rPr>
          <w:rFonts w:asciiTheme="minorHAnsi" w:hAnsiTheme="minorHAnsi" w:cstheme="minorHAnsi"/>
          <w:sz w:val="18"/>
          <w:szCs w:val="18"/>
        </w:rPr>
        <w:t>.78,</w:t>
      </w:r>
      <w:r w:rsidR="00633BA9">
        <w:rPr>
          <w:rFonts w:asciiTheme="minorHAnsi" w:hAnsiTheme="minorHAnsi" w:cstheme="minorHAnsi"/>
          <w:sz w:val="18"/>
          <w:szCs w:val="18"/>
        </w:rPr>
        <w:t xml:space="preserve"> </w:t>
      </w:r>
      <w:r w:rsidR="001300E1" w:rsidRPr="00C05A79">
        <w:rPr>
          <w:rFonts w:asciiTheme="minorHAnsi" w:hAnsiTheme="minorHAnsi" w:cstheme="minorHAnsi"/>
          <w:sz w:val="18"/>
          <w:szCs w:val="18"/>
        </w:rPr>
        <w:t>112</w:t>
      </w:r>
      <w:r w:rsidR="00633BA9">
        <w:rPr>
          <w:rFonts w:asciiTheme="minorHAnsi" w:hAnsiTheme="minorHAnsi" w:cstheme="minorHAnsi"/>
          <w:sz w:val="18"/>
          <w:szCs w:val="18"/>
        </w:rPr>
        <w:t xml:space="preserve"> &amp;</w:t>
      </w:r>
      <w:r w:rsidR="001300E1" w:rsidRPr="00C05A79">
        <w:rPr>
          <w:rFonts w:asciiTheme="minorHAnsi" w:hAnsiTheme="minorHAnsi" w:cstheme="minorHAnsi"/>
          <w:sz w:val="18"/>
          <w:szCs w:val="18"/>
        </w:rPr>
        <w:t xml:space="preserve"> 202</w:t>
      </w:r>
      <w:r w:rsidR="00D04EDF" w:rsidRPr="00C05A79">
        <w:rPr>
          <w:rFonts w:asciiTheme="minorHAnsi" w:hAnsiTheme="minorHAnsi" w:cstheme="minorHAnsi"/>
          <w:sz w:val="18"/>
          <w:szCs w:val="18"/>
        </w:rPr>
        <w:t xml:space="preserve">, citing </w:t>
      </w:r>
      <w:r w:rsidR="00D04EDF" w:rsidRPr="00C05A79">
        <w:rPr>
          <w:rFonts w:asciiTheme="minorHAnsi" w:hAnsiTheme="minorHAnsi" w:cstheme="minorHAnsi"/>
          <w:i/>
          <w:iCs/>
          <w:sz w:val="18"/>
          <w:szCs w:val="18"/>
        </w:rPr>
        <w:t>inter alia</w:t>
      </w:r>
      <w:r w:rsidR="007D6540" w:rsidRPr="00C05A79">
        <w:rPr>
          <w:rFonts w:asciiTheme="minorHAnsi" w:hAnsiTheme="minorHAnsi" w:cstheme="minorHAnsi"/>
          <w:sz w:val="18"/>
          <w:szCs w:val="18"/>
        </w:rPr>
        <w:t xml:space="preserve">: </w:t>
      </w:r>
      <w:r w:rsidR="00BF1C52" w:rsidRPr="00C05A79">
        <w:rPr>
          <w:rFonts w:asciiTheme="minorHAnsi" w:hAnsiTheme="minorHAnsi" w:cstheme="minorHAnsi"/>
          <w:sz w:val="18"/>
          <w:szCs w:val="18"/>
        </w:rPr>
        <w:t xml:space="preserve">UK Parliament, </w:t>
      </w:r>
      <w:r w:rsidR="007D6540" w:rsidRPr="00C05A79">
        <w:rPr>
          <w:rFonts w:asciiTheme="minorHAnsi" w:hAnsiTheme="minorHAnsi" w:cstheme="minorHAnsi"/>
          <w:sz w:val="18"/>
          <w:szCs w:val="18"/>
        </w:rPr>
        <w:t>House of Commons Health and Social Care Committee (2021) The treatment of autistic people and people with learning disabilities</w:t>
      </w:r>
      <w:r w:rsidR="00BF1C52" w:rsidRPr="00C05A79">
        <w:rPr>
          <w:rFonts w:asciiTheme="minorHAnsi" w:hAnsiTheme="minorHAnsi" w:cstheme="minorHAnsi"/>
          <w:sz w:val="18"/>
          <w:szCs w:val="18"/>
        </w:rPr>
        <w:t>;</w:t>
      </w:r>
      <w:r w:rsidR="005F4A32" w:rsidRPr="00C05A79">
        <w:rPr>
          <w:rFonts w:asciiTheme="minorHAnsi" w:hAnsiTheme="minorHAnsi" w:cstheme="minorHAnsi"/>
          <w:sz w:val="18"/>
          <w:szCs w:val="18"/>
        </w:rPr>
        <w:t xml:space="preserve"> Drew N, Funk M, Tang S, </w:t>
      </w:r>
      <w:r w:rsidR="00633BA9">
        <w:rPr>
          <w:rFonts w:asciiTheme="minorHAnsi" w:hAnsiTheme="minorHAnsi" w:cstheme="minorHAnsi"/>
          <w:sz w:val="18"/>
          <w:szCs w:val="18"/>
        </w:rPr>
        <w:t>et al. (201</w:t>
      </w:r>
      <w:r w:rsidR="001F7B90">
        <w:rPr>
          <w:rFonts w:asciiTheme="minorHAnsi" w:hAnsiTheme="minorHAnsi" w:cstheme="minorHAnsi"/>
          <w:sz w:val="18"/>
          <w:szCs w:val="18"/>
        </w:rPr>
        <w:t>1</w:t>
      </w:r>
      <w:r w:rsidR="00633BA9">
        <w:rPr>
          <w:rFonts w:asciiTheme="minorHAnsi" w:hAnsiTheme="minorHAnsi" w:cstheme="minorHAnsi"/>
          <w:sz w:val="18"/>
          <w:szCs w:val="18"/>
        </w:rPr>
        <w:t>) ‘</w:t>
      </w:r>
      <w:r w:rsidR="005F4A32" w:rsidRPr="00C05A79">
        <w:rPr>
          <w:rFonts w:asciiTheme="minorHAnsi" w:hAnsiTheme="minorHAnsi" w:cstheme="minorHAnsi"/>
          <w:sz w:val="18"/>
          <w:szCs w:val="18"/>
        </w:rPr>
        <w:t>Human rights violations of people with mental and psychosocial disabilities: an unresolved global crisis</w:t>
      </w:r>
      <w:r w:rsidR="00633BA9">
        <w:rPr>
          <w:rFonts w:asciiTheme="minorHAnsi" w:hAnsiTheme="minorHAnsi" w:cstheme="minorHAnsi"/>
          <w:sz w:val="18"/>
          <w:szCs w:val="18"/>
        </w:rPr>
        <w:t>’,</w:t>
      </w:r>
      <w:r w:rsidR="005F4A32" w:rsidRPr="00C05A79">
        <w:rPr>
          <w:rFonts w:asciiTheme="minorHAnsi" w:hAnsiTheme="minorHAnsi" w:cstheme="minorHAnsi"/>
          <w:sz w:val="18"/>
          <w:szCs w:val="18"/>
        </w:rPr>
        <w:t xml:space="preserve"> Lancet. </w:t>
      </w:r>
      <w:proofErr w:type="gramStart"/>
      <w:r w:rsidR="005F4A32" w:rsidRPr="00C05A79">
        <w:rPr>
          <w:rFonts w:asciiTheme="minorHAnsi" w:hAnsiTheme="minorHAnsi" w:cstheme="minorHAnsi"/>
          <w:sz w:val="18"/>
          <w:szCs w:val="18"/>
        </w:rPr>
        <w:t>2011;378:1664</w:t>
      </w:r>
      <w:proofErr w:type="gramEnd"/>
      <w:r w:rsidR="005F4A32" w:rsidRPr="00C05A79">
        <w:rPr>
          <w:rFonts w:asciiTheme="minorHAnsi" w:hAnsiTheme="minorHAnsi" w:cstheme="minorHAnsi"/>
          <w:sz w:val="18"/>
          <w:szCs w:val="18"/>
        </w:rPr>
        <w:t xml:space="preserve">–75; </w:t>
      </w:r>
      <w:r w:rsidR="00C27BBD" w:rsidRPr="00C05A79">
        <w:rPr>
          <w:rFonts w:asciiTheme="minorHAnsi" w:hAnsiTheme="minorHAnsi" w:cstheme="minorHAnsi"/>
          <w:sz w:val="18"/>
          <w:szCs w:val="18"/>
        </w:rPr>
        <w:t>Human Rights Watch</w:t>
      </w:r>
      <w:r w:rsidR="001F7B90">
        <w:rPr>
          <w:rFonts w:asciiTheme="minorHAnsi" w:hAnsiTheme="minorHAnsi" w:cstheme="minorHAnsi"/>
          <w:sz w:val="18"/>
          <w:szCs w:val="18"/>
        </w:rPr>
        <w:t xml:space="preserve"> (2018) ‘</w:t>
      </w:r>
      <w:r w:rsidR="00C27BBD" w:rsidRPr="00C05A79">
        <w:rPr>
          <w:rFonts w:asciiTheme="minorHAnsi" w:hAnsiTheme="minorHAnsi" w:cstheme="minorHAnsi"/>
          <w:sz w:val="18"/>
          <w:szCs w:val="18"/>
        </w:rPr>
        <w:t>“They stay until they die”. A lifetime of isolation and neglect in institutions for people with disabilities in Brazil</w:t>
      </w:r>
      <w:r w:rsidR="001F7B90">
        <w:rPr>
          <w:rFonts w:asciiTheme="minorHAnsi" w:hAnsiTheme="minorHAnsi" w:cstheme="minorHAnsi"/>
          <w:sz w:val="18"/>
          <w:szCs w:val="18"/>
        </w:rPr>
        <w:t>’</w:t>
      </w:r>
      <w:r w:rsidR="00C27BBD" w:rsidRPr="00C05A79">
        <w:rPr>
          <w:rFonts w:asciiTheme="minorHAnsi" w:hAnsiTheme="minorHAnsi" w:cstheme="minorHAnsi"/>
          <w:sz w:val="18"/>
          <w:szCs w:val="18"/>
        </w:rPr>
        <w:t xml:space="preserve">; &amp; Cohen A, Minas H. </w:t>
      </w:r>
      <w:r w:rsidR="001F7B90">
        <w:rPr>
          <w:rFonts w:asciiTheme="minorHAnsi" w:hAnsiTheme="minorHAnsi" w:cstheme="minorHAnsi"/>
          <w:sz w:val="18"/>
          <w:szCs w:val="18"/>
        </w:rPr>
        <w:t>(2017) ‘</w:t>
      </w:r>
      <w:r w:rsidR="00C27BBD" w:rsidRPr="00C05A79">
        <w:rPr>
          <w:rFonts w:asciiTheme="minorHAnsi" w:hAnsiTheme="minorHAnsi" w:cstheme="minorHAnsi"/>
          <w:sz w:val="18"/>
          <w:szCs w:val="18"/>
        </w:rPr>
        <w:t>Global mental health and psychiatric institutions in the 21st century</w:t>
      </w:r>
      <w:r w:rsidR="001F7B90">
        <w:rPr>
          <w:rFonts w:asciiTheme="minorHAnsi" w:hAnsiTheme="minorHAnsi" w:cstheme="minorHAnsi"/>
          <w:sz w:val="18"/>
          <w:szCs w:val="18"/>
        </w:rPr>
        <w:t>’,</w:t>
      </w:r>
      <w:r w:rsidR="00C27BBD" w:rsidRPr="00C05A79">
        <w:rPr>
          <w:rFonts w:asciiTheme="minorHAnsi" w:hAnsiTheme="minorHAnsi" w:cstheme="minorHAnsi"/>
          <w:sz w:val="18"/>
          <w:szCs w:val="18"/>
        </w:rPr>
        <w:t xml:space="preserve"> </w:t>
      </w:r>
      <w:proofErr w:type="spellStart"/>
      <w:r w:rsidR="00C27BBD" w:rsidRPr="00C05A79">
        <w:rPr>
          <w:rFonts w:asciiTheme="minorHAnsi" w:hAnsiTheme="minorHAnsi" w:cstheme="minorHAnsi"/>
          <w:sz w:val="18"/>
          <w:szCs w:val="18"/>
        </w:rPr>
        <w:t>Epidemiol</w:t>
      </w:r>
      <w:proofErr w:type="spellEnd"/>
      <w:r w:rsidR="00C27BBD" w:rsidRPr="00C05A79">
        <w:rPr>
          <w:rFonts w:asciiTheme="minorHAnsi" w:hAnsiTheme="minorHAnsi" w:cstheme="minorHAnsi"/>
          <w:sz w:val="18"/>
          <w:szCs w:val="18"/>
        </w:rPr>
        <w:t xml:space="preserve"> </w:t>
      </w:r>
      <w:proofErr w:type="spellStart"/>
      <w:r w:rsidR="00C27BBD" w:rsidRPr="00C05A79">
        <w:rPr>
          <w:rFonts w:asciiTheme="minorHAnsi" w:hAnsiTheme="minorHAnsi" w:cstheme="minorHAnsi"/>
          <w:sz w:val="18"/>
          <w:szCs w:val="18"/>
        </w:rPr>
        <w:t>Psychiatr</w:t>
      </w:r>
      <w:proofErr w:type="spellEnd"/>
      <w:r w:rsidR="00C27BBD" w:rsidRPr="00C05A79">
        <w:rPr>
          <w:rFonts w:asciiTheme="minorHAnsi" w:hAnsiTheme="minorHAnsi" w:cstheme="minorHAnsi"/>
          <w:sz w:val="18"/>
          <w:szCs w:val="18"/>
        </w:rPr>
        <w:t xml:space="preserve"> Sci. 2017;26:4–9.</w:t>
      </w:r>
    </w:p>
  </w:footnote>
  <w:footnote w:id="27">
    <w:p w14:paraId="4A73752F" w14:textId="351E3008" w:rsidR="00887084" w:rsidRDefault="00887084">
      <w:pPr>
        <w:pStyle w:val="FootnoteText"/>
      </w:pPr>
      <w:r w:rsidRPr="00C05A79">
        <w:rPr>
          <w:rStyle w:val="FootnoteReference"/>
          <w:rFonts w:asciiTheme="minorHAnsi" w:hAnsiTheme="minorHAnsi" w:cstheme="minorHAnsi"/>
          <w:sz w:val="18"/>
          <w:szCs w:val="18"/>
        </w:rPr>
        <w:footnoteRef/>
      </w:r>
      <w:r w:rsidRPr="00C05A79">
        <w:rPr>
          <w:rFonts w:asciiTheme="minorHAnsi" w:hAnsiTheme="minorHAnsi" w:cstheme="minorHAnsi"/>
          <w:sz w:val="18"/>
          <w:szCs w:val="18"/>
        </w:rPr>
        <w:t xml:space="preserve"> </w:t>
      </w:r>
      <w:r w:rsidR="00D145DE" w:rsidRPr="00C05A79">
        <w:rPr>
          <w:rFonts w:asciiTheme="minorHAnsi" w:hAnsiTheme="minorHAnsi" w:cstheme="minorHAnsi"/>
          <w:sz w:val="18"/>
          <w:szCs w:val="18"/>
        </w:rPr>
        <w:t xml:space="preserve">WHO (2022), </w:t>
      </w:r>
      <w:hyperlink r:id="rId33" w:history="1">
        <w:r w:rsidR="005530E5">
          <w:rPr>
            <w:rStyle w:val="Hyperlink"/>
            <w:rFonts w:asciiTheme="minorHAnsi" w:hAnsiTheme="minorHAnsi" w:cstheme="minorHAnsi"/>
            <w:i/>
            <w:iCs/>
            <w:sz w:val="18"/>
            <w:szCs w:val="18"/>
          </w:rPr>
          <w:t xml:space="preserve">op cit. </w:t>
        </w:r>
      </w:hyperlink>
      <w:r w:rsidRPr="00C05A79">
        <w:rPr>
          <w:rFonts w:asciiTheme="minorHAnsi" w:hAnsiTheme="minorHAnsi" w:cstheme="minorHAnsi"/>
          <w:sz w:val="18"/>
          <w:szCs w:val="18"/>
        </w:rPr>
        <w:t>,</w:t>
      </w:r>
      <w:r w:rsidR="00D145DE" w:rsidRPr="00C05A79">
        <w:rPr>
          <w:rFonts w:asciiTheme="minorHAnsi" w:hAnsiTheme="minorHAnsi" w:cstheme="minorHAnsi"/>
          <w:sz w:val="18"/>
          <w:szCs w:val="18"/>
        </w:rPr>
        <w:t xml:space="preserve"> p.77,</w:t>
      </w:r>
      <w:r w:rsidRPr="00C05A79">
        <w:rPr>
          <w:rFonts w:asciiTheme="minorHAnsi" w:hAnsiTheme="minorHAnsi" w:cstheme="minorHAnsi"/>
          <w:sz w:val="18"/>
          <w:szCs w:val="18"/>
        </w:rPr>
        <w:t xml:space="preserve"> citing WHO (2022)</w:t>
      </w:r>
      <w:r w:rsidR="00C668D6" w:rsidRPr="00C05A79">
        <w:rPr>
          <w:rFonts w:asciiTheme="minorHAnsi" w:hAnsiTheme="minorHAnsi" w:cstheme="minorHAnsi"/>
          <w:sz w:val="18"/>
          <w:szCs w:val="18"/>
        </w:rPr>
        <w:t xml:space="preserve"> </w:t>
      </w:r>
      <w:hyperlink r:id="rId34" w:history="1">
        <w:r w:rsidRPr="00C05A79">
          <w:rPr>
            <w:rStyle w:val="Hyperlink"/>
            <w:rFonts w:asciiTheme="minorHAnsi" w:hAnsiTheme="minorHAnsi" w:cstheme="minorHAnsi"/>
            <w:i/>
            <w:iCs/>
            <w:sz w:val="18"/>
            <w:szCs w:val="18"/>
          </w:rPr>
          <w:t>World mental health report</w:t>
        </w:r>
      </w:hyperlink>
      <w:r w:rsidRPr="00C05A79">
        <w:rPr>
          <w:rFonts w:asciiTheme="minorHAnsi" w:hAnsiTheme="minorHAnsi" w:cstheme="minorHAnsi"/>
          <w:sz w:val="18"/>
          <w:szCs w:val="18"/>
        </w:rPr>
        <w:t>.</w:t>
      </w:r>
      <w:r w:rsidRPr="00887084">
        <w:t xml:space="preserve"> </w:t>
      </w:r>
    </w:p>
  </w:footnote>
  <w:footnote w:id="28">
    <w:p w14:paraId="19421821" w14:textId="08A80351" w:rsidR="000878B2" w:rsidRPr="00D5461E" w:rsidRDefault="000878B2">
      <w:pPr>
        <w:pStyle w:val="FootnoteText"/>
        <w:rPr>
          <w:rFonts w:asciiTheme="minorHAnsi" w:hAnsiTheme="minorHAnsi" w:cstheme="minorHAnsi"/>
        </w:rPr>
      </w:pPr>
      <w:r w:rsidRPr="005530E5">
        <w:rPr>
          <w:rStyle w:val="FootnoteReference"/>
          <w:rFonts w:asciiTheme="minorHAnsi" w:hAnsiTheme="minorHAnsi" w:cstheme="minorHAnsi"/>
          <w:sz w:val="18"/>
          <w:szCs w:val="18"/>
        </w:rPr>
        <w:footnoteRef/>
      </w:r>
      <w:r w:rsidRPr="005530E5">
        <w:rPr>
          <w:rFonts w:asciiTheme="minorHAnsi" w:hAnsiTheme="minorHAnsi" w:cstheme="minorHAnsi"/>
          <w:sz w:val="18"/>
          <w:szCs w:val="18"/>
        </w:rPr>
        <w:t xml:space="preserve"> WHO (2022), </w:t>
      </w:r>
      <w:hyperlink r:id="rId35" w:history="1">
        <w:r w:rsidR="009717E1">
          <w:rPr>
            <w:rStyle w:val="Hyperlink"/>
            <w:rFonts w:asciiTheme="minorHAnsi" w:hAnsiTheme="minorHAnsi" w:cstheme="minorHAnsi"/>
            <w:i/>
            <w:iCs/>
            <w:sz w:val="18"/>
            <w:szCs w:val="18"/>
          </w:rPr>
          <w:t>op cit.</w:t>
        </w:r>
      </w:hyperlink>
      <w:r w:rsidRPr="005530E5">
        <w:rPr>
          <w:rFonts w:asciiTheme="minorHAnsi" w:hAnsiTheme="minorHAnsi" w:cstheme="minorHAnsi"/>
          <w:sz w:val="18"/>
          <w:szCs w:val="18"/>
        </w:rPr>
        <w:t xml:space="preserve">, p.36, </w:t>
      </w:r>
      <w:r w:rsidR="00A17147" w:rsidRPr="005530E5">
        <w:rPr>
          <w:rFonts w:asciiTheme="minorHAnsi" w:hAnsiTheme="minorHAnsi" w:cstheme="minorHAnsi"/>
          <w:sz w:val="18"/>
          <w:szCs w:val="18"/>
        </w:rPr>
        <w:t>citing</w:t>
      </w:r>
      <w:r w:rsidR="009717E1">
        <w:rPr>
          <w:rFonts w:asciiTheme="minorHAnsi" w:hAnsiTheme="minorHAnsi" w:cstheme="minorHAnsi"/>
          <w:sz w:val="18"/>
          <w:szCs w:val="18"/>
        </w:rPr>
        <w:t xml:space="preserve"> </w:t>
      </w:r>
      <w:r w:rsidR="009717E1" w:rsidRPr="009717E1">
        <w:rPr>
          <w:rFonts w:asciiTheme="minorHAnsi" w:hAnsiTheme="minorHAnsi" w:cstheme="minorHAnsi"/>
          <w:i/>
          <w:iCs/>
          <w:sz w:val="18"/>
          <w:szCs w:val="18"/>
        </w:rPr>
        <w:t>inter alia</w:t>
      </w:r>
      <w:r w:rsidR="00115D01" w:rsidRPr="005530E5">
        <w:rPr>
          <w:rFonts w:asciiTheme="minorHAnsi" w:hAnsiTheme="minorHAnsi" w:cstheme="minorHAnsi"/>
          <w:sz w:val="18"/>
          <w:szCs w:val="18"/>
        </w:rPr>
        <w:t xml:space="preserve">: </w:t>
      </w:r>
      <w:r w:rsidR="00A17147" w:rsidRPr="005530E5">
        <w:rPr>
          <w:rFonts w:asciiTheme="minorHAnsi" w:hAnsiTheme="minorHAnsi" w:cstheme="minorHAnsi"/>
          <w:sz w:val="18"/>
          <w:szCs w:val="18"/>
        </w:rPr>
        <w:t xml:space="preserve">WHO (2021) </w:t>
      </w:r>
      <w:r w:rsidR="005D5E8E" w:rsidRPr="005530E5">
        <w:rPr>
          <w:rFonts w:asciiTheme="minorHAnsi" w:hAnsiTheme="minorHAnsi" w:cstheme="minorHAnsi"/>
          <w:sz w:val="18"/>
          <w:szCs w:val="18"/>
        </w:rPr>
        <w:t>‘</w:t>
      </w:r>
      <w:r w:rsidR="00A17147" w:rsidRPr="005530E5">
        <w:rPr>
          <w:rFonts w:asciiTheme="minorHAnsi" w:hAnsiTheme="minorHAnsi" w:cstheme="minorHAnsi"/>
          <w:sz w:val="18"/>
          <w:szCs w:val="18"/>
        </w:rPr>
        <w:t>Second round of the national pulse survey on continuity of essential health services during the COVID-19 pandemic</w:t>
      </w:r>
      <w:r w:rsidR="005D5E8E" w:rsidRPr="005530E5">
        <w:rPr>
          <w:rFonts w:asciiTheme="minorHAnsi" w:hAnsiTheme="minorHAnsi" w:cstheme="minorHAnsi"/>
          <w:sz w:val="18"/>
          <w:szCs w:val="18"/>
        </w:rPr>
        <w:t>’</w:t>
      </w:r>
      <w:r w:rsidR="006B4EC5">
        <w:rPr>
          <w:rFonts w:asciiTheme="minorHAnsi" w:hAnsiTheme="minorHAnsi" w:cstheme="minorHAnsi"/>
          <w:sz w:val="18"/>
          <w:szCs w:val="18"/>
        </w:rPr>
        <w:t xml:space="preserve"> &amp; </w:t>
      </w:r>
      <w:r w:rsidR="00115D01" w:rsidRPr="005530E5">
        <w:rPr>
          <w:rFonts w:asciiTheme="minorHAnsi" w:hAnsiTheme="minorHAnsi" w:cstheme="minorHAnsi"/>
          <w:sz w:val="18"/>
          <w:szCs w:val="18"/>
        </w:rPr>
        <w:t xml:space="preserve">Jesus TS, </w:t>
      </w:r>
      <w:proofErr w:type="spellStart"/>
      <w:r w:rsidR="00115D01" w:rsidRPr="005530E5">
        <w:rPr>
          <w:rFonts w:asciiTheme="minorHAnsi" w:hAnsiTheme="minorHAnsi" w:cstheme="minorHAnsi"/>
          <w:sz w:val="18"/>
          <w:szCs w:val="18"/>
        </w:rPr>
        <w:t>Bhattacharjya</w:t>
      </w:r>
      <w:proofErr w:type="spellEnd"/>
      <w:r w:rsidR="00115D01" w:rsidRPr="005530E5">
        <w:rPr>
          <w:rFonts w:asciiTheme="minorHAnsi" w:hAnsiTheme="minorHAnsi" w:cstheme="minorHAnsi"/>
          <w:sz w:val="18"/>
          <w:szCs w:val="18"/>
        </w:rPr>
        <w:t xml:space="preserve"> S, </w:t>
      </w:r>
      <w:r w:rsidR="005D5E8E" w:rsidRPr="005530E5">
        <w:rPr>
          <w:rFonts w:asciiTheme="minorHAnsi" w:hAnsiTheme="minorHAnsi" w:cstheme="minorHAnsi"/>
          <w:sz w:val="18"/>
          <w:szCs w:val="18"/>
        </w:rPr>
        <w:t xml:space="preserve">et al. </w:t>
      </w:r>
      <w:r w:rsidR="00115D01" w:rsidRPr="005530E5">
        <w:rPr>
          <w:rFonts w:asciiTheme="minorHAnsi" w:hAnsiTheme="minorHAnsi" w:cstheme="minorHAnsi"/>
          <w:sz w:val="18"/>
          <w:szCs w:val="18"/>
        </w:rPr>
        <w:t>et al.</w:t>
      </w:r>
      <w:r w:rsidR="008D304D">
        <w:rPr>
          <w:rFonts w:asciiTheme="minorHAnsi" w:hAnsiTheme="minorHAnsi" w:cstheme="minorHAnsi"/>
          <w:sz w:val="18"/>
          <w:szCs w:val="18"/>
        </w:rPr>
        <w:t xml:space="preserve"> (2021)</w:t>
      </w:r>
      <w:r w:rsidR="00115D01" w:rsidRPr="005530E5">
        <w:rPr>
          <w:rFonts w:asciiTheme="minorHAnsi" w:hAnsiTheme="minorHAnsi" w:cstheme="minorHAnsi"/>
          <w:sz w:val="18"/>
          <w:szCs w:val="18"/>
        </w:rPr>
        <w:t xml:space="preserve"> </w:t>
      </w:r>
      <w:r w:rsidR="005D5E8E" w:rsidRPr="005530E5">
        <w:rPr>
          <w:rFonts w:asciiTheme="minorHAnsi" w:hAnsiTheme="minorHAnsi" w:cstheme="minorHAnsi"/>
          <w:sz w:val="18"/>
          <w:szCs w:val="18"/>
        </w:rPr>
        <w:t>‘</w:t>
      </w:r>
      <w:r w:rsidR="00115D01" w:rsidRPr="005530E5">
        <w:rPr>
          <w:rFonts w:asciiTheme="minorHAnsi" w:hAnsiTheme="minorHAnsi" w:cstheme="minorHAnsi"/>
          <w:sz w:val="18"/>
          <w:szCs w:val="18"/>
        </w:rPr>
        <w:t>Lockdown-related disparities experienced by people with disabilities during the first wave of the COVID-19 pandemic: scoping review with thematic analysis</w:t>
      </w:r>
      <w:r w:rsidR="005D5E8E" w:rsidRPr="005530E5">
        <w:rPr>
          <w:rFonts w:asciiTheme="minorHAnsi" w:hAnsiTheme="minorHAnsi" w:cstheme="minorHAnsi"/>
          <w:sz w:val="18"/>
          <w:szCs w:val="18"/>
        </w:rPr>
        <w:t>’,</w:t>
      </w:r>
      <w:r w:rsidR="00115D01" w:rsidRPr="005530E5">
        <w:rPr>
          <w:rFonts w:asciiTheme="minorHAnsi" w:hAnsiTheme="minorHAnsi" w:cstheme="minorHAnsi"/>
          <w:sz w:val="18"/>
          <w:szCs w:val="18"/>
        </w:rPr>
        <w:t xml:space="preserve"> Int J Environmental</w:t>
      </w:r>
      <w:r w:rsidR="00115D01" w:rsidRPr="00D5461E">
        <w:rPr>
          <w:rFonts w:asciiTheme="minorHAnsi" w:hAnsiTheme="minorHAnsi" w:cstheme="minorHAnsi"/>
        </w:rPr>
        <w:t xml:space="preserve"> Res Public Health. </w:t>
      </w:r>
      <w:proofErr w:type="gramStart"/>
      <w:r w:rsidR="00115D01" w:rsidRPr="00D5461E">
        <w:rPr>
          <w:rFonts w:asciiTheme="minorHAnsi" w:hAnsiTheme="minorHAnsi" w:cstheme="minorHAnsi"/>
        </w:rPr>
        <w:t>2021;18:6178</w:t>
      </w:r>
      <w:proofErr w:type="gramEnd"/>
      <w:r w:rsidR="006B4EC5">
        <w:rPr>
          <w:rFonts w:asciiTheme="minorHAnsi" w:hAnsiTheme="minorHAnsi"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84A42"/>
    <w:multiLevelType w:val="hybridMultilevel"/>
    <w:tmpl w:val="17EAC144"/>
    <w:lvl w:ilvl="0" w:tplc="EB3E40CA">
      <w:start w:val="1"/>
      <w:numFmt w:val="decimal"/>
      <w:lvlText w:val="%1."/>
      <w:lvlJc w:val="left"/>
      <w:pPr>
        <w:ind w:left="194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1B819F6">
      <w:start w:val="1"/>
      <w:numFmt w:val="bullet"/>
      <w:lvlText w:val="•"/>
      <w:lvlJc w:val="left"/>
      <w:pPr>
        <w:ind w:left="26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3423D56">
      <w:start w:val="1"/>
      <w:numFmt w:val="bullet"/>
      <w:lvlText w:val="▪"/>
      <w:lvlJc w:val="left"/>
      <w:pPr>
        <w:ind w:left="25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7C10154E">
      <w:start w:val="1"/>
      <w:numFmt w:val="bullet"/>
      <w:lvlText w:val="•"/>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DB0BB0E">
      <w:start w:val="1"/>
      <w:numFmt w:val="bullet"/>
      <w:lvlText w:val="o"/>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8B01C1A">
      <w:start w:val="1"/>
      <w:numFmt w:val="bullet"/>
      <w:lvlText w:val="▪"/>
      <w:lvlJc w:val="left"/>
      <w:pPr>
        <w:ind w:left="46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84EF014">
      <w:start w:val="1"/>
      <w:numFmt w:val="bullet"/>
      <w:lvlText w:val="•"/>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8284C16">
      <w:start w:val="1"/>
      <w:numFmt w:val="bullet"/>
      <w:lvlText w:val="o"/>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2C4571C">
      <w:start w:val="1"/>
      <w:numFmt w:val="bullet"/>
      <w:lvlText w:val="▪"/>
      <w:lvlJc w:val="left"/>
      <w:pPr>
        <w:ind w:left="68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7807745F"/>
    <w:multiLevelType w:val="hybridMultilevel"/>
    <w:tmpl w:val="5EDC71DC"/>
    <w:lvl w:ilvl="0" w:tplc="2E445E4E">
      <w:start w:val="1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771103">
    <w:abstractNumId w:val="0"/>
    <w:lvlOverride w:ilvl="0">
      <w:startOverride w:val="1"/>
    </w:lvlOverride>
    <w:lvlOverride w:ilvl="1"/>
    <w:lvlOverride w:ilvl="2"/>
    <w:lvlOverride w:ilvl="3"/>
    <w:lvlOverride w:ilvl="4"/>
    <w:lvlOverride w:ilvl="5"/>
    <w:lvlOverride w:ilvl="6"/>
    <w:lvlOverride w:ilvl="7"/>
    <w:lvlOverride w:ilvl="8"/>
  </w:num>
  <w:num w:numId="2" w16cid:durableId="1858234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AD"/>
    <w:rsid w:val="00003B8D"/>
    <w:rsid w:val="00013CAD"/>
    <w:rsid w:val="00021A3D"/>
    <w:rsid w:val="000269D2"/>
    <w:rsid w:val="000320D5"/>
    <w:rsid w:val="00036AF2"/>
    <w:rsid w:val="000508A7"/>
    <w:rsid w:val="00061A45"/>
    <w:rsid w:val="000658AD"/>
    <w:rsid w:val="000717F1"/>
    <w:rsid w:val="000758F9"/>
    <w:rsid w:val="00075B72"/>
    <w:rsid w:val="00080694"/>
    <w:rsid w:val="00082A70"/>
    <w:rsid w:val="000838C1"/>
    <w:rsid w:val="00084C91"/>
    <w:rsid w:val="00085BA4"/>
    <w:rsid w:val="000878B2"/>
    <w:rsid w:val="000926B8"/>
    <w:rsid w:val="00095995"/>
    <w:rsid w:val="000A042D"/>
    <w:rsid w:val="000A49CD"/>
    <w:rsid w:val="000C6F1F"/>
    <w:rsid w:val="000D0B0D"/>
    <w:rsid w:val="000F1030"/>
    <w:rsid w:val="000F1B26"/>
    <w:rsid w:val="000F70BD"/>
    <w:rsid w:val="00100950"/>
    <w:rsid w:val="0010275E"/>
    <w:rsid w:val="00107704"/>
    <w:rsid w:val="00115D01"/>
    <w:rsid w:val="00123BCB"/>
    <w:rsid w:val="001300E1"/>
    <w:rsid w:val="0013032F"/>
    <w:rsid w:val="001332C1"/>
    <w:rsid w:val="001367A8"/>
    <w:rsid w:val="001376C9"/>
    <w:rsid w:val="001431E8"/>
    <w:rsid w:val="001525D2"/>
    <w:rsid w:val="00152F57"/>
    <w:rsid w:val="00154789"/>
    <w:rsid w:val="00161CCB"/>
    <w:rsid w:val="00166C3A"/>
    <w:rsid w:val="00174599"/>
    <w:rsid w:val="001753DE"/>
    <w:rsid w:val="001806DD"/>
    <w:rsid w:val="00182992"/>
    <w:rsid w:val="00182BFD"/>
    <w:rsid w:val="00186C3A"/>
    <w:rsid w:val="001B1267"/>
    <w:rsid w:val="001B29C7"/>
    <w:rsid w:val="001C2224"/>
    <w:rsid w:val="001C770B"/>
    <w:rsid w:val="001D4410"/>
    <w:rsid w:val="001D6B31"/>
    <w:rsid w:val="001D7A11"/>
    <w:rsid w:val="001E6D0E"/>
    <w:rsid w:val="001F1C84"/>
    <w:rsid w:val="001F7B90"/>
    <w:rsid w:val="00201CEA"/>
    <w:rsid w:val="002029F6"/>
    <w:rsid w:val="002035AA"/>
    <w:rsid w:val="00207660"/>
    <w:rsid w:val="00215B58"/>
    <w:rsid w:val="00216143"/>
    <w:rsid w:val="002249F4"/>
    <w:rsid w:val="00225ECE"/>
    <w:rsid w:val="00230210"/>
    <w:rsid w:val="002330E8"/>
    <w:rsid w:val="00235EB6"/>
    <w:rsid w:val="002401E1"/>
    <w:rsid w:val="00242FDD"/>
    <w:rsid w:val="00245CE9"/>
    <w:rsid w:val="0024604D"/>
    <w:rsid w:val="00246FC0"/>
    <w:rsid w:val="00247E62"/>
    <w:rsid w:val="00250D39"/>
    <w:rsid w:val="002516A5"/>
    <w:rsid w:val="00257663"/>
    <w:rsid w:val="00263233"/>
    <w:rsid w:val="00263840"/>
    <w:rsid w:val="002723F3"/>
    <w:rsid w:val="00273071"/>
    <w:rsid w:val="00274F89"/>
    <w:rsid w:val="002802D5"/>
    <w:rsid w:val="00284C3F"/>
    <w:rsid w:val="00284D9F"/>
    <w:rsid w:val="00284EE2"/>
    <w:rsid w:val="00294FCF"/>
    <w:rsid w:val="002A18A9"/>
    <w:rsid w:val="002A23BA"/>
    <w:rsid w:val="002A2651"/>
    <w:rsid w:val="002A7364"/>
    <w:rsid w:val="002B4B51"/>
    <w:rsid w:val="002C30C6"/>
    <w:rsid w:val="002C7720"/>
    <w:rsid w:val="002D3AB6"/>
    <w:rsid w:val="002D4678"/>
    <w:rsid w:val="002D68E4"/>
    <w:rsid w:val="002E139D"/>
    <w:rsid w:val="002E53D0"/>
    <w:rsid w:val="002E74D9"/>
    <w:rsid w:val="002E7D1A"/>
    <w:rsid w:val="002F2E75"/>
    <w:rsid w:val="002F3678"/>
    <w:rsid w:val="002F47CC"/>
    <w:rsid w:val="00300671"/>
    <w:rsid w:val="00302306"/>
    <w:rsid w:val="003104FF"/>
    <w:rsid w:val="0031236E"/>
    <w:rsid w:val="0031303E"/>
    <w:rsid w:val="003165BC"/>
    <w:rsid w:val="00321B2A"/>
    <w:rsid w:val="003265E0"/>
    <w:rsid w:val="003348B7"/>
    <w:rsid w:val="003414AB"/>
    <w:rsid w:val="003420AE"/>
    <w:rsid w:val="00343ABB"/>
    <w:rsid w:val="00347777"/>
    <w:rsid w:val="003576FF"/>
    <w:rsid w:val="00361008"/>
    <w:rsid w:val="00371CF0"/>
    <w:rsid w:val="00373873"/>
    <w:rsid w:val="0037518B"/>
    <w:rsid w:val="00376F76"/>
    <w:rsid w:val="00393F53"/>
    <w:rsid w:val="00395503"/>
    <w:rsid w:val="003A162C"/>
    <w:rsid w:val="003A538A"/>
    <w:rsid w:val="003A6BEC"/>
    <w:rsid w:val="003A7641"/>
    <w:rsid w:val="003A771B"/>
    <w:rsid w:val="003B4CB5"/>
    <w:rsid w:val="003C1246"/>
    <w:rsid w:val="003D20FD"/>
    <w:rsid w:val="003D22F0"/>
    <w:rsid w:val="003D50EE"/>
    <w:rsid w:val="003E0DB7"/>
    <w:rsid w:val="003E1A01"/>
    <w:rsid w:val="00402D20"/>
    <w:rsid w:val="0041380A"/>
    <w:rsid w:val="0042206B"/>
    <w:rsid w:val="00425E6A"/>
    <w:rsid w:val="00433681"/>
    <w:rsid w:val="004360BC"/>
    <w:rsid w:val="004374E3"/>
    <w:rsid w:val="004425A4"/>
    <w:rsid w:val="00447801"/>
    <w:rsid w:val="00465BC7"/>
    <w:rsid w:val="00467E26"/>
    <w:rsid w:val="00477BC4"/>
    <w:rsid w:val="00483883"/>
    <w:rsid w:val="00484207"/>
    <w:rsid w:val="004848BA"/>
    <w:rsid w:val="00485345"/>
    <w:rsid w:val="0048556A"/>
    <w:rsid w:val="00490CBE"/>
    <w:rsid w:val="00494DD0"/>
    <w:rsid w:val="004A0422"/>
    <w:rsid w:val="004A6912"/>
    <w:rsid w:val="004B6646"/>
    <w:rsid w:val="004C3B28"/>
    <w:rsid w:val="004C7D40"/>
    <w:rsid w:val="004D38B3"/>
    <w:rsid w:val="004D5293"/>
    <w:rsid w:val="004D56F6"/>
    <w:rsid w:val="004E1978"/>
    <w:rsid w:val="004E2F35"/>
    <w:rsid w:val="004F4896"/>
    <w:rsid w:val="00522F2A"/>
    <w:rsid w:val="00532F3B"/>
    <w:rsid w:val="00536989"/>
    <w:rsid w:val="0054263D"/>
    <w:rsid w:val="00546C15"/>
    <w:rsid w:val="005530E5"/>
    <w:rsid w:val="005539B7"/>
    <w:rsid w:val="00556EBA"/>
    <w:rsid w:val="005600DD"/>
    <w:rsid w:val="00563F62"/>
    <w:rsid w:val="00564583"/>
    <w:rsid w:val="005653AD"/>
    <w:rsid w:val="0056751F"/>
    <w:rsid w:val="00567888"/>
    <w:rsid w:val="00581DC7"/>
    <w:rsid w:val="00584D8E"/>
    <w:rsid w:val="005875CA"/>
    <w:rsid w:val="005A2F1E"/>
    <w:rsid w:val="005A5BFC"/>
    <w:rsid w:val="005A7958"/>
    <w:rsid w:val="005B1AC4"/>
    <w:rsid w:val="005B6526"/>
    <w:rsid w:val="005B77AE"/>
    <w:rsid w:val="005D270C"/>
    <w:rsid w:val="005D5E8E"/>
    <w:rsid w:val="005E3FAB"/>
    <w:rsid w:val="005E4857"/>
    <w:rsid w:val="005F46D4"/>
    <w:rsid w:val="005F4A32"/>
    <w:rsid w:val="00601411"/>
    <w:rsid w:val="00604613"/>
    <w:rsid w:val="006057EB"/>
    <w:rsid w:val="0061368D"/>
    <w:rsid w:val="00620DE0"/>
    <w:rsid w:val="00621BC4"/>
    <w:rsid w:val="006256C5"/>
    <w:rsid w:val="0063200C"/>
    <w:rsid w:val="00633BA9"/>
    <w:rsid w:val="00635B91"/>
    <w:rsid w:val="006449D3"/>
    <w:rsid w:val="006541AA"/>
    <w:rsid w:val="006571DA"/>
    <w:rsid w:val="0066351F"/>
    <w:rsid w:val="006653B6"/>
    <w:rsid w:val="00666800"/>
    <w:rsid w:val="00684A36"/>
    <w:rsid w:val="006B4EC5"/>
    <w:rsid w:val="006B6212"/>
    <w:rsid w:val="006C37D8"/>
    <w:rsid w:val="006C434D"/>
    <w:rsid w:val="006E0917"/>
    <w:rsid w:val="006E2C7A"/>
    <w:rsid w:val="006E48F4"/>
    <w:rsid w:val="006F37E6"/>
    <w:rsid w:val="00700BA9"/>
    <w:rsid w:val="007030DC"/>
    <w:rsid w:val="007032B8"/>
    <w:rsid w:val="007076D8"/>
    <w:rsid w:val="00715552"/>
    <w:rsid w:val="00717532"/>
    <w:rsid w:val="00722C75"/>
    <w:rsid w:val="00724D11"/>
    <w:rsid w:val="0074152B"/>
    <w:rsid w:val="0076144A"/>
    <w:rsid w:val="00762E8E"/>
    <w:rsid w:val="00766579"/>
    <w:rsid w:val="00766F94"/>
    <w:rsid w:val="007734F9"/>
    <w:rsid w:val="00773D29"/>
    <w:rsid w:val="00776EA0"/>
    <w:rsid w:val="00777692"/>
    <w:rsid w:val="007778E2"/>
    <w:rsid w:val="007806B3"/>
    <w:rsid w:val="007913FA"/>
    <w:rsid w:val="007A1671"/>
    <w:rsid w:val="007D031C"/>
    <w:rsid w:val="007D0FF9"/>
    <w:rsid w:val="007D6540"/>
    <w:rsid w:val="007E10C3"/>
    <w:rsid w:val="007E73E4"/>
    <w:rsid w:val="007E7BF5"/>
    <w:rsid w:val="008001B6"/>
    <w:rsid w:val="00800FF4"/>
    <w:rsid w:val="008019FF"/>
    <w:rsid w:val="008040A4"/>
    <w:rsid w:val="008058E9"/>
    <w:rsid w:val="008067BC"/>
    <w:rsid w:val="008101AD"/>
    <w:rsid w:val="00813CCC"/>
    <w:rsid w:val="00815286"/>
    <w:rsid w:val="00821E9F"/>
    <w:rsid w:val="00824AE5"/>
    <w:rsid w:val="00830945"/>
    <w:rsid w:val="0083118E"/>
    <w:rsid w:val="00831A8B"/>
    <w:rsid w:val="008340DA"/>
    <w:rsid w:val="00835AF1"/>
    <w:rsid w:val="008374F9"/>
    <w:rsid w:val="0084109E"/>
    <w:rsid w:val="00841EA2"/>
    <w:rsid w:val="00847D99"/>
    <w:rsid w:val="00854116"/>
    <w:rsid w:val="00854D74"/>
    <w:rsid w:val="0085767C"/>
    <w:rsid w:val="008646A5"/>
    <w:rsid w:val="008753CC"/>
    <w:rsid w:val="0088056C"/>
    <w:rsid w:val="008853B3"/>
    <w:rsid w:val="00887084"/>
    <w:rsid w:val="00890333"/>
    <w:rsid w:val="008A203D"/>
    <w:rsid w:val="008A34C5"/>
    <w:rsid w:val="008A6A93"/>
    <w:rsid w:val="008A6C7F"/>
    <w:rsid w:val="008A7BF3"/>
    <w:rsid w:val="008B1732"/>
    <w:rsid w:val="008B6F19"/>
    <w:rsid w:val="008C1DB2"/>
    <w:rsid w:val="008C2DEE"/>
    <w:rsid w:val="008C784C"/>
    <w:rsid w:val="008D18EC"/>
    <w:rsid w:val="008D304D"/>
    <w:rsid w:val="008D3FDF"/>
    <w:rsid w:val="008E25C9"/>
    <w:rsid w:val="008E2622"/>
    <w:rsid w:val="008E445E"/>
    <w:rsid w:val="008E53FD"/>
    <w:rsid w:val="008E61AA"/>
    <w:rsid w:val="008E698A"/>
    <w:rsid w:val="008E7BAE"/>
    <w:rsid w:val="008F3087"/>
    <w:rsid w:val="008F3A6B"/>
    <w:rsid w:val="008F47AB"/>
    <w:rsid w:val="00907026"/>
    <w:rsid w:val="0090774A"/>
    <w:rsid w:val="00912740"/>
    <w:rsid w:val="00912B3B"/>
    <w:rsid w:val="00913A41"/>
    <w:rsid w:val="00917F73"/>
    <w:rsid w:val="00923B1B"/>
    <w:rsid w:val="009311BA"/>
    <w:rsid w:val="00934202"/>
    <w:rsid w:val="00934915"/>
    <w:rsid w:val="0093764B"/>
    <w:rsid w:val="00965A49"/>
    <w:rsid w:val="009717E1"/>
    <w:rsid w:val="00973E7C"/>
    <w:rsid w:val="00974316"/>
    <w:rsid w:val="00986741"/>
    <w:rsid w:val="00986B84"/>
    <w:rsid w:val="00996F24"/>
    <w:rsid w:val="009A5755"/>
    <w:rsid w:val="009A76D8"/>
    <w:rsid w:val="009B5BB8"/>
    <w:rsid w:val="009B6C01"/>
    <w:rsid w:val="009C71C8"/>
    <w:rsid w:val="009D33A7"/>
    <w:rsid w:val="009D371D"/>
    <w:rsid w:val="009D6B5D"/>
    <w:rsid w:val="009E0F45"/>
    <w:rsid w:val="009F7F7D"/>
    <w:rsid w:val="00A01C21"/>
    <w:rsid w:val="00A16370"/>
    <w:rsid w:val="00A17147"/>
    <w:rsid w:val="00A17EDA"/>
    <w:rsid w:val="00A20EE7"/>
    <w:rsid w:val="00A235D1"/>
    <w:rsid w:val="00A320CD"/>
    <w:rsid w:val="00A41627"/>
    <w:rsid w:val="00A47851"/>
    <w:rsid w:val="00A604D2"/>
    <w:rsid w:val="00A75A15"/>
    <w:rsid w:val="00A76298"/>
    <w:rsid w:val="00A822A9"/>
    <w:rsid w:val="00A83F3E"/>
    <w:rsid w:val="00A9223B"/>
    <w:rsid w:val="00AA17CB"/>
    <w:rsid w:val="00AA40FD"/>
    <w:rsid w:val="00AA416C"/>
    <w:rsid w:val="00AB1019"/>
    <w:rsid w:val="00AB1472"/>
    <w:rsid w:val="00AB42A8"/>
    <w:rsid w:val="00AB6126"/>
    <w:rsid w:val="00AC0991"/>
    <w:rsid w:val="00AD26F0"/>
    <w:rsid w:val="00AD3A96"/>
    <w:rsid w:val="00AD4CCD"/>
    <w:rsid w:val="00AD5509"/>
    <w:rsid w:val="00AD6B15"/>
    <w:rsid w:val="00AE20B2"/>
    <w:rsid w:val="00AE76B5"/>
    <w:rsid w:val="00AE7838"/>
    <w:rsid w:val="00AF4987"/>
    <w:rsid w:val="00B029FA"/>
    <w:rsid w:val="00B04501"/>
    <w:rsid w:val="00B12BCF"/>
    <w:rsid w:val="00B14035"/>
    <w:rsid w:val="00B1491E"/>
    <w:rsid w:val="00B21A68"/>
    <w:rsid w:val="00B2749C"/>
    <w:rsid w:val="00B316A7"/>
    <w:rsid w:val="00B337A4"/>
    <w:rsid w:val="00B40CAE"/>
    <w:rsid w:val="00B51E09"/>
    <w:rsid w:val="00B63A03"/>
    <w:rsid w:val="00B70715"/>
    <w:rsid w:val="00B71D8C"/>
    <w:rsid w:val="00B80922"/>
    <w:rsid w:val="00B82B36"/>
    <w:rsid w:val="00B86D19"/>
    <w:rsid w:val="00B901E7"/>
    <w:rsid w:val="00B91E5C"/>
    <w:rsid w:val="00B95500"/>
    <w:rsid w:val="00B96FF0"/>
    <w:rsid w:val="00BA2D8E"/>
    <w:rsid w:val="00BB578F"/>
    <w:rsid w:val="00BB620B"/>
    <w:rsid w:val="00BB73E2"/>
    <w:rsid w:val="00BC0866"/>
    <w:rsid w:val="00BC0F7B"/>
    <w:rsid w:val="00BC45D5"/>
    <w:rsid w:val="00BC45FB"/>
    <w:rsid w:val="00BC4F1B"/>
    <w:rsid w:val="00BD45DE"/>
    <w:rsid w:val="00BF1C52"/>
    <w:rsid w:val="00C02229"/>
    <w:rsid w:val="00C05A79"/>
    <w:rsid w:val="00C07777"/>
    <w:rsid w:val="00C12B43"/>
    <w:rsid w:val="00C207FF"/>
    <w:rsid w:val="00C225B2"/>
    <w:rsid w:val="00C246B9"/>
    <w:rsid w:val="00C27BBD"/>
    <w:rsid w:val="00C43EB8"/>
    <w:rsid w:val="00C53CFF"/>
    <w:rsid w:val="00C575F1"/>
    <w:rsid w:val="00C61212"/>
    <w:rsid w:val="00C655E9"/>
    <w:rsid w:val="00C668D6"/>
    <w:rsid w:val="00C75723"/>
    <w:rsid w:val="00C85448"/>
    <w:rsid w:val="00C91157"/>
    <w:rsid w:val="00C93352"/>
    <w:rsid w:val="00C93554"/>
    <w:rsid w:val="00CA0104"/>
    <w:rsid w:val="00CB0D54"/>
    <w:rsid w:val="00CB29D2"/>
    <w:rsid w:val="00CC428A"/>
    <w:rsid w:val="00CC5BBC"/>
    <w:rsid w:val="00CD1166"/>
    <w:rsid w:val="00CD1483"/>
    <w:rsid w:val="00CD1624"/>
    <w:rsid w:val="00CD5EFA"/>
    <w:rsid w:val="00CE2C79"/>
    <w:rsid w:val="00D04EDF"/>
    <w:rsid w:val="00D0552C"/>
    <w:rsid w:val="00D11881"/>
    <w:rsid w:val="00D11A50"/>
    <w:rsid w:val="00D145DE"/>
    <w:rsid w:val="00D155A5"/>
    <w:rsid w:val="00D17C97"/>
    <w:rsid w:val="00D24F82"/>
    <w:rsid w:val="00D46855"/>
    <w:rsid w:val="00D50C35"/>
    <w:rsid w:val="00D5126C"/>
    <w:rsid w:val="00D5461E"/>
    <w:rsid w:val="00D54848"/>
    <w:rsid w:val="00D57683"/>
    <w:rsid w:val="00D6053F"/>
    <w:rsid w:val="00D616B4"/>
    <w:rsid w:val="00D62577"/>
    <w:rsid w:val="00D70855"/>
    <w:rsid w:val="00D72045"/>
    <w:rsid w:val="00D724B7"/>
    <w:rsid w:val="00D775A0"/>
    <w:rsid w:val="00D85823"/>
    <w:rsid w:val="00D86B81"/>
    <w:rsid w:val="00D9419F"/>
    <w:rsid w:val="00D969F3"/>
    <w:rsid w:val="00DA3417"/>
    <w:rsid w:val="00DC1179"/>
    <w:rsid w:val="00DC4055"/>
    <w:rsid w:val="00DC6D13"/>
    <w:rsid w:val="00DD098D"/>
    <w:rsid w:val="00DD0CF3"/>
    <w:rsid w:val="00DD5143"/>
    <w:rsid w:val="00DD670F"/>
    <w:rsid w:val="00DF699B"/>
    <w:rsid w:val="00E07032"/>
    <w:rsid w:val="00E11E67"/>
    <w:rsid w:val="00E12923"/>
    <w:rsid w:val="00E237CC"/>
    <w:rsid w:val="00E262D2"/>
    <w:rsid w:val="00E456EB"/>
    <w:rsid w:val="00E46067"/>
    <w:rsid w:val="00E46DBC"/>
    <w:rsid w:val="00E46FAA"/>
    <w:rsid w:val="00E54F29"/>
    <w:rsid w:val="00E55B9E"/>
    <w:rsid w:val="00E566DC"/>
    <w:rsid w:val="00E5757C"/>
    <w:rsid w:val="00E57B0C"/>
    <w:rsid w:val="00E610D7"/>
    <w:rsid w:val="00E756D0"/>
    <w:rsid w:val="00E823A1"/>
    <w:rsid w:val="00E85C28"/>
    <w:rsid w:val="00E867D4"/>
    <w:rsid w:val="00E878E8"/>
    <w:rsid w:val="00E97112"/>
    <w:rsid w:val="00EA1D29"/>
    <w:rsid w:val="00EA2AB3"/>
    <w:rsid w:val="00EA43A4"/>
    <w:rsid w:val="00EA7E14"/>
    <w:rsid w:val="00EB297F"/>
    <w:rsid w:val="00EC177D"/>
    <w:rsid w:val="00EC4C51"/>
    <w:rsid w:val="00EC6774"/>
    <w:rsid w:val="00EC703D"/>
    <w:rsid w:val="00ED06C8"/>
    <w:rsid w:val="00EE5FFB"/>
    <w:rsid w:val="00EE682B"/>
    <w:rsid w:val="00EF507D"/>
    <w:rsid w:val="00F02D34"/>
    <w:rsid w:val="00F044F6"/>
    <w:rsid w:val="00F059B4"/>
    <w:rsid w:val="00F071DA"/>
    <w:rsid w:val="00F14F32"/>
    <w:rsid w:val="00F16ADB"/>
    <w:rsid w:val="00F17635"/>
    <w:rsid w:val="00F25B3C"/>
    <w:rsid w:val="00F318E0"/>
    <w:rsid w:val="00F533B8"/>
    <w:rsid w:val="00F554D4"/>
    <w:rsid w:val="00F56B49"/>
    <w:rsid w:val="00F65440"/>
    <w:rsid w:val="00F73575"/>
    <w:rsid w:val="00F768E4"/>
    <w:rsid w:val="00F80A6B"/>
    <w:rsid w:val="00F90103"/>
    <w:rsid w:val="00F92316"/>
    <w:rsid w:val="00F96C2D"/>
    <w:rsid w:val="00F977D0"/>
    <w:rsid w:val="00FA1768"/>
    <w:rsid w:val="00FC0318"/>
    <w:rsid w:val="00FC2D77"/>
    <w:rsid w:val="00FD1545"/>
    <w:rsid w:val="00FD3CCD"/>
    <w:rsid w:val="00FD4EB7"/>
    <w:rsid w:val="00FD56D5"/>
    <w:rsid w:val="00FD66CF"/>
    <w:rsid w:val="00FE1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0928"/>
  <w15:chartTrackingRefBased/>
  <w15:docId w15:val="{DAD4353B-E677-4370-B4DE-A9A846CE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7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B0D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1C8"/>
    <w:rPr>
      <w:color w:val="0563C1" w:themeColor="hyperlink"/>
      <w:u w:val="single"/>
    </w:rPr>
  </w:style>
  <w:style w:type="character" w:styleId="UnresolvedMention">
    <w:name w:val="Unresolved Mention"/>
    <w:basedOn w:val="DefaultParagraphFont"/>
    <w:uiPriority w:val="99"/>
    <w:semiHidden/>
    <w:unhideWhenUsed/>
    <w:rsid w:val="009C71C8"/>
    <w:rPr>
      <w:color w:val="605E5C"/>
      <w:shd w:val="clear" w:color="auto" w:fill="E1DFDD"/>
    </w:rPr>
  </w:style>
  <w:style w:type="character" w:customStyle="1" w:styleId="Heading2Char">
    <w:name w:val="Heading 2 Char"/>
    <w:basedOn w:val="DefaultParagraphFont"/>
    <w:link w:val="Heading2"/>
    <w:uiPriority w:val="9"/>
    <w:semiHidden/>
    <w:rsid w:val="00CB0D5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07660"/>
    <w:pPr>
      <w:ind w:left="720"/>
      <w:contextualSpacing/>
    </w:pPr>
  </w:style>
  <w:style w:type="paragraph" w:styleId="NormalWeb">
    <w:name w:val="Normal (Web)"/>
    <w:basedOn w:val="Normal"/>
    <w:uiPriority w:val="99"/>
    <w:semiHidden/>
    <w:unhideWhenUsed/>
    <w:rsid w:val="009B6C01"/>
    <w:rPr>
      <w:rFonts w:ascii="Times New Roman" w:hAnsi="Times New Roman" w:cs="Times New Roman"/>
      <w:szCs w:val="24"/>
    </w:rPr>
  </w:style>
  <w:style w:type="paragraph" w:styleId="FootnoteText">
    <w:name w:val="footnote text"/>
    <w:basedOn w:val="Normal"/>
    <w:link w:val="FootnoteTextChar"/>
    <w:uiPriority w:val="99"/>
    <w:semiHidden/>
    <w:unhideWhenUsed/>
    <w:rsid w:val="009A76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6D8"/>
    <w:rPr>
      <w:sz w:val="20"/>
      <w:szCs w:val="20"/>
    </w:rPr>
  </w:style>
  <w:style w:type="character" w:styleId="FootnoteReference">
    <w:name w:val="footnote reference"/>
    <w:basedOn w:val="DefaultParagraphFont"/>
    <w:uiPriority w:val="99"/>
    <w:semiHidden/>
    <w:unhideWhenUsed/>
    <w:rsid w:val="009A76D8"/>
    <w:rPr>
      <w:vertAlign w:val="superscript"/>
    </w:rPr>
  </w:style>
  <w:style w:type="character" w:styleId="FollowedHyperlink">
    <w:name w:val="FollowedHyperlink"/>
    <w:basedOn w:val="DefaultParagraphFont"/>
    <w:uiPriority w:val="99"/>
    <w:semiHidden/>
    <w:unhideWhenUsed/>
    <w:rsid w:val="00B12BCF"/>
    <w:rPr>
      <w:color w:val="954F72" w:themeColor="followedHyperlink"/>
      <w:u w:val="single"/>
    </w:rPr>
  </w:style>
  <w:style w:type="character" w:customStyle="1" w:styleId="Heading1Char">
    <w:name w:val="Heading 1 Char"/>
    <w:basedOn w:val="DefaultParagraphFont"/>
    <w:link w:val="Heading1"/>
    <w:uiPriority w:val="9"/>
    <w:rsid w:val="001547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7736">
      <w:bodyDiv w:val="1"/>
      <w:marLeft w:val="0"/>
      <w:marRight w:val="0"/>
      <w:marTop w:val="0"/>
      <w:marBottom w:val="0"/>
      <w:divBdr>
        <w:top w:val="none" w:sz="0" w:space="0" w:color="auto"/>
        <w:left w:val="none" w:sz="0" w:space="0" w:color="auto"/>
        <w:bottom w:val="none" w:sz="0" w:space="0" w:color="auto"/>
        <w:right w:val="none" w:sz="0" w:space="0" w:color="auto"/>
      </w:divBdr>
    </w:div>
    <w:div w:id="114176414">
      <w:bodyDiv w:val="1"/>
      <w:marLeft w:val="0"/>
      <w:marRight w:val="0"/>
      <w:marTop w:val="0"/>
      <w:marBottom w:val="0"/>
      <w:divBdr>
        <w:top w:val="none" w:sz="0" w:space="0" w:color="auto"/>
        <w:left w:val="none" w:sz="0" w:space="0" w:color="auto"/>
        <w:bottom w:val="none" w:sz="0" w:space="0" w:color="auto"/>
        <w:right w:val="none" w:sz="0" w:space="0" w:color="auto"/>
      </w:divBdr>
    </w:div>
    <w:div w:id="142353487">
      <w:bodyDiv w:val="1"/>
      <w:marLeft w:val="0"/>
      <w:marRight w:val="0"/>
      <w:marTop w:val="0"/>
      <w:marBottom w:val="0"/>
      <w:divBdr>
        <w:top w:val="none" w:sz="0" w:space="0" w:color="auto"/>
        <w:left w:val="none" w:sz="0" w:space="0" w:color="auto"/>
        <w:bottom w:val="none" w:sz="0" w:space="0" w:color="auto"/>
        <w:right w:val="none" w:sz="0" w:space="0" w:color="auto"/>
      </w:divBdr>
    </w:div>
    <w:div w:id="273175761">
      <w:bodyDiv w:val="1"/>
      <w:marLeft w:val="0"/>
      <w:marRight w:val="0"/>
      <w:marTop w:val="0"/>
      <w:marBottom w:val="0"/>
      <w:divBdr>
        <w:top w:val="none" w:sz="0" w:space="0" w:color="auto"/>
        <w:left w:val="none" w:sz="0" w:space="0" w:color="auto"/>
        <w:bottom w:val="none" w:sz="0" w:space="0" w:color="auto"/>
        <w:right w:val="none" w:sz="0" w:space="0" w:color="auto"/>
      </w:divBdr>
    </w:div>
    <w:div w:id="901141221">
      <w:bodyDiv w:val="1"/>
      <w:marLeft w:val="0"/>
      <w:marRight w:val="0"/>
      <w:marTop w:val="0"/>
      <w:marBottom w:val="0"/>
      <w:divBdr>
        <w:top w:val="none" w:sz="0" w:space="0" w:color="auto"/>
        <w:left w:val="none" w:sz="0" w:space="0" w:color="auto"/>
        <w:bottom w:val="none" w:sz="0" w:space="0" w:color="auto"/>
        <w:right w:val="none" w:sz="0" w:space="0" w:color="auto"/>
      </w:divBdr>
    </w:div>
    <w:div w:id="1121921302">
      <w:bodyDiv w:val="1"/>
      <w:marLeft w:val="0"/>
      <w:marRight w:val="0"/>
      <w:marTop w:val="0"/>
      <w:marBottom w:val="0"/>
      <w:divBdr>
        <w:top w:val="none" w:sz="0" w:space="0" w:color="auto"/>
        <w:left w:val="none" w:sz="0" w:space="0" w:color="auto"/>
        <w:bottom w:val="none" w:sz="0" w:space="0" w:color="auto"/>
        <w:right w:val="none" w:sz="0" w:space="0" w:color="auto"/>
      </w:divBdr>
    </w:div>
    <w:div w:id="1122842885">
      <w:bodyDiv w:val="1"/>
      <w:marLeft w:val="0"/>
      <w:marRight w:val="0"/>
      <w:marTop w:val="0"/>
      <w:marBottom w:val="0"/>
      <w:divBdr>
        <w:top w:val="none" w:sz="0" w:space="0" w:color="auto"/>
        <w:left w:val="none" w:sz="0" w:space="0" w:color="auto"/>
        <w:bottom w:val="none" w:sz="0" w:space="0" w:color="auto"/>
        <w:right w:val="none" w:sz="0" w:space="0" w:color="auto"/>
      </w:divBdr>
    </w:div>
    <w:div w:id="1192914718">
      <w:bodyDiv w:val="1"/>
      <w:marLeft w:val="0"/>
      <w:marRight w:val="0"/>
      <w:marTop w:val="0"/>
      <w:marBottom w:val="0"/>
      <w:divBdr>
        <w:top w:val="none" w:sz="0" w:space="0" w:color="auto"/>
        <w:left w:val="none" w:sz="0" w:space="0" w:color="auto"/>
        <w:bottom w:val="none" w:sz="0" w:space="0" w:color="auto"/>
        <w:right w:val="none" w:sz="0" w:space="0" w:color="auto"/>
      </w:divBdr>
    </w:div>
    <w:div w:id="1307248475">
      <w:bodyDiv w:val="1"/>
      <w:marLeft w:val="0"/>
      <w:marRight w:val="0"/>
      <w:marTop w:val="0"/>
      <w:marBottom w:val="0"/>
      <w:divBdr>
        <w:top w:val="none" w:sz="0" w:space="0" w:color="auto"/>
        <w:left w:val="none" w:sz="0" w:space="0" w:color="auto"/>
        <w:bottom w:val="none" w:sz="0" w:space="0" w:color="auto"/>
        <w:right w:val="none" w:sz="0" w:space="0" w:color="auto"/>
      </w:divBdr>
      <w:divsChild>
        <w:div w:id="563681007">
          <w:marLeft w:val="0"/>
          <w:marRight w:val="0"/>
          <w:marTop w:val="200"/>
          <w:marBottom w:val="200"/>
          <w:divBdr>
            <w:top w:val="none" w:sz="0" w:space="0" w:color="auto"/>
            <w:left w:val="none" w:sz="0" w:space="0" w:color="auto"/>
            <w:bottom w:val="none" w:sz="0" w:space="0" w:color="auto"/>
            <w:right w:val="none" w:sz="0" w:space="0" w:color="auto"/>
          </w:divBdr>
        </w:div>
      </w:divsChild>
    </w:div>
    <w:div w:id="1344939080">
      <w:bodyDiv w:val="1"/>
      <w:marLeft w:val="0"/>
      <w:marRight w:val="0"/>
      <w:marTop w:val="0"/>
      <w:marBottom w:val="0"/>
      <w:divBdr>
        <w:top w:val="none" w:sz="0" w:space="0" w:color="auto"/>
        <w:left w:val="none" w:sz="0" w:space="0" w:color="auto"/>
        <w:bottom w:val="none" w:sz="0" w:space="0" w:color="auto"/>
        <w:right w:val="none" w:sz="0" w:space="0" w:color="auto"/>
      </w:divBdr>
    </w:div>
    <w:div w:id="1409306651">
      <w:bodyDiv w:val="1"/>
      <w:marLeft w:val="0"/>
      <w:marRight w:val="0"/>
      <w:marTop w:val="0"/>
      <w:marBottom w:val="0"/>
      <w:divBdr>
        <w:top w:val="none" w:sz="0" w:space="0" w:color="auto"/>
        <w:left w:val="none" w:sz="0" w:space="0" w:color="auto"/>
        <w:bottom w:val="none" w:sz="0" w:space="0" w:color="auto"/>
        <w:right w:val="none" w:sz="0" w:space="0" w:color="auto"/>
      </w:divBdr>
    </w:div>
    <w:div w:id="1593002636">
      <w:bodyDiv w:val="1"/>
      <w:marLeft w:val="0"/>
      <w:marRight w:val="0"/>
      <w:marTop w:val="0"/>
      <w:marBottom w:val="0"/>
      <w:divBdr>
        <w:top w:val="none" w:sz="0" w:space="0" w:color="auto"/>
        <w:left w:val="none" w:sz="0" w:space="0" w:color="auto"/>
        <w:bottom w:val="none" w:sz="0" w:space="0" w:color="auto"/>
        <w:right w:val="none" w:sz="0" w:space="0" w:color="auto"/>
      </w:divBdr>
    </w:div>
    <w:div w:id="16151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dcconsortium.net/" TargetMode="External"/><Relationship Id="rId13" Type="http://schemas.openxmlformats.org/officeDocument/2006/relationships/hyperlink" Target="https://www.health.gov.au/our-work/national-roadmap-for-improving-the-health-of-people-with-intellectual-disability"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publications/i/item/9789240025707"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publications/i/item/who-qualityrights-guidance-and-training-too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ghtsavershh-my.sharepoint.com/personal/scollinson_sightsavers_org/Documents/Human%20rights/HRC%20care%20and%20support%20systems%20for%20persons%20with%20disabilities/ReLAB-HS" TargetMode="External"/><Relationship Id="rId4" Type="http://schemas.openxmlformats.org/officeDocument/2006/relationships/settings" Target="settings.xml"/><Relationship Id="rId9" Type="http://schemas.openxmlformats.org/officeDocument/2006/relationships/hyperlink" Target="mailto:scollinson@sightsavers.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who.int/publications/i/item/9789240063600" TargetMode="External"/><Relationship Id="rId18" Type="http://schemas.openxmlformats.org/officeDocument/2006/relationships/hyperlink" Target="https://www.who.int/publications/i/item/9789240063600" TargetMode="External"/><Relationship Id="rId26" Type="http://schemas.openxmlformats.org/officeDocument/2006/relationships/hyperlink" Target="https://relabhs.org/wp-content/uploads/2023/12/Article-ReLAB-HS-Rehabilitation-in-UHC_Final-Formatted-.pdf" TargetMode="External"/><Relationship Id="rId3" Type="http://schemas.openxmlformats.org/officeDocument/2006/relationships/hyperlink" Target="https://www.ncbi.nlm.nih.gov/pmc/articles/PMC7348459/" TargetMode="External"/><Relationship Id="rId21" Type="http://schemas.openxmlformats.org/officeDocument/2006/relationships/hyperlink" Target="https://www.ncbi.nlm.nih.gov/pmc/articles/PMC9319493/" TargetMode="External"/><Relationship Id="rId34" Type="http://schemas.openxmlformats.org/officeDocument/2006/relationships/hyperlink" Target="https://www.who.int/publications/i/item/9789240049338" TargetMode="External"/><Relationship Id="rId7" Type="http://schemas.openxmlformats.org/officeDocument/2006/relationships/hyperlink" Target="https://www.ncbi.nlm.nih.gov/pmc/articles/PMC9319493/" TargetMode="External"/><Relationship Id="rId12" Type="http://schemas.openxmlformats.org/officeDocument/2006/relationships/hyperlink" Target="https://www.who.int/publications/i/item/9789240063600" TargetMode="External"/><Relationship Id="rId17" Type="http://schemas.openxmlformats.org/officeDocument/2006/relationships/hyperlink" Target="https://iris.who.int/handle/10665/329647" TargetMode="External"/><Relationship Id="rId25" Type="http://schemas.openxmlformats.org/officeDocument/2006/relationships/hyperlink" Target="https://www.who.int/publications/i/item/9789240063600" TargetMode="External"/><Relationship Id="rId33" Type="http://schemas.openxmlformats.org/officeDocument/2006/relationships/hyperlink" Target="https://www.who.int/publications/i/item/9789240063600" TargetMode="External"/><Relationship Id="rId2" Type="http://schemas.openxmlformats.org/officeDocument/2006/relationships/hyperlink" Target="https://www.ncbi.nlm.nih.gov/pmc/articles/PMC7348459/" TargetMode="External"/><Relationship Id="rId16" Type="http://schemas.openxmlformats.org/officeDocument/2006/relationships/hyperlink" Target="https://iris.who.int/bitstream/handle/10665/329539/9789241516716-eng.pdf" TargetMode="External"/><Relationship Id="rId20" Type="http://schemas.openxmlformats.org/officeDocument/2006/relationships/hyperlink" Target="https://www.who.int/publications/i/item/9789240063600" TargetMode="External"/><Relationship Id="rId29" Type="http://schemas.openxmlformats.org/officeDocument/2006/relationships/hyperlink" Target="https://www.ncbi.nlm.nih.gov/pmc/articles/PMC9319493/" TargetMode="External"/><Relationship Id="rId1" Type="http://schemas.openxmlformats.org/officeDocument/2006/relationships/hyperlink" Target="https://www.cbm.org/fileadmin/resourcespace/community_2030_narrative_artwork_accessible.pdf" TargetMode="External"/><Relationship Id="rId6" Type="http://schemas.openxmlformats.org/officeDocument/2006/relationships/hyperlink" Target="https://www.who.int/publications/i/item/9789240063600" TargetMode="External"/><Relationship Id="rId11" Type="http://schemas.openxmlformats.org/officeDocument/2006/relationships/hyperlink" Target="https://www.who.int/publications/i/item/9789240025707" TargetMode="External"/><Relationship Id="rId24" Type="http://schemas.openxmlformats.org/officeDocument/2006/relationships/hyperlink" Target="https://www.ncbi.nlm.nih.gov/pmc/articles/PMC9319493/" TargetMode="External"/><Relationship Id="rId32" Type="http://schemas.openxmlformats.org/officeDocument/2006/relationships/hyperlink" Target="https://www.who.int/publications/i/item/9789240063600" TargetMode="External"/><Relationship Id="rId5" Type="http://schemas.openxmlformats.org/officeDocument/2006/relationships/hyperlink" Target="https://www.hi.org/sn_uploads/document/Rehabilitation-through-a-gender-lens-ReLABHS-Factsheet-2021.pdf" TargetMode="External"/><Relationship Id="rId15" Type="http://schemas.openxmlformats.org/officeDocument/2006/relationships/hyperlink" Target="https://doi.org/10.1177/00207640231207580" TargetMode="External"/><Relationship Id="rId23" Type="http://schemas.openxmlformats.org/officeDocument/2006/relationships/hyperlink" Target="https://www.who.int/publications/i/item/9789240025707" TargetMode="External"/><Relationship Id="rId28" Type="http://schemas.openxmlformats.org/officeDocument/2006/relationships/hyperlink" Target="https://www.who.int/publications/i/item/9789240063600" TargetMode="External"/><Relationship Id="rId10" Type="http://schemas.openxmlformats.org/officeDocument/2006/relationships/hyperlink" Target="https://www.ncbi.nlm.nih.gov/pmc/articles/PMC7348459/" TargetMode="External"/><Relationship Id="rId19" Type="http://schemas.openxmlformats.org/officeDocument/2006/relationships/hyperlink" Target="https://www.health.gov.au/our-work/national-roadmap-for-improving-the-health-of-people-with-intellectual-disability" TargetMode="External"/><Relationship Id="rId31" Type="http://schemas.openxmlformats.org/officeDocument/2006/relationships/hyperlink" Target="https://www.ncbi.nlm.nih.gov/pmc/articles/PMC9319493/" TargetMode="External"/><Relationship Id="rId4" Type="http://schemas.openxmlformats.org/officeDocument/2006/relationships/hyperlink" Target="https://iris.who.int/bitstream/handle/10665/329539/9789241516716-eng.pdf" TargetMode="External"/><Relationship Id="rId9" Type="http://schemas.openxmlformats.org/officeDocument/2006/relationships/hyperlink" Target="https://www.who.int/publications/i/item/9789240063600" TargetMode="External"/><Relationship Id="rId14" Type="http://schemas.openxmlformats.org/officeDocument/2006/relationships/hyperlink" Target="https://www.ncbi.nlm.nih.gov/pmc/articles/PMC7348459/" TargetMode="External"/><Relationship Id="rId22" Type="http://schemas.openxmlformats.org/officeDocument/2006/relationships/hyperlink" Target="https://www.who.int/publications/i/item/9789240063600" TargetMode="External"/><Relationship Id="rId27" Type="http://schemas.openxmlformats.org/officeDocument/2006/relationships/hyperlink" Target="https://www.ncbi.nlm.nih.gov/pmc/articles/PMC9319493/" TargetMode="External"/><Relationship Id="rId30" Type="http://schemas.openxmlformats.org/officeDocument/2006/relationships/hyperlink" Target="https://www.who.int/publications/i/item/9789240063600" TargetMode="External"/><Relationship Id="rId35" Type="http://schemas.openxmlformats.org/officeDocument/2006/relationships/hyperlink" Target="https://www.who.int/publications/i/item/9789240063600" TargetMode="External"/><Relationship Id="rId8" Type="http://schemas.openxmlformats.org/officeDocument/2006/relationships/hyperlink" Target="https://relabhs.org/wp-content/uploads/2023/12/Article-ReLAB-HS-Rehabilitation-in-UHC_Final-Format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International Disability and Development Consortium (IDDC)</Contributor>
  </documentManagement>
</p:properties>
</file>

<file path=customXml/itemProps1.xml><?xml version="1.0" encoding="utf-8"?>
<ds:datastoreItem xmlns:ds="http://schemas.openxmlformats.org/officeDocument/2006/customXml" ds:itemID="{BD923661-793A-4D7D-B044-CF2015CFEFB5}">
  <ds:schemaRefs>
    <ds:schemaRef ds:uri="http://schemas.openxmlformats.org/officeDocument/2006/bibliography"/>
  </ds:schemaRefs>
</ds:datastoreItem>
</file>

<file path=customXml/itemProps2.xml><?xml version="1.0" encoding="utf-8"?>
<ds:datastoreItem xmlns:ds="http://schemas.openxmlformats.org/officeDocument/2006/customXml" ds:itemID="{C7F2F6A3-ECAE-40A5-B869-1D0C0A669771}"/>
</file>

<file path=customXml/itemProps3.xml><?xml version="1.0" encoding="utf-8"?>
<ds:datastoreItem xmlns:ds="http://schemas.openxmlformats.org/officeDocument/2006/customXml" ds:itemID="{9FCCD763-3DD9-4B68-8BF5-37E1026EF048}"/>
</file>

<file path=customXml/itemProps4.xml><?xml version="1.0" encoding="utf-8"?>
<ds:datastoreItem xmlns:ds="http://schemas.openxmlformats.org/officeDocument/2006/customXml" ds:itemID="{01A474EB-4757-4594-A6FC-FE83FF66BBD9}"/>
</file>

<file path=docProps/app.xml><?xml version="1.0" encoding="utf-8"?>
<Properties xmlns="http://schemas.openxmlformats.org/officeDocument/2006/extended-properties" xmlns:vt="http://schemas.openxmlformats.org/officeDocument/2006/docPropsVTypes">
  <Template>Normal</Template>
  <TotalTime>7</TotalTime>
  <Pages>5</Pages>
  <Words>3183</Words>
  <Characters>18146</Characters>
  <Application>Microsoft Office Word</Application>
  <DocSecurity>0</DocSecurity>
  <Lines>151</Lines>
  <Paragraphs>42</Paragraphs>
  <ScaleCrop>false</ScaleCrop>
  <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Collinson</dc:creator>
  <cp:keywords/>
  <dc:description/>
  <cp:lastModifiedBy>Sarah Collinson</cp:lastModifiedBy>
  <cp:revision>2</cp:revision>
  <dcterms:created xsi:type="dcterms:W3CDTF">2024-04-11T16:40:00Z</dcterms:created>
  <dcterms:modified xsi:type="dcterms:W3CDTF">2024-04-11T16:40:00Z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