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9EB1" w14:textId="77777777" w:rsidR="00D520B3" w:rsidRPr="00D520B3" w:rsidRDefault="00D520B3" w:rsidP="00D520B3">
      <w:pPr>
        <w:jc w:val="center"/>
        <w:rPr>
          <w:rFonts w:eastAsia="Times New Roman" w:cstheme="minorHAnsi"/>
          <w:b/>
          <w:bCs/>
          <w:sz w:val="28"/>
          <w:szCs w:val="28"/>
          <w:lang w:eastAsia="en-GB"/>
        </w:rPr>
      </w:pPr>
      <w:bookmarkStart w:id="0" w:name="_GoBack"/>
      <w:bookmarkEnd w:id="0"/>
      <w:r w:rsidRPr="00D520B3">
        <w:rPr>
          <w:rFonts w:eastAsia="Times New Roman" w:cstheme="minorHAnsi"/>
          <w:b/>
          <w:bCs/>
          <w:sz w:val="28"/>
          <w:szCs w:val="28"/>
          <w:lang w:eastAsia="en-GB"/>
        </w:rPr>
        <w:t>Multi-stakeholder meeting on the human rights of older persons</w:t>
      </w:r>
    </w:p>
    <w:p w14:paraId="6A92AC8A" w14:textId="7EE552A1" w:rsidR="00D520B3" w:rsidRPr="00720D1C" w:rsidRDefault="00D520B3" w:rsidP="00D520B3">
      <w:pPr>
        <w:pStyle w:val="xmsonormal"/>
        <w:shd w:val="clear" w:color="auto" w:fill="FFFFFF"/>
        <w:spacing w:before="0" w:beforeAutospacing="0" w:after="0" w:afterAutospacing="0"/>
        <w:rPr>
          <w:rFonts w:asciiTheme="minorHAnsi" w:hAnsiTheme="minorHAnsi" w:cstheme="minorHAnsi"/>
          <w:color w:val="1F497D"/>
          <w:sz w:val="22"/>
          <w:szCs w:val="22"/>
          <w:bdr w:val="none" w:sz="0" w:space="0" w:color="auto" w:frame="1"/>
        </w:rPr>
      </w:pPr>
    </w:p>
    <w:p w14:paraId="1707E15F" w14:textId="4AB90F94" w:rsidR="00D520B3" w:rsidRPr="00720D1C" w:rsidRDefault="00D520B3" w:rsidP="00E2656D">
      <w:pPr>
        <w:jc w:val="center"/>
        <w:rPr>
          <w:rFonts w:eastAsia="Times New Roman" w:cstheme="minorHAnsi"/>
          <w:i/>
          <w:iCs/>
          <w:lang w:eastAsia="en-GB"/>
        </w:rPr>
      </w:pPr>
      <w:r w:rsidRPr="00D520B3">
        <w:rPr>
          <w:rFonts w:eastAsia="Times New Roman" w:cstheme="minorHAnsi"/>
          <w:i/>
          <w:iCs/>
          <w:lang w:eastAsia="en-GB"/>
        </w:rPr>
        <w:t>Session 2: Adequacy of existing human rights mechanisms in responding to the challenges</w:t>
      </w:r>
    </w:p>
    <w:p w14:paraId="2ABFF19F" w14:textId="735303C8" w:rsidR="00E2656D" w:rsidRPr="00720D1C" w:rsidRDefault="00E2656D" w:rsidP="00E2656D">
      <w:pPr>
        <w:jc w:val="both"/>
        <w:rPr>
          <w:rFonts w:eastAsia="Times New Roman" w:cstheme="minorHAnsi"/>
          <w:i/>
          <w:iCs/>
          <w:lang w:eastAsia="en-GB"/>
        </w:rPr>
      </w:pPr>
    </w:p>
    <w:p w14:paraId="52C507C4" w14:textId="47F96392" w:rsidR="00E2656D" w:rsidRPr="00720D1C" w:rsidRDefault="00E2656D" w:rsidP="00E2656D">
      <w:pPr>
        <w:jc w:val="both"/>
        <w:rPr>
          <w:rFonts w:eastAsia="Times New Roman" w:cstheme="minorHAnsi"/>
          <w:b/>
          <w:bCs/>
          <w:lang w:val="sl-SI" w:eastAsia="en-GB"/>
        </w:rPr>
      </w:pPr>
      <w:r w:rsidRPr="00720D1C">
        <w:rPr>
          <w:rFonts w:eastAsia="Times New Roman" w:cstheme="minorHAnsi"/>
          <w:b/>
          <w:bCs/>
          <w:lang w:val="sl-SI" w:eastAsia="en-GB"/>
        </w:rPr>
        <w:t>UN Human Rights Committee and older persons (Vasilka Sancin)</w:t>
      </w:r>
    </w:p>
    <w:p w14:paraId="48F5C987" w14:textId="77777777" w:rsidR="00E2656D" w:rsidRPr="00D520B3" w:rsidRDefault="00E2656D" w:rsidP="00E2656D">
      <w:pPr>
        <w:jc w:val="both"/>
        <w:rPr>
          <w:rFonts w:eastAsia="Times New Roman" w:cstheme="minorHAnsi"/>
          <w:lang w:val="sl-SI" w:eastAsia="en-GB"/>
        </w:rPr>
      </w:pPr>
    </w:p>
    <w:p w14:paraId="2278D711" w14:textId="1DEB05F0" w:rsidR="00D12988" w:rsidRPr="00720D1C" w:rsidRDefault="00D12988" w:rsidP="00D12988">
      <w:pPr>
        <w:jc w:val="both"/>
        <w:rPr>
          <w:rFonts w:cstheme="minorHAnsi"/>
          <w:color w:val="000000" w:themeColor="text1"/>
        </w:rPr>
      </w:pPr>
      <w:r w:rsidRPr="00720D1C">
        <w:rPr>
          <w:rFonts w:cstheme="minorHAnsi"/>
          <w:color w:val="000000" w:themeColor="text1"/>
        </w:rPr>
        <w:t>Among the currently existing 10 human rights treaty-bodies, the UN Human Rights Committee, established under the International Covenant on Civil and Political Rights</w:t>
      </w:r>
      <w:r w:rsidR="00720D1C" w:rsidRPr="00720D1C">
        <w:rPr>
          <w:rFonts w:cstheme="minorHAnsi"/>
          <w:color w:val="000000" w:themeColor="text1"/>
        </w:rPr>
        <w:t xml:space="preserve">, with </w:t>
      </w:r>
      <w:r w:rsidRPr="00720D1C">
        <w:rPr>
          <w:rFonts w:cstheme="minorHAnsi"/>
          <w:color w:val="000000" w:themeColor="text1"/>
        </w:rPr>
        <w:t xml:space="preserve">currently 173 States Parties, has been since its establishment in many respects, particularly given its </w:t>
      </w:r>
      <w:r w:rsidRPr="00720D1C">
        <w:rPr>
          <w:rFonts w:cstheme="minorHAnsi"/>
          <w:i/>
          <w:iCs/>
          <w:color w:val="000000" w:themeColor="text1"/>
        </w:rPr>
        <w:t>broad subject-matter mandate</w:t>
      </w:r>
      <w:r w:rsidRPr="00720D1C">
        <w:rPr>
          <w:rFonts w:cstheme="minorHAnsi"/>
          <w:color w:val="000000" w:themeColor="text1"/>
        </w:rPr>
        <w:t xml:space="preserve">, </w:t>
      </w:r>
      <w:r w:rsidR="008F0AD4">
        <w:rPr>
          <w:rFonts w:cstheme="minorHAnsi"/>
          <w:color w:val="000000" w:themeColor="text1"/>
        </w:rPr>
        <w:t xml:space="preserve">ranging from right to life, prohibition of torture </w:t>
      </w:r>
      <w:r w:rsidRPr="00720D1C">
        <w:rPr>
          <w:rFonts w:cstheme="minorHAnsi"/>
          <w:color w:val="000000" w:themeColor="text1"/>
        </w:rPr>
        <w:t>a</w:t>
      </w:r>
      <w:r w:rsidR="008F0AD4">
        <w:rPr>
          <w:rFonts w:cstheme="minorHAnsi"/>
          <w:color w:val="000000" w:themeColor="text1"/>
        </w:rPr>
        <w:t>nd ill-treatment, non-discrimination, freedoms of religion, e</w:t>
      </w:r>
      <w:r w:rsidR="00C4026B">
        <w:rPr>
          <w:rFonts w:cstheme="minorHAnsi"/>
          <w:color w:val="000000" w:themeColor="text1"/>
        </w:rPr>
        <w:t>x</w:t>
      </w:r>
      <w:r w:rsidR="008F0AD4">
        <w:rPr>
          <w:rFonts w:cstheme="minorHAnsi"/>
          <w:color w:val="000000" w:themeColor="text1"/>
        </w:rPr>
        <w:t xml:space="preserve">pression, </w:t>
      </w:r>
      <w:r w:rsidR="00C4026B">
        <w:rPr>
          <w:rFonts w:cstheme="minorHAnsi"/>
          <w:color w:val="000000" w:themeColor="text1"/>
        </w:rPr>
        <w:t xml:space="preserve">association, </w:t>
      </w:r>
      <w:r w:rsidR="008F0AD4">
        <w:rPr>
          <w:rFonts w:cstheme="minorHAnsi"/>
          <w:color w:val="000000" w:themeColor="text1"/>
        </w:rPr>
        <w:t>right of peaceful assembly e</w:t>
      </w:r>
      <w:r w:rsidR="00C4026B">
        <w:rPr>
          <w:rFonts w:cstheme="minorHAnsi"/>
          <w:color w:val="000000" w:themeColor="text1"/>
        </w:rPr>
        <w:t>tc., in many respects, a</w:t>
      </w:r>
      <w:r w:rsidR="008F0AD4">
        <w:rPr>
          <w:rFonts w:cstheme="minorHAnsi"/>
          <w:color w:val="000000" w:themeColor="text1"/>
        </w:rPr>
        <w:t xml:space="preserve"> </w:t>
      </w:r>
      <w:r w:rsidRPr="00720D1C">
        <w:rPr>
          <w:rFonts w:cstheme="minorHAnsi"/>
          <w:color w:val="000000" w:themeColor="text1"/>
        </w:rPr>
        <w:t xml:space="preserve"> ‘core actor’ within the UN treaty-body human rights </w:t>
      </w:r>
      <w:r w:rsidR="00720D1C" w:rsidRPr="00720D1C">
        <w:rPr>
          <w:rFonts w:cstheme="minorHAnsi"/>
          <w:color w:val="000000" w:themeColor="text1"/>
        </w:rPr>
        <w:t>system</w:t>
      </w:r>
      <w:r w:rsidRPr="00720D1C">
        <w:rPr>
          <w:rFonts w:cstheme="minorHAnsi"/>
          <w:color w:val="000000" w:themeColor="text1"/>
        </w:rPr>
        <w:t>.</w:t>
      </w:r>
      <w:r w:rsidR="008F0AD4" w:rsidRPr="008F0AD4">
        <w:t xml:space="preserve"> </w:t>
      </w:r>
      <w:r w:rsidR="008F0AD4" w:rsidRPr="002C4433">
        <w:t xml:space="preserve">Despite occasional attempts of States parties to demonstrate to the </w:t>
      </w:r>
      <w:r w:rsidR="008F0AD4">
        <w:t>Committee</w:t>
      </w:r>
      <w:r w:rsidR="008F0AD4" w:rsidRPr="002C4433">
        <w:t xml:space="preserve"> otherwise, no country’s record is without challenges</w:t>
      </w:r>
      <w:r w:rsidR="008F0AD4">
        <w:t>,</w:t>
      </w:r>
      <w:r w:rsidR="008F0AD4" w:rsidRPr="002C4433">
        <w:t xml:space="preserve"> that consequently trigger concerns, expressed in COB</w:t>
      </w:r>
      <w:r w:rsidR="008F0AD4">
        <w:t>s</w:t>
      </w:r>
      <w:r w:rsidR="008F0AD4" w:rsidRPr="002C4433">
        <w:t xml:space="preserve"> or Views</w:t>
      </w:r>
      <w:r w:rsidR="00350C2B">
        <w:t xml:space="preserve"> issued on the basis of individual complaints</w:t>
      </w:r>
      <w:r w:rsidR="008F0AD4" w:rsidRPr="002C4433">
        <w:t>.</w:t>
      </w:r>
    </w:p>
    <w:p w14:paraId="679750BC" w14:textId="33012B57" w:rsidR="00720D1C" w:rsidRPr="00720D1C" w:rsidRDefault="00720D1C" w:rsidP="00D12988">
      <w:pPr>
        <w:jc w:val="both"/>
        <w:rPr>
          <w:rFonts w:cstheme="minorHAnsi"/>
          <w:color w:val="000000" w:themeColor="text1"/>
        </w:rPr>
      </w:pPr>
    </w:p>
    <w:p w14:paraId="3E9FD8B5" w14:textId="34F7A6EE" w:rsidR="00D520B3" w:rsidRPr="002A500D" w:rsidRDefault="00720D1C" w:rsidP="00720D1C">
      <w:pPr>
        <w:jc w:val="both"/>
      </w:pPr>
      <w:r w:rsidRPr="00720D1C">
        <w:rPr>
          <w:rFonts w:cstheme="minorHAnsi"/>
          <w:color w:val="000000" w:themeColor="text1"/>
        </w:rPr>
        <w:t xml:space="preserve">Given a constant </w:t>
      </w:r>
      <w:r w:rsidRPr="00720D1C">
        <w:rPr>
          <w:rFonts w:cstheme="minorHAnsi"/>
          <w:color w:val="000000" w:themeColor="text1"/>
          <w:bdr w:val="none" w:sz="0" w:space="0" w:color="auto" w:frame="1"/>
        </w:rPr>
        <w:t xml:space="preserve">increase of the number of UN </w:t>
      </w:r>
      <w:r w:rsidR="00350C2B">
        <w:rPr>
          <w:rFonts w:cstheme="minorHAnsi"/>
          <w:color w:val="000000" w:themeColor="text1"/>
          <w:bdr w:val="none" w:sz="0" w:space="0" w:color="auto" w:frame="1"/>
        </w:rPr>
        <w:t xml:space="preserve">HR </w:t>
      </w:r>
      <w:r w:rsidRPr="00720D1C">
        <w:rPr>
          <w:rFonts w:cstheme="minorHAnsi"/>
          <w:color w:val="000000" w:themeColor="text1"/>
          <w:bdr w:val="none" w:sz="0" w:space="0" w:color="auto" w:frame="1"/>
        </w:rPr>
        <w:t>bodies, t</w:t>
      </w:r>
      <w:r w:rsidR="00D12988" w:rsidRPr="00720D1C">
        <w:rPr>
          <w:rFonts w:cstheme="minorHAnsi"/>
          <w:color w:val="000000" w:themeColor="text1"/>
          <w:bdr w:val="none" w:sz="0" w:space="0" w:color="auto" w:frame="1"/>
        </w:rPr>
        <w:t xml:space="preserve">here </w:t>
      </w:r>
      <w:r w:rsidRPr="00720D1C">
        <w:rPr>
          <w:rFonts w:cstheme="minorHAnsi"/>
          <w:color w:val="000000" w:themeColor="text1"/>
          <w:bdr w:val="none" w:sz="0" w:space="0" w:color="auto" w:frame="1"/>
        </w:rPr>
        <w:t>exists</w:t>
      </w:r>
      <w:r w:rsidR="00D12988" w:rsidRPr="00720D1C">
        <w:rPr>
          <w:rFonts w:cstheme="minorHAnsi"/>
          <w:color w:val="000000" w:themeColor="text1"/>
          <w:bdr w:val="none" w:sz="0" w:space="0" w:color="auto" w:frame="1"/>
        </w:rPr>
        <w:t xml:space="preserve"> also a </w:t>
      </w:r>
      <w:r w:rsidR="00902B21">
        <w:rPr>
          <w:rFonts w:cstheme="minorHAnsi"/>
          <w:color w:val="000000" w:themeColor="text1"/>
          <w:bdr w:val="none" w:sz="0" w:space="0" w:color="auto" w:frame="1"/>
        </w:rPr>
        <w:t xml:space="preserve">certain </w:t>
      </w:r>
      <w:r w:rsidR="00D12988" w:rsidRPr="00720D1C">
        <w:rPr>
          <w:rFonts w:cstheme="minorHAnsi"/>
          <w:color w:val="000000" w:themeColor="text1"/>
          <w:bdr w:val="none" w:sz="0" w:space="0" w:color="auto" w:frame="1"/>
        </w:rPr>
        <w:t xml:space="preserve">degree of overlap, which is particularly notable in case of reporting obligations under </w:t>
      </w:r>
      <w:r w:rsidRPr="00720D1C">
        <w:rPr>
          <w:rFonts w:cstheme="minorHAnsi"/>
          <w:color w:val="000000" w:themeColor="text1"/>
          <w:bdr w:val="none" w:sz="0" w:space="0" w:color="auto" w:frame="1"/>
        </w:rPr>
        <w:t>various human rights</w:t>
      </w:r>
      <w:r w:rsidR="00D12988" w:rsidRPr="00720D1C">
        <w:rPr>
          <w:rFonts w:cstheme="minorHAnsi"/>
          <w:color w:val="000000" w:themeColor="text1"/>
          <w:bdr w:val="none" w:sz="0" w:space="0" w:color="auto" w:frame="1"/>
        </w:rPr>
        <w:t xml:space="preserve"> bodies</w:t>
      </w:r>
      <w:r w:rsidRPr="00720D1C">
        <w:rPr>
          <w:rFonts w:cstheme="minorHAnsi"/>
          <w:color w:val="000000" w:themeColor="text1"/>
          <w:bdr w:val="none" w:sz="0" w:space="0" w:color="auto" w:frame="1"/>
        </w:rPr>
        <w:t xml:space="preserve">. </w:t>
      </w:r>
      <w:r w:rsidR="00D12988" w:rsidRPr="00720D1C">
        <w:rPr>
          <w:rFonts w:cstheme="minorHAnsi"/>
          <w:color w:val="000000" w:themeColor="text1"/>
          <w:bdr w:val="none" w:sz="0" w:space="0" w:color="auto" w:frame="1"/>
        </w:rPr>
        <w:t>Thus, the resulting complexity and at times, inconsistency, is the inevitable result of a multiplicity of actors, sometimes seeking to achieve diverse objectives within the same overall institutional architecture.</w:t>
      </w:r>
      <w:r w:rsidR="002A500D" w:rsidRPr="002A500D">
        <w:t xml:space="preserve"> </w:t>
      </w:r>
      <w:r w:rsidR="002A500D" w:rsidRPr="002C4433">
        <w:t xml:space="preserve">In spite </w:t>
      </w:r>
      <w:r w:rsidR="00902B21">
        <w:t xml:space="preserve">of </w:t>
      </w:r>
      <w:r w:rsidR="002A500D">
        <w:t xml:space="preserve">various efforts to avoid unnecessary repetition and overlaps, and organization </w:t>
      </w:r>
      <w:r w:rsidR="002A500D" w:rsidRPr="002C4433">
        <w:t>of coordination meetings among treaty-body chair</w:t>
      </w:r>
      <w:r w:rsidR="002A500D">
        <w:t>s</w:t>
      </w:r>
      <w:r w:rsidR="002A500D" w:rsidRPr="002C4433">
        <w:t xml:space="preserve"> and the HRC’s Special Procedures mandate-holders, the problems of duplication have by no means be resolved</w:t>
      </w:r>
      <w:r w:rsidR="002A500D">
        <w:t>. Nevertheless,</w:t>
      </w:r>
      <w:r w:rsidR="002A500D" w:rsidRPr="002C4433">
        <w:t xml:space="preserve"> efforts are under</w:t>
      </w:r>
      <w:r w:rsidR="002A500D">
        <w:t xml:space="preserve">way </w:t>
      </w:r>
      <w:r w:rsidR="002A500D" w:rsidRPr="002C4433">
        <w:t>to reduce them and even profit from them</w:t>
      </w:r>
      <w:r w:rsidR="002A500D">
        <w:t xml:space="preserve"> (e.g. the CCPR has already coordinated some back to back reviews with CESCR)</w:t>
      </w:r>
      <w:r w:rsidR="002A500D" w:rsidRPr="002C4433">
        <w:t>, while trying to ensure the overall coherency</w:t>
      </w:r>
      <w:r w:rsidR="002A500D">
        <w:t xml:space="preserve">, avoid </w:t>
      </w:r>
      <w:r w:rsidR="002A500D" w:rsidRPr="002C4433">
        <w:t>compet</w:t>
      </w:r>
      <w:r w:rsidR="002A500D">
        <w:t>ition</w:t>
      </w:r>
      <w:r w:rsidR="002A500D" w:rsidRPr="002C4433">
        <w:t xml:space="preserve">, </w:t>
      </w:r>
      <w:r w:rsidR="002A500D">
        <w:t>and rather endeavour to achieve synergies among them</w:t>
      </w:r>
      <w:r w:rsidR="002A500D" w:rsidRPr="002C4433">
        <w:t>.</w:t>
      </w:r>
    </w:p>
    <w:p w14:paraId="33D3C234" w14:textId="5DCE09E6" w:rsidR="00193EDB" w:rsidRDefault="00193EDB" w:rsidP="0028535D">
      <w:pPr>
        <w:jc w:val="both"/>
      </w:pPr>
    </w:p>
    <w:p w14:paraId="48E9BA09" w14:textId="7DCA9478" w:rsidR="0045314A" w:rsidRPr="0004138C" w:rsidRDefault="00193EDB" w:rsidP="003D564E">
      <w:pPr>
        <w:jc w:val="both"/>
        <w:rPr>
          <w:color w:val="000000" w:themeColor="text1"/>
        </w:rPr>
      </w:pPr>
      <w:r>
        <w:t xml:space="preserve">The </w:t>
      </w:r>
      <w:r w:rsidRPr="0004138C">
        <w:rPr>
          <w:b/>
          <w:bCs/>
        </w:rPr>
        <w:t>Human Rights Committee</w:t>
      </w:r>
      <w:r>
        <w:t xml:space="preserve">, when periodically reviewing States parties </w:t>
      </w:r>
      <w:r w:rsidR="00C55A98">
        <w:t>– now</w:t>
      </w:r>
      <w:r w:rsidR="0004138C">
        <w:t>,</w:t>
      </w:r>
      <w:r w:rsidR="00C55A98">
        <w:t xml:space="preserve"> according to the 8-year predictable review cycle - </w:t>
      </w:r>
      <w:r w:rsidR="002A500D">
        <w:t>following</w:t>
      </w:r>
      <w:r>
        <w:t xml:space="preserve"> its internal rules, prepares a list of </w:t>
      </w:r>
      <w:r w:rsidR="00C55A98">
        <w:t xml:space="preserve">around 25 issues, that are to </w:t>
      </w:r>
      <w:r w:rsidR="00C55A98" w:rsidRPr="0004138C">
        <w:rPr>
          <w:color w:val="000000" w:themeColor="text1"/>
        </w:rPr>
        <w:t xml:space="preserve">be in </w:t>
      </w:r>
      <w:r w:rsidR="002A500D" w:rsidRPr="0004138C">
        <w:rPr>
          <w:color w:val="000000" w:themeColor="text1"/>
        </w:rPr>
        <w:t xml:space="preserve">the </w:t>
      </w:r>
      <w:r w:rsidR="00C55A98" w:rsidRPr="0004138C">
        <w:rPr>
          <w:color w:val="000000" w:themeColor="text1"/>
        </w:rPr>
        <w:t xml:space="preserve">focus of discussion during the ensuing dialogue in Geneva, which normally takes place over 6 hrs in 2 days (each day for 3 hrs). In the preparation for the dialogue, the Committee </w:t>
      </w:r>
      <w:r w:rsidR="003D564E" w:rsidRPr="0004138C">
        <w:rPr>
          <w:color w:val="000000" w:themeColor="text1"/>
        </w:rPr>
        <w:t>consult</w:t>
      </w:r>
      <w:r w:rsidR="00C55A98" w:rsidRPr="0004138C">
        <w:rPr>
          <w:color w:val="000000" w:themeColor="text1"/>
        </w:rPr>
        <w:t>s</w:t>
      </w:r>
      <w:r w:rsidR="0004138C" w:rsidRPr="0004138C">
        <w:rPr>
          <w:color w:val="000000" w:themeColor="text1"/>
        </w:rPr>
        <w:t>, in addition to the documentation submitted by the State party under review,</w:t>
      </w:r>
      <w:r w:rsidR="003D564E" w:rsidRPr="0004138C">
        <w:rPr>
          <w:color w:val="000000" w:themeColor="text1"/>
        </w:rPr>
        <w:t xml:space="preserve"> all materials from all parts of the UN system</w:t>
      </w:r>
      <w:r w:rsidR="00C55A98" w:rsidRPr="0004138C">
        <w:rPr>
          <w:color w:val="000000" w:themeColor="text1"/>
        </w:rPr>
        <w:t xml:space="preserve"> </w:t>
      </w:r>
      <w:r w:rsidR="002A500D" w:rsidRPr="0004138C">
        <w:rPr>
          <w:color w:val="000000" w:themeColor="text1"/>
        </w:rPr>
        <w:t xml:space="preserve">and other stakeholders </w:t>
      </w:r>
      <w:r w:rsidR="00C55A98" w:rsidRPr="0004138C">
        <w:rPr>
          <w:color w:val="000000" w:themeColor="text1"/>
        </w:rPr>
        <w:t>submitted to it</w:t>
      </w:r>
      <w:r w:rsidR="003D564E" w:rsidRPr="0004138C">
        <w:rPr>
          <w:color w:val="000000" w:themeColor="text1"/>
        </w:rPr>
        <w:t>. Before each review, the C</w:t>
      </w:r>
      <w:r w:rsidR="00C55A98" w:rsidRPr="0004138C">
        <w:rPr>
          <w:color w:val="000000" w:themeColor="text1"/>
        </w:rPr>
        <w:t>ommittee also</w:t>
      </w:r>
      <w:r w:rsidR="003D564E" w:rsidRPr="0004138C">
        <w:rPr>
          <w:color w:val="000000" w:themeColor="text1"/>
        </w:rPr>
        <w:t xml:space="preserve"> regularly holds briefings with various stakeholders, in person and increasingly also online.</w:t>
      </w:r>
      <w:r w:rsidR="00C55A98" w:rsidRPr="0004138C">
        <w:rPr>
          <w:color w:val="000000" w:themeColor="text1"/>
        </w:rPr>
        <w:t xml:space="preserve"> It is thus of great relevance that </w:t>
      </w:r>
      <w:r w:rsidR="0045314A" w:rsidRPr="0004138C">
        <w:rPr>
          <w:color w:val="000000" w:themeColor="text1"/>
        </w:rPr>
        <w:t>stakeholders engaged on a particular topic</w:t>
      </w:r>
      <w:r w:rsidR="0011633C" w:rsidRPr="0004138C">
        <w:rPr>
          <w:color w:val="000000" w:themeColor="text1"/>
        </w:rPr>
        <w:t>, in light of today’s debate – rights of older persons –</w:t>
      </w:r>
      <w:r w:rsidR="0045314A" w:rsidRPr="0004138C">
        <w:rPr>
          <w:color w:val="000000" w:themeColor="text1"/>
        </w:rPr>
        <w:t xml:space="preserve"> do provide inputs for the Committee’s work as these are duly taken into account</w:t>
      </w:r>
      <w:r w:rsidR="002A500D" w:rsidRPr="0004138C">
        <w:rPr>
          <w:color w:val="000000" w:themeColor="text1"/>
        </w:rPr>
        <w:t xml:space="preserve"> by Committee members</w:t>
      </w:r>
      <w:r w:rsidR="0045314A" w:rsidRPr="0004138C">
        <w:rPr>
          <w:color w:val="000000" w:themeColor="text1"/>
        </w:rPr>
        <w:t xml:space="preserve">. </w:t>
      </w:r>
    </w:p>
    <w:p w14:paraId="16310425" w14:textId="59E4DEC6" w:rsidR="00FF717E" w:rsidRPr="0004138C" w:rsidRDefault="004E4F81" w:rsidP="004C591C">
      <w:pPr>
        <w:pStyle w:val="xmsonormal"/>
        <w:shd w:val="clear" w:color="auto" w:fill="FFFFFF"/>
        <w:jc w:val="both"/>
        <w:rPr>
          <w:rFonts w:ascii="Calibri" w:hAnsi="Calibri" w:cs="Calibri"/>
          <w:color w:val="000000" w:themeColor="text1"/>
          <w:bdr w:val="none" w:sz="0" w:space="0" w:color="auto" w:frame="1"/>
          <w:lang w:val="sl-SI"/>
        </w:rPr>
      </w:pPr>
      <w:r w:rsidRPr="0004138C">
        <w:rPr>
          <w:rFonts w:ascii="Calibri" w:hAnsi="Calibri" w:cs="Calibri"/>
          <w:color w:val="000000" w:themeColor="text1"/>
          <w:bdr w:val="none" w:sz="0" w:space="0" w:color="auto" w:frame="1"/>
          <w:lang w:val="sl-SI"/>
        </w:rPr>
        <w:t>Although, t</w:t>
      </w:r>
      <w:r w:rsidR="00FF717E" w:rsidRPr="0004138C">
        <w:rPr>
          <w:rFonts w:ascii="Calibri" w:hAnsi="Calibri" w:cs="Calibri"/>
          <w:color w:val="000000" w:themeColor="text1"/>
          <w:bdr w:val="none" w:sz="0" w:space="0" w:color="auto" w:frame="1"/>
        </w:rPr>
        <w:t xml:space="preserve">he 2022 OHCHR report </w:t>
      </w:r>
      <w:r w:rsidR="00565850" w:rsidRPr="0004138C">
        <w:rPr>
          <w:rFonts w:ascii="Calibri" w:hAnsi="Calibri" w:cs="Calibri"/>
          <w:color w:val="000000" w:themeColor="text1"/>
          <w:bdr w:val="none" w:sz="0" w:space="0" w:color="auto" w:frame="1"/>
          <w:lang w:val="sl-SI"/>
        </w:rPr>
        <w:t xml:space="preserve">correctly </w:t>
      </w:r>
      <w:r w:rsidR="0004138C" w:rsidRPr="0004138C">
        <w:rPr>
          <w:rFonts w:ascii="Calibri" w:hAnsi="Calibri" w:cs="Calibri"/>
          <w:color w:val="000000" w:themeColor="text1"/>
          <w:bdr w:val="none" w:sz="0" w:space="0" w:color="auto" w:frame="1"/>
          <w:lang w:val="sl-SI"/>
        </w:rPr>
        <w:t>observed</w:t>
      </w:r>
      <w:r w:rsidR="00FF717E" w:rsidRPr="0004138C">
        <w:rPr>
          <w:rFonts w:ascii="Calibri" w:hAnsi="Calibri" w:cs="Calibri"/>
          <w:color w:val="000000" w:themeColor="text1"/>
          <w:bdr w:val="none" w:sz="0" w:space="0" w:color="auto" w:frame="1"/>
        </w:rPr>
        <w:t xml:space="preserve"> that “The Human Rights Committee has made few explicit references to older persons in its General comments and concluding observations.” (A/HRC/49/70, para</w:t>
      </w:r>
      <w:r w:rsidRPr="0004138C">
        <w:rPr>
          <w:rFonts w:ascii="Calibri" w:hAnsi="Calibri" w:cs="Calibri"/>
          <w:color w:val="000000" w:themeColor="text1"/>
          <w:bdr w:val="none" w:sz="0" w:space="0" w:color="auto" w:frame="1"/>
          <w:lang w:val="sl-SI"/>
        </w:rPr>
        <w:t>.</w:t>
      </w:r>
      <w:r w:rsidR="00FF717E" w:rsidRPr="0004138C">
        <w:rPr>
          <w:rFonts w:ascii="Calibri" w:hAnsi="Calibri" w:cs="Calibri"/>
          <w:color w:val="000000" w:themeColor="text1"/>
          <w:bdr w:val="none" w:sz="0" w:space="0" w:color="auto" w:frame="1"/>
        </w:rPr>
        <w:t xml:space="preserve"> 3</w:t>
      </w:r>
      <w:r w:rsidRPr="0004138C">
        <w:rPr>
          <w:rFonts w:ascii="Calibri" w:hAnsi="Calibri" w:cs="Calibri"/>
          <w:color w:val="000000" w:themeColor="text1"/>
          <w:bdr w:val="none" w:sz="0" w:space="0" w:color="auto" w:frame="1"/>
          <w:lang w:val="sl-SI"/>
        </w:rPr>
        <w:t>6</w:t>
      </w:r>
      <w:r w:rsidR="00FF717E" w:rsidRPr="0004138C">
        <w:rPr>
          <w:rFonts w:ascii="Calibri" w:hAnsi="Calibri" w:cs="Calibri"/>
          <w:color w:val="000000" w:themeColor="text1"/>
          <w:bdr w:val="none" w:sz="0" w:space="0" w:color="auto" w:frame="1"/>
        </w:rPr>
        <w:t>)</w:t>
      </w:r>
      <w:r w:rsidRPr="0004138C">
        <w:rPr>
          <w:rFonts w:ascii="Calibri" w:hAnsi="Calibri" w:cs="Calibri"/>
          <w:color w:val="000000" w:themeColor="text1"/>
          <w:bdr w:val="none" w:sz="0" w:space="0" w:color="auto" w:frame="1"/>
          <w:lang w:val="sl-SI"/>
        </w:rPr>
        <w:t>, the Committee within its limited capabilities</w:t>
      </w:r>
      <w:r w:rsidR="004C591C" w:rsidRPr="0004138C">
        <w:rPr>
          <w:rFonts w:ascii="Calibri" w:hAnsi="Calibri" w:cs="Calibri"/>
          <w:color w:val="000000" w:themeColor="text1"/>
          <w:bdr w:val="none" w:sz="0" w:space="0" w:color="auto" w:frame="1"/>
          <w:lang w:val="sl-SI"/>
        </w:rPr>
        <w:t xml:space="preserve"> to identify </w:t>
      </w:r>
      <w:r w:rsidR="004C591C" w:rsidRPr="0004138C">
        <w:rPr>
          <w:rFonts w:ascii="Calibri" w:hAnsi="Calibri" w:cs="Calibri"/>
          <w:color w:val="000000" w:themeColor="text1"/>
          <w:bdr w:val="none" w:sz="0" w:space="0" w:color="auto" w:frame="1"/>
        </w:rPr>
        <w:t>the violations that older persons experience in the fields of civil and political rights</w:t>
      </w:r>
      <w:r w:rsidRPr="0004138C">
        <w:rPr>
          <w:rFonts w:ascii="Calibri" w:hAnsi="Calibri" w:cs="Calibri"/>
          <w:color w:val="000000" w:themeColor="text1"/>
          <w:bdr w:val="none" w:sz="0" w:space="0" w:color="auto" w:frame="1"/>
          <w:lang w:val="sl-SI"/>
        </w:rPr>
        <w:t xml:space="preserve">, has been addressing </w:t>
      </w:r>
      <w:r w:rsidR="004C591C" w:rsidRPr="0004138C">
        <w:rPr>
          <w:rFonts w:ascii="Calibri" w:hAnsi="Calibri" w:cs="Calibri"/>
          <w:color w:val="000000" w:themeColor="text1"/>
          <w:bdr w:val="none" w:sz="0" w:space="0" w:color="auto" w:frame="1"/>
          <w:lang w:val="sl-SI"/>
        </w:rPr>
        <w:t xml:space="preserve">such </w:t>
      </w:r>
      <w:r w:rsidRPr="0004138C">
        <w:rPr>
          <w:rFonts w:ascii="Calibri" w:hAnsi="Calibri" w:cs="Calibri"/>
          <w:color w:val="000000" w:themeColor="text1"/>
          <w:bdr w:val="none" w:sz="0" w:space="0" w:color="auto" w:frame="1"/>
          <w:lang w:val="sl-SI"/>
        </w:rPr>
        <w:t>concerns, when raised</w:t>
      </w:r>
      <w:r w:rsidR="00565850" w:rsidRPr="0004138C">
        <w:rPr>
          <w:rFonts w:ascii="Calibri" w:hAnsi="Calibri" w:cs="Calibri"/>
          <w:color w:val="000000" w:themeColor="text1"/>
          <w:bdr w:val="none" w:sz="0" w:space="0" w:color="auto" w:frame="1"/>
          <w:lang w:val="sl-SI"/>
        </w:rPr>
        <w:t xml:space="preserve"> and brought to Committee's attention.</w:t>
      </w:r>
      <w:r w:rsidRPr="0004138C">
        <w:rPr>
          <w:rFonts w:ascii="Calibri" w:hAnsi="Calibri" w:cs="Calibri"/>
          <w:color w:val="000000" w:themeColor="text1"/>
          <w:bdr w:val="none" w:sz="0" w:space="0" w:color="auto" w:frame="1"/>
          <w:lang w:val="sl-SI"/>
        </w:rPr>
        <w:t xml:space="preserve"> </w:t>
      </w:r>
      <w:r w:rsidR="00565850" w:rsidRPr="0004138C">
        <w:rPr>
          <w:rFonts w:ascii="Calibri" w:hAnsi="Calibri" w:cs="Calibri"/>
          <w:color w:val="000000" w:themeColor="text1"/>
          <w:bdr w:val="none" w:sz="0" w:space="0" w:color="auto" w:frame="1"/>
          <w:lang w:val="sl-SI"/>
        </w:rPr>
        <w:t>A</w:t>
      </w:r>
      <w:r w:rsidRPr="0004138C">
        <w:rPr>
          <w:rFonts w:ascii="Calibri" w:hAnsi="Calibri" w:cs="Calibri"/>
          <w:color w:val="000000" w:themeColor="text1"/>
          <w:bdr w:val="none" w:sz="0" w:space="0" w:color="auto" w:frame="1"/>
          <w:lang w:val="sl-SI"/>
        </w:rPr>
        <w:t xml:space="preserve"> recent example </w:t>
      </w:r>
      <w:r w:rsidR="00565850" w:rsidRPr="0004138C">
        <w:rPr>
          <w:rFonts w:ascii="Calibri" w:hAnsi="Calibri" w:cs="Calibri"/>
          <w:color w:val="000000" w:themeColor="text1"/>
          <w:bdr w:val="none" w:sz="0" w:space="0" w:color="auto" w:frame="1"/>
          <w:lang w:val="sl-SI"/>
        </w:rPr>
        <w:t>are</w:t>
      </w:r>
      <w:r w:rsidRPr="0004138C">
        <w:rPr>
          <w:rFonts w:ascii="Calibri" w:hAnsi="Calibri" w:cs="Calibri"/>
          <w:color w:val="000000" w:themeColor="text1"/>
          <w:bdr w:val="none" w:sz="0" w:space="0" w:color="auto" w:frame="1"/>
          <w:lang w:val="sl-SI"/>
        </w:rPr>
        <w:t xml:space="preserve"> the </w:t>
      </w:r>
      <w:r w:rsidR="00565850" w:rsidRPr="0004138C">
        <w:rPr>
          <w:rFonts w:ascii="Calibri" w:hAnsi="Calibri" w:cs="Calibri"/>
          <w:color w:val="000000" w:themeColor="text1"/>
          <w:bdr w:val="none" w:sz="0" w:space="0" w:color="auto" w:frame="1"/>
          <w:lang w:val="sl-SI"/>
        </w:rPr>
        <w:t>Concluding observations on the fifth periodic report of Ireland (adopted in July 2022) which in paras. 29 and 30 adreess the concern about the rate of COVID-</w:t>
      </w:r>
      <w:r w:rsidR="00565850" w:rsidRPr="0004138C">
        <w:rPr>
          <w:rFonts w:ascii="Calibri" w:hAnsi="Calibri" w:cs="Calibri"/>
          <w:color w:val="000000" w:themeColor="text1"/>
          <w:bdr w:val="none" w:sz="0" w:space="0" w:color="auto" w:frame="1"/>
          <w:lang w:val="sl-SI"/>
        </w:rPr>
        <w:lastRenderedPageBreak/>
        <w:t>19 related deaths in nursing homes throughout the course of the pandemic exacerbated by the collective living arrangements in long-term institutional care</w:t>
      </w:r>
      <w:r w:rsidR="0004138C">
        <w:rPr>
          <w:rFonts w:ascii="Calibri" w:hAnsi="Calibri" w:cs="Calibri"/>
          <w:color w:val="000000" w:themeColor="text1"/>
          <w:bdr w:val="none" w:sz="0" w:space="0" w:color="auto" w:frame="1"/>
          <w:lang w:val="sl-SI"/>
        </w:rPr>
        <w:t>,</w:t>
      </w:r>
      <w:r w:rsidR="00565850" w:rsidRPr="0004138C">
        <w:rPr>
          <w:rFonts w:ascii="Calibri" w:hAnsi="Calibri" w:cs="Calibri"/>
          <w:color w:val="000000" w:themeColor="text1"/>
          <w:bdr w:val="none" w:sz="0" w:space="0" w:color="auto" w:frame="1"/>
          <w:lang w:val="sl-SI"/>
        </w:rPr>
        <w:t xml:space="preserve"> and ask the State party to continue its efforts to carry out a comprehensive review of the regulatory and protection framework for social care services to ensure the older and structurally vulnerable communities have adequate protection and support and to put in place measures to guarantee the inspection mechanisms are adequate, independent, supported by a human rights framework, and incorporate all public, voluntary, and private health and social care providers. The State party is also asked to continue to take targeted measures to protect older persons from COVID-19 and/or other major public health emergencies.</w:t>
      </w:r>
    </w:p>
    <w:p w14:paraId="6B398351" w14:textId="7C414181" w:rsidR="00CC58CE" w:rsidRPr="004C591C" w:rsidRDefault="003D564E" w:rsidP="004C591C">
      <w:pPr>
        <w:jc w:val="both"/>
        <w:rPr>
          <w:color w:val="000000" w:themeColor="text1"/>
        </w:rPr>
      </w:pPr>
      <w:r w:rsidRPr="0004138C">
        <w:rPr>
          <w:color w:val="000000" w:themeColor="text1"/>
        </w:rPr>
        <w:t>Th</w:t>
      </w:r>
      <w:r w:rsidR="004C591C" w:rsidRPr="0004138C">
        <w:rPr>
          <w:color w:val="000000" w:themeColor="text1"/>
        </w:rPr>
        <w:t xml:space="preserve">e </w:t>
      </w:r>
      <w:r w:rsidRPr="0004138C">
        <w:rPr>
          <w:color w:val="000000" w:themeColor="text1"/>
        </w:rPr>
        <w:t xml:space="preserve">external observers might sometimes wish that more detailed questions and more questions generally, could be asked </w:t>
      </w:r>
      <w:r w:rsidRPr="007C147B">
        <w:rPr>
          <w:color w:val="000000" w:themeColor="text1"/>
        </w:rPr>
        <w:t>during the dialogue</w:t>
      </w:r>
      <w:r w:rsidR="004C591C">
        <w:rPr>
          <w:color w:val="000000" w:themeColor="text1"/>
        </w:rPr>
        <w:t xml:space="preserve"> on the rights of older persons. The reasons for paucity of Committee’s practice on such issues, while </w:t>
      </w:r>
      <w:r w:rsidR="00350C2B">
        <w:rPr>
          <w:color w:val="000000" w:themeColor="text1"/>
        </w:rPr>
        <w:t xml:space="preserve">also noting that the older persons are entitled to all the civil and political rights monitored by the Committee, </w:t>
      </w:r>
      <w:r w:rsidR="004C591C">
        <w:rPr>
          <w:color w:val="000000" w:themeColor="text1"/>
        </w:rPr>
        <w:t>are thus both conceptual</w:t>
      </w:r>
      <w:r w:rsidR="00C450DF">
        <w:rPr>
          <w:color w:val="000000" w:themeColor="text1"/>
        </w:rPr>
        <w:t xml:space="preserve">, as there is </w:t>
      </w:r>
      <w:r w:rsidR="004C591C">
        <w:rPr>
          <w:color w:val="000000" w:themeColor="text1"/>
        </w:rPr>
        <w:t xml:space="preserve">no specific reference to the rights of older persons in the ICCPR or a </w:t>
      </w:r>
      <w:r w:rsidR="0004138C">
        <w:rPr>
          <w:color w:val="000000" w:themeColor="text1"/>
        </w:rPr>
        <w:t>thematic</w:t>
      </w:r>
      <w:r w:rsidR="004C591C">
        <w:rPr>
          <w:color w:val="000000" w:themeColor="text1"/>
        </w:rPr>
        <w:t xml:space="preserve"> </w:t>
      </w:r>
      <w:r w:rsidR="0004138C">
        <w:rPr>
          <w:color w:val="000000" w:themeColor="text1"/>
        </w:rPr>
        <w:t xml:space="preserve">HR </w:t>
      </w:r>
      <w:r w:rsidR="004C591C">
        <w:rPr>
          <w:color w:val="000000" w:themeColor="text1"/>
        </w:rPr>
        <w:t>treaty</w:t>
      </w:r>
      <w:r w:rsidR="00C450DF">
        <w:rPr>
          <w:color w:val="000000" w:themeColor="text1"/>
        </w:rPr>
        <w:t>,</w:t>
      </w:r>
      <w:r w:rsidR="004C591C">
        <w:rPr>
          <w:color w:val="000000" w:themeColor="text1"/>
        </w:rPr>
        <w:t xml:space="preserve"> and operational, </w:t>
      </w:r>
      <w:r w:rsidR="00350C2B">
        <w:rPr>
          <w:color w:val="000000" w:themeColor="text1"/>
        </w:rPr>
        <w:t xml:space="preserve">as </w:t>
      </w:r>
      <w:r w:rsidR="004C591C" w:rsidRPr="007C147B">
        <w:rPr>
          <w:color w:val="000000" w:themeColor="text1"/>
        </w:rPr>
        <w:t>there is simply little time and resources to do so under the current architecture of Committee’s functioning</w:t>
      </w:r>
      <w:r w:rsidR="00350C2B">
        <w:rPr>
          <w:color w:val="000000" w:themeColor="text1"/>
        </w:rPr>
        <w:t>.</w:t>
      </w:r>
      <w:r w:rsidR="004C591C" w:rsidRPr="007C147B">
        <w:rPr>
          <w:color w:val="000000" w:themeColor="text1"/>
        </w:rPr>
        <w:t xml:space="preserve"> </w:t>
      </w:r>
      <w:r w:rsidR="00CC58CE" w:rsidRPr="007C147B">
        <w:rPr>
          <w:color w:val="000000" w:themeColor="text1"/>
        </w:rPr>
        <w:t xml:space="preserve">Possibly, a new </w:t>
      </w:r>
      <w:r w:rsidR="00CC58CE" w:rsidRPr="007C147B">
        <w:rPr>
          <w:rFonts w:ascii="Calibri" w:hAnsi="Calibri" w:cs="Calibri"/>
          <w:color w:val="000000" w:themeColor="text1"/>
          <w:bdr w:val="none" w:sz="0" w:space="0" w:color="auto" w:frame="1"/>
        </w:rPr>
        <w:t xml:space="preserve">treaty on the human rights of older persons </w:t>
      </w:r>
      <w:r w:rsidR="00C450DF">
        <w:rPr>
          <w:rFonts w:ascii="Calibri" w:hAnsi="Calibri" w:cs="Calibri"/>
          <w:color w:val="000000" w:themeColor="text1"/>
          <w:bdr w:val="none" w:sz="0" w:space="0" w:color="auto" w:frame="1"/>
        </w:rPr>
        <w:t>c</w:t>
      </w:r>
      <w:r w:rsidR="00CC58CE" w:rsidRPr="007C147B">
        <w:rPr>
          <w:rFonts w:ascii="Calibri" w:hAnsi="Calibri" w:cs="Calibri"/>
          <w:color w:val="000000" w:themeColor="text1"/>
          <w:bdr w:val="none" w:sz="0" w:space="0" w:color="auto" w:frame="1"/>
        </w:rPr>
        <w:t xml:space="preserve">ould </w:t>
      </w:r>
      <w:r w:rsidR="00C450DF">
        <w:rPr>
          <w:rFonts w:ascii="Calibri" w:hAnsi="Calibri" w:cs="Calibri"/>
          <w:color w:val="000000" w:themeColor="text1"/>
          <w:bdr w:val="none" w:sz="0" w:space="0" w:color="auto" w:frame="1"/>
        </w:rPr>
        <w:t>importantly contribute to</w:t>
      </w:r>
      <w:r w:rsidR="00CC58CE" w:rsidRPr="007C147B">
        <w:rPr>
          <w:rFonts w:ascii="Calibri" w:hAnsi="Calibri" w:cs="Calibri"/>
          <w:color w:val="000000" w:themeColor="text1"/>
          <w:bdr w:val="none" w:sz="0" w:space="0" w:color="auto" w:frame="1"/>
        </w:rPr>
        <w:t xml:space="preserve"> the </w:t>
      </w:r>
      <w:r w:rsidR="00C450DF">
        <w:rPr>
          <w:rFonts w:ascii="Calibri" w:hAnsi="Calibri" w:cs="Calibri"/>
          <w:color w:val="000000" w:themeColor="text1"/>
          <w:bdr w:val="none" w:sz="0" w:space="0" w:color="auto" w:frame="1"/>
        </w:rPr>
        <w:t>work</w:t>
      </w:r>
      <w:r w:rsidR="00CC58CE" w:rsidRPr="007C147B">
        <w:rPr>
          <w:rFonts w:ascii="Calibri" w:hAnsi="Calibri" w:cs="Calibri"/>
          <w:color w:val="000000" w:themeColor="text1"/>
          <w:bdr w:val="none" w:sz="0" w:space="0" w:color="auto" w:frame="1"/>
        </w:rPr>
        <w:t xml:space="preserve"> of the existing human rights treaty bodies</w:t>
      </w:r>
      <w:r w:rsidR="007C147B" w:rsidRPr="007C147B">
        <w:rPr>
          <w:rFonts w:ascii="Calibri" w:hAnsi="Calibri" w:cs="Calibri"/>
          <w:color w:val="000000" w:themeColor="text1"/>
          <w:bdr w:val="none" w:sz="0" w:space="0" w:color="auto" w:frame="1"/>
          <w:lang w:val="sl-SI"/>
        </w:rPr>
        <w:t xml:space="preserve">. If such </w:t>
      </w:r>
      <w:r w:rsidR="00350C2B">
        <w:rPr>
          <w:rFonts w:ascii="Calibri" w:hAnsi="Calibri" w:cs="Calibri"/>
          <w:color w:val="000000" w:themeColor="text1"/>
          <w:bdr w:val="none" w:sz="0" w:space="0" w:color="auto" w:frame="1"/>
          <w:lang w:val="sl-SI"/>
        </w:rPr>
        <w:t xml:space="preserve">a </w:t>
      </w:r>
      <w:r w:rsidR="007C147B" w:rsidRPr="007C147B">
        <w:rPr>
          <w:rFonts w:ascii="Calibri" w:hAnsi="Calibri" w:cs="Calibri"/>
          <w:color w:val="000000" w:themeColor="text1"/>
          <w:bdr w:val="none" w:sz="0" w:space="0" w:color="auto" w:frame="1"/>
          <w:lang w:val="sl-SI"/>
        </w:rPr>
        <w:t>treaty would establish, as was the case with other</w:t>
      </w:r>
      <w:r w:rsidR="00CC58CE" w:rsidRPr="007C147B">
        <w:rPr>
          <w:rFonts w:ascii="Calibri" w:hAnsi="Calibri" w:cs="Calibri"/>
          <w:color w:val="000000" w:themeColor="text1"/>
          <w:bdr w:val="none" w:sz="0" w:space="0" w:color="auto" w:frame="1"/>
        </w:rPr>
        <w:t xml:space="preserve"> thematic treaties</w:t>
      </w:r>
      <w:r w:rsidR="00350C2B">
        <w:rPr>
          <w:rFonts w:ascii="Calibri" w:hAnsi="Calibri" w:cs="Calibri"/>
          <w:color w:val="000000" w:themeColor="text1"/>
          <w:bdr w:val="none" w:sz="0" w:space="0" w:color="auto" w:frame="1"/>
        </w:rPr>
        <w:t xml:space="preserve"> (CRC and CRPD)</w:t>
      </w:r>
      <w:r w:rsidR="007C147B" w:rsidRPr="007C147B">
        <w:rPr>
          <w:rFonts w:ascii="Calibri" w:hAnsi="Calibri" w:cs="Calibri"/>
          <w:color w:val="000000" w:themeColor="text1"/>
          <w:bdr w:val="none" w:sz="0" w:space="0" w:color="auto" w:frame="1"/>
          <w:lang w:val="sl-SI"/>
        </w:rPr>
        <w:t>, a separate monitoring body,</w:t>
      </w:r>
      <w:r w:rsidR="00CC58CE" w:rsidRPr="007C147B">
        <w:rPr>
          <w:rFonts w:ascii="Calibri" w:hAnsi="Calibri" w:cs="Calibri"/>
          <w:color w:val="000000" w:themeColor="text1"/>
          <w:bdr w:val="none" w:sz="0" w:space="0" w:color="auto" w:frame="1"/>
        </w:rPr>
        <w:t xml:space="preserve"> </w:t>
      </w:r>
      <w:r w:rsidR="007C147B" w:rsidRPr="007C147B">
        <w:rPr>
          <w:rFonts w:ascii="Calibri" w:hAnsi="Calibri" w:cs="Calibri"/>
          <w:color w:val="000000" w:themeColor="text1"/>
          <w:bdr w:val="none" w:sz="0" w:space="0" w:color="auto" w:frame="1"/>
          <w:lang w:val="sl-SI"/>
        </w:rPr>
        <w:t xml:space="preserve">that </w:t>
      </w:r>
      <w:r w:rsidR="00C450DF">
        <w:rPr>
          <w:rFonts w:ascii="Calibri" w:hAnsi="Calibri" w:cs="Calibri"/>
          <w:color w:val="000000" w:themeColor="text1"/>
          <w:bdr w:val="none" w:sz="0" w:space="0" w:color="auto" w:frame="1"/>
          <w:lang w:val="sl-SI"/>
        </w:rPr>
        <w:t>c</w:t>
      </w:r>
      <w:r w:rsidR="007C147B" w:rsidRPr="007C147B">
        <w:rPr>
          <w:rFonts w:ascii="Calibri" w:hAnsi="Calibri" w:cs="Calibri"/>
          <w:color w:val="000000" w:themeColor="text1"/>
          <w:bdr w:val="none" w:sz="0" w:space="0" w:color="auto" w:frame="1"/>
          <w:lang w:val="sl-SI"/>
        </w:rPr>
        <w:t xml:space="preserve">ould result in streamlining the dialogue on older person's rights within such </w:t>
      </w:r>
      <w:r w:rsidR="00C450DF">
        <w:rPr>
          <w:rFonts w:ascii="Calibri" w:hAnsi="Calibri" w:cs="Calibri"/>
          <w:color w:val="000000" w:themeColor="text1"/>
          <w:bdr w:val="none" w:sz="0" w:space="0" w:color="auto" w:frame="1"/>
          <w:lang w:val="sl-SI"/>
        </w:rPr>
        <w:t xml:space="preserve">a </w:t>
      </w:r>
      <w:r w:rsidR="007C147B" w:rsidRPr="007C147B">
        <w:rPr>
          <w:rFonts w:ascii="Calibri" w:hAnsi="Calibri" w:cs="Calibri"/>
          <w:color w:val="000000" w:themeColor="text1"/>
          <w:bdr w:val="none" w:sz="0" w:space="0" w:color="auto" w:frame="1"/>
          <w:lang w:val="sl-SI"/>
        </w:rPr>
        <w:t xml:space="preserve">forum. Nevertheless, even without an additional </w:t>
      </w:r>
      <w:r w:rsidR="007C147B" w:rsidRPr="008E7629">
        <w:rPr>
          <w:rFonts w:ascii="Calibri" w:hAnsi="Calibri" w:cs="Calibri"/>
          <w:color w:val="000000" w:themeColor="text1"/>
          <w:bdr w:val="none" w:sz="0" w:space="0" w:color="auto" w:frame="1"/>
          <w:lang w:val="sl-SI"/>
        </w:rPr>
        <w:t xml:space="preserve">monitoring body, a new treaty would offer a subject-matter substantive legal basis, </w:t>
      </w:r>
      <w:r w:rsidR="00350C2B">
        <w:rPr>
          <w:rFonts w:ascii="Calibri" w:hAnsi="Calibri" w:cs="Calibri"/>
          <w:color w:val="000000" w:themeColor="text1"/>
          <w:bdr w:val="none" w:sz="0" w:space="0" w:color="auto" w:frame="1"/>
          <w:lang w:val="sl-SI"/>
        </w:rPr>
        <w:t>that could potentially increase the engagem</w:t>
      </w:r>
      <w:r w:rsidR="00576E01">
        <w:rPr>
          <w:rFonts w:ascii="Calibri" w:hAnsi="Calibri" w:cs="Calibri"/>
          <w:color w:val="000000" w:themeColor="text1"/>
          <w:bdr w:val="none" w:sz="0" w:space="0" w:color="auto" w:frame="1"/>
          <w:lang w:val="sl-SI"/>
        </w:rPr>
        <w:t>e</w:t>
      </w:r>
      <w:r w:rsidR="00350C2B">
        <w:rPr>
          <w:rFonts w:ascii="Calibri" w:hAnsi="Calibri" w:cs="Calibri"/>
          <w:color w:val="000000" w:themeColor="text1"/>
          <w:bdr w:val="none" w:sz="0" w:space="0" w:color="auto" w:frame="1"/>
          <w:lang w:val="sl-SI"/>
        </w:rPr>
        <w:t xml:space="preserve">nt with </w:t>
      </w:r>
      <w:r w:rsidR="00C450DF">
        <w:rPr>
          <w:rFonts w:ascii="Calibri" w:hAnsi="Calibri" w:cs="Calibri"/>
          <w:color w:val="000000" w:themeColor="text1"/>
          <w:bdr w:val="none" w:sz="0" w:space="0" w:color="auto" w:frame="1"/>
          <w:lang w:val="sl-SI"/>
        </w:rPr>
        <w:t>rights of older persons within</w:t>
      </w:r>
      <w:r w:rsidR="00350C2B">
        <w:rPr>
          <w:rFonts w:ascii="Calibri" w:hAnsi="Calibri" w:cs="Calibri"/>
          <w:color w:val="000000" w:themeColor="text1"/>
          <w:bdr w:val="none" w:sz="0" w:space="0" w:color="auto" w:frame="1"/>
          <w:lang w:val="sl-SI"/>
        </w:rPr>
        <w:t xml:space="preserve"> the </w:t>
      </w:r>
      <w:r w:rsidR="007C147B" w:rsidRPr="008E7629">
        <w:rPr>
          <w:rFonts w:ascii="Calibri" w:hAnsi="Calibri" w:cs="Calibri"/>
          <w:color w:val="000000" w:themeColor="text1"/>
          <w:bdr w:val="none" w:sz="0" w:space="0" w:color="auto" w:frame="1"/>
          <w:lang w:val="sl-SI"/>
        </w:rPr>
        <w:t>already existing Committees.</w:t>
      </w:r>
    </w:p>
    <w:p w14:paraId="0EED7FF8" w14:textId="77777777" w:rsidR="00CC58CE" w:rsidRPr="008E7629" w:rsidRDefault="00CC58CE" w:rsidP="008F0AD4">
      <w:pPr>
        <w:pStyle w:val="xmsonormal"/>
        <w:shd w:val="clear" w:color="auto" w:fill="FFFFFF"/>
        <w:spacing w:before="0" w:beforeAutospacing="0" w:after="0" w:afterAutospacing="0"/>
        <w:jc w:val="both"/>
        <w:rPr>
          <w:rFonts w:ascii="Calibri" w:hAnsi="Calibri" w:cs="Calibri"/>
          <w:color w:val="000000" w:themeColor="text1"/>
          <w:bdr w:val="none" w:sz="0" w:space="0" w:color="auto" w:frame="1"/>
        </w:rPr>
      </w:pPr>
    </w:p>
    <w:p w14:paraId="3605E9AF" w14:textId="45C00328" w:rsidR="002A500D" w:rsidRPr="008E7629" w:rsidRDefault="002A500D" w:rsidP="008F0AD4">
      <w:pPr>
        <w:pStyle w:val="xmsonormal"/>
        <w:shd w:val="clear" w:color="auto" w:fill="FFFFFF"/>
        <w:spacing w:before="0" w:beforeAutospacing="0" w:after="0" w:afterAutospacing="0"/>
        <w:jc w:val="both"/>
        <w:rPr>
          <w:color w:val="000000" w:themeColor="text1"/>
          <w:lang w:val="sl-SI"/>
        </w:rPr>
      </w:pPr>
      <w:r w:rsidRPr="008E7629">
        <w:rPr>
          <w:rFonts w:ascii="Calibri" w:hAnsi="Calibri" w:cs="Calibri"/>
          <w:color w:val="000000" w:themeColor="text1"/>
          <w:bdr w:val="none" w:sz="0" w:space="0" w:color="auto" w:frame="1"/>
        </w:rPr>
        <w:t>In relation to strengthening the protection of the human rights of older persons</w:t>
      </w:r>
      <w:r w:rsidR="00576E01">
        <w:rPr>
          <w:rFonts w:ascii="Calibri" w:hAnsi="Calibri" w:cs="Calibri"/>
          <w:color w:val="000000" w:themeColor="text1"/>
          <w:bdr w:val="none" w:sz="0" w:space="0" w:color="auto" w:frame="1"/>
          <w:lang w:val="sl-SI"/>
        </w:rPr>
        <w:t xml:space="preserve"> within the HR treaty-body context</w:t>
      </w:r>
      <w:r w:rsidRPr="008E7629">
        <w:rPr>
          <w:rFonts w:ascii="Calibri" w:hAnsi="Calibri" w:cs="Calibri"/>
          <w:color w:val="000000" w:themeColor="text1"/>
          <w:bdr w:val="none" w:sz="0" w:space="0" w:color="auto" w:frame="1"/>
        </w:rPr>
        <w:t>, the key recommendation</w:t>
      </w:r>
      <w:r w:rsidR="008F0AD4" w:rsidRPr="008E7629">
        <w:rPr>
          <w:rFonts w:ascii="Calibri" w:hAnsi="Calibri" w:cs="Calibri"/>
          <w:color w:val="000000" w:themeColor="text1"/>
          <w:bdr w:val="none" w:sz="0" w:space="0" w:color="auto" w:frame="1"/>
          <w:lang w:val="sl-SI"/>
        </w:rPr>
        <w:t>s</w:t>
      </w:r>
      <w:r w:rsidRPr="008E7629">
        <w:rPr>
          <w:rFonts w:ascii="Calibri" w:hAnsi="Calibri" w:cs="Calibri"/>
          <w:color w:val="000000" w:themeColor="text1"/>
          <w:bdr w:val="none" w:sz="0" w:space="0" w:color="auto" w:frame="1"/>
        </w:rPr>
        <w:t xml:space="preserve"> </w:t>
      </w:r>
      <w:r w:rsidR="008F0AD4" w:rsidRPr="008E7629">
        <w:rPr>
          <w:rFonts w:ascii="Calibri" w:hAnsi="Calibri" w:cs="Calibri"/>
          <w:color w:val="000000" w:themeColor="text1"/>
          <w:bdr w:val="none" w:sz="0" w:space="0" w:color="auto" w:frame="1"/>
          <w:lang w:val="sl-SI"/>
        </w:rPr>
        <w:t xml:space="preserve">would </w:t>
      </w:r>
      <w:r w:rsidR="008E7629" w:rsidRPr="008E7629">
        <w:rPr>
          <w:rFonts w:ascii="Calibri" w:hAnsi="Calibri" w:cs="Calibri"/>
          <w:color w:val="000000" w:themeColor="text1"/>
          <w:bdr w:val="none" w:sz="0" w:space="0" w:color="auto" w:frame="1"/>
          <w:lang w:val="sl-SI"/>
        </w:rPr>
        <w:t xml:space="preserve">thus </w:t>
      </w:r>
      <w:r w:rsidR="008F0AD4" w:rsidRPr="008E7629">
        <w:rPr>
          <w:rFonts w:ascii="Calibri" w:hAnsi="Calibri" w:cs="Calibri"/>
          <w:color w:val="000000" w:themeColor="text1"/>
          <w:bdr w:val="none" w:sz="0" w:space="0" w:color="auto" w:frame="1"/>
          <w:lang w:val="sl-SI"/>
        </w:rPr>
        <w:t>be th</w:t>
      </w:r>
      <w:r w:rsidR="00576E01">
        <w:rPr>
          <w:rFonts w:ascii="Calibri" w:hAnsi="Calibri" w:cs="Calibri"/>
          <w:color w:val="000000" w:themeColor="text1"/>
          <w:bdr w:val="none" w:sz="0" w:space="0" w:color="auto" w:frame="1"/>
          <w:lang w:val="sl-SI"/>
        </w:rPr>
        <w:t>e following</w:t>
      </w:r>
      <w:r w:rsidR="008F0AD4" w:rsidRPr="008E7629">
        <w:rPr>
          <w:rFonts w:ascii="Calibri" w:hAnsi="Calibri" w:cs="Calibri"/>
          <w:color w:val="000000" w:themeColor="text1"/>
          <w:bdr w:val="none" w:sz="0" w:space="0" w:color="auto" w:frame="1"/>
          <w:lang w:val="sl-SI"/>
        </w:rPr>
        <w:t>:</w:t>
      </w:r>
    </w:p>
    <w:p w14:paraId="67CE79F7" w14:textId="2D07D708" w:rsidR="008E7629" w:rsidRPr="008E7629" w:rsidRDefault="0045314A" w:rsidP="0045314A">
      <w:pPr>
        <w:pStyle w:val="ListParagraph"/>
        <w:numPr>
          <w:ilvl w:val="0"/>
          <w:numId w:val="3"/>
        </w:numPr>
        <w:jc w:val="both"/>
        <w:rPr>
          <w:color w:val="000000" w:themeColor="text1"/>
        </w:rPr>
      </w:pPr>
      <w:r w:rsidRPr="008E7629">
        <w:rPr>
          <w:color w:val="000000" w:themeColor="text1"/>
        </w:rPr>
        <w:t>F</w:t>
      </w:r>
      <w:r w:rsidR="00576E01">
        <w:rPr>
          <w:color w:val="000000" w:themeColor="text1"/>
        </w:rPr>
        <w:t>irst, a general observations, which concerns all</w:t>
      </w:r>
      <w:r w:rsidRPr="008E7629">
        <w:rPr>
          <w:color w:val="000000" w:themeColor="text1"/>
        </w:rPr>
        <w:t xml:space="preserve"> the </w:t>
      </w:r>
      <w:r w:rsidR="00C4026B" w:rsidRPr="008E7629">
        <w:rPr>
          <w:color w:val="000000" w:themeColor="text1"/>
        </w:rPr>
        <w:t xml:space="preserve">existing </w:t>
      </w:r>
      <w:r w:rsidRPr="008E7629">
        <w:rPr>
          <w:color w:val="000000" w:themeColor="text1"/>
        </w:rPr>
        <w:t xml:space="preserve">treaty bodies, including the CCPR, </w:t>
      </w:r>
      <w:r w:rsidR="00576E01">
        <w:rPr>
          <w:color w:val="000000" w:themeColor="text1"/>
        </w:rPr>
        <w:t xml:space="preserve">is that </w:t>
      </w:r>
      <w:r w:rsidRPr="008E7629">
        <w:rPr>
          <w:color w:val="000000" w:themeColor="text1"/>
        </w:rPr>
        <w:t xml:space="preserve">the States parties need to </w:t>
      </w:r>
      <w:r w:rsidR="00576E01">
        <w:rPr>
          <w:color w:val="000000" w:themeColor="text1"/>
        </w:rPr>
        <w:t xml:space="preserve">seriously </w:t>
      </w:r>
      <w:r w:rsidRPr="008E7629">
        <w:rPr>
          <w:color w:val="000000" w:themeColor="text1"/>
        </w:rPr>
        <w:t>address some of the major obstacles the</w:t>
      </w:r>
      <w:r w:rsidR="00C4026B" w:rsidRPr="008E7629">
        <w:rPr>
          <w:color w:val="000000" w:themeColor="text1"/>
        </w:rPr>
        <w:t xml:space="preserve"> Committees</w:t>
      </w:r>
      <w:r w:rsidRPr="008E7629">
        <w:rPr>
          <w:color w:val="000000" w:themeColor="text1"/>
        </w:rPr>
        <w:t xml:space="preserve"> are facing in the 21</w:t>
      </w:r>
      <w:r w:rsidRPr="008E7629">
        <w:rPr>
          <w:color w:val="000000" w:themeColor="text1"/>
          <w:vertAlign w:val="superscript"/>
        </w:rPr>
        <w:t>st</w:t>
      </w:r>
      <w:r w:rsidRPr="008E7629">
        <w:rPr>
          <w:color w:val="000000" w:themeColor="text1"/>
        </w:rPr>
        <w:t xml:space="preserve"> century</w:t>
      </w:r>
      <w:r w:rsidR="00C4026B" w:rsidRPr="008E7629">
        <w:rPr>
          <w:color w:val="000000" w:themeColor="text1"/>
        </w:rPr>
        <w:t>, such as in</w:t>
      </w:r>
      <w:r w:rsidRPr="008E7629">
        <w:rPr>
          <w:color w:val="000000" w:themeColor="text1"/>
        </w:rPr>
        <w:t>sufficient material and human resources</w:t>
      </w:r>
      <w:r w:rsidR="00C4026B" w:rsidRPr="008E7629">
        <w:rPr>
          <w:color w:val="000000" w:themeColor="text1"/>
        </w:rPr>
        <w:t xml:space="preserve"> and</w:t>
      </w:r>
      <w:r w:rsidRPr="008E7629">
        <w:rPr>
          <w:color w:val="000000" w:themeColor="text1"/>
        </w:rPr>
        <w:t xml:space="preserve"> </w:t>
      </w:r>
      <w:r w:rsidR="00C4026B" w:rsidRPr="008E7629">
        <w:rPr>
          <w:color w:val="000000" w:themeColor="text1"/>
        </w:rPr>
        <w:t xml:space="preserve">ensure </w:t>
      </w:r>
      <w:r w:rsidR="00C4026B">
        <w:t>election of</w:t>
      </w:r>
      <w:r>
        <w:t xml:space="preserve"> best qualified and independent members in a transparent process, taking into account the need for gender parity.</w:t>
      </w:r>
    </w:p>
    <w:p w14:paraId="66605354" w14:textId="1CCD3FC2" w:rsidR="008E7629" w:rsidRPr="008E7629" w:rsidRDefault="00576E01" w:rsidP="002840F3">
      <w:pPr>
        <w:pStyle w:val="ListParagraph"/>
        <w:numPr>
          <w:ilvl w:val="0"/>
          <w:numId w:val="3"/>
        </w:numPr>
        <w:jc w:val="both"/>
        <w:rPr>
          <w:color w:val="000000" w:themeColor="text1"/>
        </w:rPr>
      </w:pPr>
      <w:r>
        <w:t>Second</w:t>
      </w:r>
      <w:r w:rsidR="0045314A">
        <w:t>, t</w:t>
      </w:r>
      <w:r w:rsidR="0045314A" w:rsidRPr="002C4433">
        <w:t xml:space="preserve">he </w:t>
      </w:r>
      <w:r w:rsidR="008E7629">
        <w:t>C</w:t>
      </w:r>
      <w:r w:rsidR="0045314A" w:rsidRPr="002C4433">
        <w:t>ommittees regularly refer to the General Comments and Recommendations when examining reports and engaging in a constructive dialogue with state representatives or adopting Views</w:t>
      </w:r>
      <w:r>
        <w:t>.</w:t>
      </w:r>
      <w:r w:rsidR="0045314A">
        <w:t xml:space="preserve"> </w:t>
      </w:r>
      <w:r>
        <w:t>I</w:t>
      </w:r>
      <w:r w:rsidR="0045314A">
        <w:t>t is noteworthy that in recent years, some of them have engaged in preparation of joint projects</w:t>
      </w:r>
      <w:r w:rsidR="008E7629">
        <w:t xml:space="preserve"> of GCs or GRs</w:t>
      </w:r>
      <w:r w:rsidR="0045314A">
        <w:t xml:space="preserve">. Particularly, when it comes to issues that are of concern to more of them, </w:t>
      </w:r>
      <w:r w:rsidR="008E7629">
        <w:t xml:space="preserve">as is the case </w:t>
      </w:r>
      <w:r w:rsidR="00C450DF">
        <w:t>with the</w:t>
      </w:r>
      <w:r w:rsidR="008E7629">
        <w:t xml:space="preserve"> rights of older persons, </w:t>
      </w:r>
      <w:r w:rsidR="0045314A">
        <w:t xml:space="preserve">such approach seems a welcome innovation, </w:t>
      </w:r>
      <w:r w:rsidR="008E7629">
        <w:t>that</w:t>
      </w:r>
      <w:r w:rsidR="0045314A">
        <w:t xml:space="preserve"> should </w:t>
      </w:r>
      <w:r w:rsidR="008E7629">
        <w:t>be further explored</w:t>
      </w:r>
      <w:r>
        <w:t xml:space="preserve"> and implemented.</w:t>
      </w:r>
    </w:p>
    <w:p w14:paraId="650CB691" w14:textId="77777777" w:rsidR="009544FA" w:rsidRPr="009544FA" w:rsidRDefault="00576E01" w:rsidP="00F426B2">
      <w:pPr>
        <w:pStyle w:val="ListParagraph"/>
        <w:numPr>
          <w:ilvl w:val="0"/>
          <w:numId w:val="3"/>
        </w:numPr>
        <w:jc w:val="both"/>
        <w:rPr>
          <w:color w:val="000000" w:themeColor="text1"/>
        </w:rPr>
      </w:pPr>
      <w:r>
        <w:t>Third</w:t>
      </w:r>
      <w:r w:rsidR="008E7629">
        <w:t>,</w:t>
      </w:r>
      <w:r w:rsidR="00CF6DE4" w:rsidRPr="00CF6DE4">
        <w:t xml:space="preserve"> </w:t>
      </w:r>
      <w:r w:rsidR="00CF6DE4">
        <w:t xml:space="preserve">the increasing workload and multiplicity of substantive issues before the Committees, calls for re-consideration of long-term feasibility of the system as it currently stands. While the </w:t>
      </w:r>
      <w:r w:rsidR="00A22E9F">
        <w:t>committees</w:t>
      </w:r>
      <w:r w:rsidR="00CF6DE4">
        <w:t xml:space="preserve"> already developed some practices of reaching out to other treaty-bodies, </w:t>
      </w:r>
      <w:r w:rsidR="00942AF7">
        <w:t xml:space="preserve">for example, </w:t>
      </w:r>
      <w:r w:rsidR="00CF6DE4">
        <w:t>through</w:t>
      </w:r>
      <w:r w:rsidR="00C450DF">
        <w:t xml:space="preserve"> </w:t>
      </w:r>
      <w:r w:rsidR="00CF6DE4">
        <w:t>appointment of focal points among members for each of the other treaty bodies, organising briefings with other parts of the UN human rights system and organising, also inter-sessionally, meetings with regional human rights courts, there is certainly still room for more systematic consultation and coordination with various parts of the UN system and beyond.</w:t>
      </w:r>
    </w:p>
    <w:p w14:paraId="5A810440" w14:textId="588D58A2" w:rsidR="00065887" w:rsidRPr="00F426B2" w:rsidRDefault="009544FA" w:rsidP="00F426B2">
      <w:pPr>
        <w:pStyle w:val="ListParagraph"/>
        <w:numPr>
          <w:ilvl w:val="0"/>
          <w:numId w:val="3"/>
        </w:numPr>
        <w:jc w:val="both"/>
        <w:rPr>
          <w:color w:val="000000" w:themeColor="text1"/>
        </w:rPr>
      </w:pPr>
      <w:r>
        <w:lastRenderedPageBreak/>
        <w:t>Fourth</w:t>
      </w:r>
      <w:r w:rsidR="00CF6DE4">
        <w:t xml:space="preserve">, </w:t>
      </w:r>
      <w:r w:rsidR="008E7629">
        <w:t>f</w:t>
      </w:r>
      <w:r w:rsidR="0045314A">
        <w:t>or the C</w:t>
      </w:r>
      <w:r w:rsidR="00C4026B">
        <w:t>ommittees</w:t>
      </w:r>
      <w:r w:rsidR="0045314A">
        <w:t xml:space="preserve"> to keep </w:t>
      </w:r>
      <w:r w:rsidR="00C4026B">
        <w:t>their</w:t>
      </w:r>
      <w:r w:rsidR="0045314A">
        <w:t xml:space="preserve"> significance going forward, it is </w:t>
      </w:r>
      <w:r w:rsidR="00A22E9F">
        <w:t xml:space="preserve">of utmost </w:t>
      </w:r>
      <w:r w:rsidR="0045314A">
        <w:t>urgen</w:t>
      </w:r>
      <w:r w:rsidR="00A22E9F">
        <w:t xml:space="preserve">cy </w:t>
      </w:r>
      <w:r w:rsidR="0045314A">
        <w:t xml:space="preserve">to ensure </w:t>
      </w:r>
      <w:r w:rsidR="00C4026B">
        <w:t>their</w:t>
      </w:r>
      <w:r w:rsidR="0045314A">
        <w:t xml:space="preserve"> evolution, including through the use of modern technologies in </w:t>
      </w:r>
      <w:r w:rsidR="00C4026B">
        <w:t>their</w:t>
      </w:r>
      <w:r w:rsidR="0045314A">
        <w:t xml:space="preserve"> functioning</w:t>
      </w:r>
      <w:r w:rsidR="00CF6DE4">
        <w:t xml:space="preserve">, </w:t>
      </w:r>
      <w:r w:rsidR="00A22E9F">
        <w:t>and</w:t>
      </w:r>
      <w:r w:rsidR="00F426B2">
        <w:t xml:space="preserve"> further,</w:t>
      </w:r>
      <w:r w:rsidR="00A22E9F">
        <w:t xml:space="preserve"> </w:t>
      </w:r>
      <w:r w:rsidR="00CF6DE4">
        <w:t xml:space="preserve">given the </w:t>
      </w:r>
      <w:r w:rsidR="0045314A">
        <w:t xml:space="preserve">growing </w:t>
      </w:r>
      <w:r w:rsidR="002840F3">
        <w:t xml:space="preserve">and aging </w:t>
      </w:r>
      <w:r w:rsidR="0045314A">
        <w:t xml:space="preserve">world population, nothing short of a small revolution, resulting in the </w:t>
      </w:r>
      <w:r w:rsidR="002840F3">
        <w:t xml:space="preserve">long-term in </w:t>
      </w:r>
      <w:r w:rsidR="0045314A">
        <w:t xml:space="preserve">establishment of a full-time permanent human rights body, </w:t>
      </w:r>
      <w:r w:rsidR="002840F3">
        <w:t>a World Human Rights Court of a kind</w:t>
      </w:r>
      <w:r w:rsidR="00CF6DE4">
        <w:t>, is warranted</w:t>
      </w:r>
      <w:r w:rsidR="0045314A">
        <w:t>.</w:t>
      </w:r>
      <w:r w:rsidR="002840F3">
        <w:t xml:space="preserve"> Until then, consider</w:t>
      </w:r>
      <w:r w:rsidR="00CF6DE4">
        <w:t>ations of</w:t>
      </w:r>
      <w:r w:rsidR="002840F3">
        <w:t xml:space="preserve"> adoption of a new international legal instrument (in the form of a new treaty or otherwise, with or without a monitoring mechanism) </w:t>
      </w:r>
      <w:r w:rsidR="00CF6DE4">
        <w:t>should continue</w:t>
      </w:r>
      <w:r w:rsidR="00F426B2">
        <w:t>,</w:t>
      </w:r>
      <w:r w:rsidR="00CF6DE4">
        <w:t xml:space="preserve"> </w:t>
      </w:r>
      <w:r w:rsidR="002840F3">
        <w:t>and</w:t>
      </w:r>
      <w:r w:rsidR="00CF6DE4">
        <w:t xml:space="preserve">, </w:t>
      </w:r>
      <w:r w:rsidR="00FF717E">
        <w:t xml:space="preserve">to the extent </w:t>
      </w:r>
      <w:r w:rsidR="000311C0">
        <w:t>feasible and appropriate</w:t>
      </w:r>
      <w:r w:rsidR="00FF717E">
        <w:t>,</w:t>
      </w:r>
      <w:r w:rsidR="00CC58CE">
        <w:t xml:space="preserve"> </w:t>
      </w:r>
      <w:r w:rsidR="00CF6DE4">
        <w:t xml:space="preserve">rights of older persons should be </w:t>
      </w:r>
      <w:r w:rsidR="00A22E9F">
        <w:t xml:space="preserve">more systematically </w:t>
      </w:r>
      <w:r w:rsidR="00CF6DE4">
        <w:t>included</w:t>
      </w:r>
      <w:r w:rsidR="00CC58CE">
        <w:t xml:space="preserve"> in dialogues within existing </w:t>
      </w:r>
      <w:r w:rsidR="00FF717E">
        <w:t xml:space="preserve">human rights </w:t>
      </w:r>
      <w:r w:rsidR="00CC58CE">
        <w:t>mechanisms</w:t>
      </w:r>
      <w:r w:rsidR="00CF6DE4">
        <w:t>.</w:t>
      </w:r>
      <w:r w:rsidR="000311C0">
        <w:t xml:space="preserve"> Th</w:t>
      </w:r>
      <w:r w:rsidR="00F426B2">
        <w:t>is requires also</w:t>
      </w:r>
      <w:r w:rsidR="000311C0">
        <w:t xml:space="preserve"> </w:t>
      </w:r>
      <w:r w:rsidR="00D95036">
        <w:t xml:space="preserve">greater mobilization and </w:t>
      </w:r>
      <w:r w:rsidR="000311C0">
        <w:t>increase</w:t>
      </w:r>
      <w:r w:rsidR="00D95036">
        <w:t>d</w:t>
      </w:r>
      <w:r w:rsidR="000311C0">
        <w:t xml:space="preserve"> inputs focusing on rights of older persons </w:t>
      </w:r>
      <w:r w:rsidR="00F426B2">
        <w:t>to be presented to the Committees by</w:t>
      </w:r>
      <w:r w:rsidR="000311C0">
        <w:t xml:space="preserve"> various </w:t>
      </w:r>
      <w:r w:rsidR="00F426B2">
        <w:t xml:space="preserve">competent </w:t>
      </w:r>
      <w:r w:rsidR="000311C0">
        <w:t>stakeholders.</w:t>
      </w:r>
    </w:p>
    <w:p w14:paraId="64E64744" w14:textId="77777777" w:rsidR="00065887" w:rsidRDefault="00065887" w:rsidP="00065887">
      <w:pPr>
        <w:jc w:val="both"/>
      </w:pPr>
    </w:p>
    <w:p w14:paraId="6AA1E8E9" w14:textId="6071285B" w:rsidR="00096862" w:rsidRDefault="00096862"/>
    <w:p w14:paraId="7026129B" w14:textId="77777777" w:rsidR="00096862" w:rsidRDefault="00096862"/>
    <w:p w14:paraId="72994684" w14:textId="7D332D63" w:rsidR="00474F75" w:rsidRDefault="00474F75"/>
    <w:p w14:paraId="2F611D7C" w14:textId="77777777" w:rsidR="00474F75" w:rsidRDefault="00474F75"/>
    <w:p w14:paraId="2FF25E49" w14:textId="0017D6D0" w:rsidR="00474F75" w:rsidRDefault="00474F75"/>
    <w:p w14:paraId="2D989732" w14:textId="77777777" w:rsidR="00474F75" w:rsidRDefault="00474F75"/>
    <w:p w14:paraId="6CD857D2" w14:textId="77777777" w:rsidR="00474F75" w:rsidRDefault="00474F75"/>
    <w:sectPr w:rsidR="00474F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CB03B" w14:textId="77777777" w:rsidR="00503257" w:rsidRDefault="00503257" w:rsidP="00D12988">
      <w:r>
        <w:separator/>
      </w:r>
    </w:p>
  </w:endnote>
  <w:endnote w:type="continuationSeparator" w:id="0">
    <w:p w14:paraId="3778E0CB" w14:textId="77777777" w:rsidR="00503257" w:rsidRDefault="00503257" w:rsidP="00D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9910" w14:textId="77777777" w:rsidR="00503257" w:rsidRDefault="00503257" w:rsidP="00D12988">
      <w:r>
        <w:separator/>
      </w:r>
    </w:p>
  </w:footnote>
  <w:footnote w:type="continuationSeparator" w:id="0">
    <w:p w14:paraId="7DD5675F" w14:textId="77777777" w:rsidR="00503257" w:rsidRDefault="00503257" w:rsidP="00D1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EE"/>
    <w:multiLevelType w:val="hybridMultilevel"/>
    <w:tmpl w:val="DEA0508C"/>
    <w:lvl w:ilvl="0" w:tplc="62DAB02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36841"/>
    <w:multiLevelType w:val="hybridMultilevel"/>
    <w:tmpl w:val="8D8E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2663B"/>
    <w:multiLevelType w:val="hybridMultilevel"/>
    <w:tmpl w:val="6814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75"/>
    <w:rsid w:val="000311C0"/>
    <w:rsid w:val="0004138C"/>
    <w:rsid w:val="00065887"/>
    <w:rsid w:val="00096862"/>
    <w:rsid w:val="000A3004"/>
    <w:rsid w:val="0011633C"/>
    <w:rsid w:val="00191E86"/>
    <w:rsid w:val="00193EDB"/>
    <w:rsid w:val="002840F3"/>
    <w:rsid w:val="0028535D"/>
    <w:rsid w:val="002A500D"/>
    <w:rsid w:val="002A636F"/>
    <w:rsid w:val="002B1558"/>
    <w:rsid w:val="00350C2B"/>
    <w:rsid w:val="003D564E"/>
    <w:rsid w:val="0045314A"/>
    <w:rsid w:val="00474F75"/>
    <w:rsid w:val="004C591C"/>
    <w:rsid w:val="004E4F81"/>
    <w:rsid w:val="00503257"/>
    <w:rsid w:val="00565850"/>
    <w:rsid w:val="00576E01"/>
    <w:rsid w:val="00635E33"/>
    <w:rsid w:val="00720D1C"/>
    <w:rsid w:val="00745534"/>
    <w:rsid w:val="0075457B"/>
    <w:rsid w:val="007C147B"/>
    <w:rsid w:val="008E7629"/>
    <w:rsid w:val="008F0AD4"/>
    <w:rsid w:val="00902B21"/>
    <w:rsid w:val="00942AF7"/>
    <w:rsid w:val="00944D76"/>
    <w:rsid w:val="009544FA"/>
    <w:rsid w:val="009D5104"/>
    <w:rsid w:val="00A22E9F"/>
    <w:rsid w:val="00C4026B"/>
    <w:rsid w:val="00C450DF"/>
    <w:rsid w:val="00C55A98"/>
    <w:rsid w:val="00CC58CE"/>
    <w:rsid w:val="00CF6DE4"/>
    <w:rsid w:val="00D12988"/>
    <w:rsid w:val="00D520B3"/>
    <w:rsid w:val="00D863E0"/>
    <w:rsid w:val="00D95036"/>
    <w:rsid w:val="00DC6FE8"/>
    <w:rsid w:val="00E2656D"/>
    <w:rsid w:val="00E8473D"/>
    <w:rsid w:val="00F426B2"/>
    <w:rsid w:val="00F57CBC"/>
    <w:rsid w:val="00F71585"/>
    <w:rsid w:val="00FF71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B489"/>
  <w15:chartTrackingRefBased/>
  <w15:docId w15:val="{233A690B-BD04-8B4D-A9D7-AD8DA965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E86"/>
    <w:pPr>
      <w:ind w:left="720"/>
      <w:contextualSpacing/>
    </w:pPr>
  </w:style>
  <w:style w:type="paragraph" w:customStyle="1" w:styleId="xmsonormal">
    <w:name w:val="x_msonormal"/>
    <w:basedOn w:val="Normal"/>
    <w:rsid w:val="00D520B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520B3"/>
    <w:rPr>
      <w:color w:val="0000FF"/>
      <w:u w:val="single"/>
    </w:rPr>
  </w:style>
  <w:style w:type="paragraph" w:styleId="FootnoteText">
    <w:name w:val="footnote text"/>
    <w:basedOn w:val="Normal"/>
    <w:link w:val="FootnoteTextChar"/>
    <w:uiPriority w:val="99"/>
    <w:unhideWhenUsed/>
    <w:rsid w:val="00D12988"/>
    <w:rPr>
      <w:sz w:val="20"/>
      <w:szCs w:val="20"/>
      <w:lang/>
    </w:rPr>
  </w:style>
  <w:style w:type="character" w:customStyle="1" w:styleId="FootnoteTextChar">
    <w:name w:val="Footnote Text Char"/>
    <w:basedOn w:val="DefaultParagraphFont"/>
    <w:link w:val="FootnoteText"/>
    <w:uiPriority w:val="99"/>
    <w:rsid w:val="00D12988"/>
    <w:rPr>
      <w:sz w:val="20"/>
      <w:szCs w:val="20"/>
    </w:rPr>
  </w:style>
  <w:style w:type="character" w:styleId="FootnoteReference">
    <w:name w:val="footnote reference"/>
    <w:basedOn w:val="DefaultParagraphFont"/>
    <w:uiPriority w:val="99"/>
    <w:semiHidden/>
    <w:unhideWhenUsed/>
    <w:rsid w:val="00D12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3291">
      <w:bodyDiv w:val="1"/>
      <w:marLeft w:val="0"/>
      <w:marRight w:val="0"/>
      <w:marTop w:val="0"/>
      <w:marBottom w:val="0"/>
      <w:divBdr>
        <w:top w:val="none" w:sz="0" w:space="0" w:color="auto"/>
        <w:left w:val="none" w:sz="0" w:space="0" w:color="auto"/>
        <w:bottom w:val="none" w:sz="0" w:space="0" w:color="auto"/>
        <w:right w:val="none" w:sz="0" w:space="0" w:color="auto"/>
      </w:divBdr>
    </w:div>
    <w:div w:id="289745779">
      <w:bodyDiv w:val="1"/>
      <w:marLeft w:val="0"/>
      <w:marRight w:val="0"/>
      <w:marTop w:val="0"/>
      <w:marBottom w:val="0"/>
      <w:divBdr>
        <w:top w:val="none" w:sz="0" w:space="0" w:color="auto"/>
        <w:left w:val="none" w:sz="0" w:space="0" w:color="auto"/>
        <w:bottom w:val="none" w:sz="0" w:space="0" w:color="auto"/>
        <w:right w:val="none" w:sz="0" w:space="0" w:color="auto"/>
      </w:divBdr>
    </w:div>
    <w:div w:id="401483851">
      <w:bodyDiv w:val="1"/>
      <w:marLeft w:val="0"/>
      <w:marRight w:val="0"/>
      <w:marTop w:val="0"/>
      <w:marBottom w:val="0"/>
      <w:divBdr>
        <w:top w:val="none" w:sz="0" w:space="0" w:color="auto"/>
        <w:left w:val="none" w:sz="0" w:space="0" w:color="auto"/>
        <w:bottom w:val="none" w:sz="0" w:space="0" w:color="auto"/>
        <w:right w:val="none" w:sz="0" w:space="0" w:color="auto"/>
      </w:divBdr>
    </w:div>
    <w:div w:id="563413931">
      <w:bodyDiv w:val="1"/>
      <w:marLeft w:val="0"/>
      <w:marRight w:val="0"/>
      <w:marTop w:val="0"/>
      <w:marBottom w:val="0"/>
      <w:divBdr>
        <w:top w:val="none" w:sz="0" w:space="0" w:color="auto"/>
        <w:left w:val="none" w:sz="0" w:space="0" w:color="auto"/>
        <w:bottom w:val="none" w:sz="0" w:space="0" w:color="auto"/>
        <w:right w:val="none" w:sz="0" w:space="0" w:color="auto"/>
      </w:divBdr>
    </w:div>
    <w:div w:id="772407662">
      <w:bodyDiv w:val="1"/>
      <w:marLeft w:val="0"/>
      <w:marRight w:val="0"/>
      <w:marTop w:val="0"/>
      <w:marBottom w:val="0"/>
      <w:divBdr>
        <w:top w:val="none" w:sz="0" w:space="0" w:color="auto"/>
        <w:left w:val="none" w:sz="0" w:space="0" w:color="auto"/>
        <w:bottom w:val="none" w:sz="0" w:space="0" w:color="auto"/>
        <w:right w:val="none" w:sz="0" w:space="0" w:color="auto"/>
      </w:divBdr>
    </w:div>
    <w:div w:id="8418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Vasilka Sancin</dc:creator>
  <cp:keywords/>
  <dc:description/>
  <cp:lastModifiedBy>PUISTO Janica</cp:lastModifiedBy>
  <cp:revision>2</cp:revision>
  <dcterms:created xsi:type="dcterms:W3CDTF">2022-08-27T19:51:00Z</dcterms:created>
  <dcterms:modified xsi:type="dcterms:W3CDTF">2022-08-27T19:51:00Z</dcterms:modified>
</cp:coreProperties>
</file>