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D1" w:rsidRDefault="007B0FD1" w:rsidP="007B0FD1">
      <w:pPr>
        <w:pStyle w:val="Heading2"/>
        <w:spacing w:before="0" w:beforeAutospacing="0" w:after="0" w:afterAutospacing="0"/>
        <w:jc w:val="both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34"/>
          <w:szCs w:val="34"/>
        </w:rPr>
        <w:t>Marie-</w:t>
      </w:r>
      <w:proofErr w:type="spellStart"/>
      <w:r>
        <w:rPr>
          <w:rFonts w:ascii="Arial" w:eastAsia="Times New Roman" w:hAnsi="Arial" w:cs="Arial"/>
          <w:color w:val="000000"/>
          <w:sz w:val="34"/>
          <w:szCs w:val="34"/>
        </w:rPr>
        <w:t>Marlène</w:t>
      </w:r>
      <w:proofErr w:type="spellEnd"/>
      <w:r>
        <w:rPr>
          <w:rFonts w:ascii="Arial" w:eastAsia="Times New Roman" w:hAnsi="Arial" w:cs="Arial"/>
          <w:color w:val="000000"/>
          <w:sz w:val="34"/>
          <w:szCs w:val="34"/>
        </w:rPr>
        <w:t xml:space="preserve"> HOUNSOU</w:t>
      </w:r>
    </w:p>
    <w:p w:rsidR="007B0FD1" w:rsidRDefault="007B0FD1" w:rsidP="007B0FD1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</w:pPr>
    </w:p>
    <w:p w:rsidR="007B0FD1" w:rsidRDefault="007B0FD1" w:rsidP="007B0FD1">
      <w:pPr>
        <w:pStyle w:val="Heading2"/>
        <w:spacing w:before="0" w:beforeAutospacing="0" w:after="0" w:afterAutospacing="0"/>
        <w:jc w:val="both"/>
        <w:rPr>
          <w:rFonts w:eastAsia="Times New Roman"/>
        </w:rPr>
      </w:pPr>
      <w:r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  <w:t xml:space="preserve">Les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  <w:t>mythes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  <w:t xml:space="preserve"> sur le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  <w:t>vieillissement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  <w:t>en</w:t>
      </w:r>
      <w:proofErr w:type="spellEnd"/>
      <w:r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color w:val="000000"/>
          <w:sz w:val="34"/>
          <w:szCs w:val="34"/>
        </w:rPr>
        <w:t>Afrique</w:t>
      </w:r>
      <w:proofErr w:type="spellEnd"/>
    </w:p>
    <w:p w:rsidR="007B0FD1" w:rsidRDefault="007B0FD1" w:rsidP="007B0FD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  <w:sz w:val="27"/>
          <w:szCs w:val="27"/>
        </w:rPr>
      </w:pPr>
    </w:p>
    <w:p w:rsidR="007B0FD1" w:rsidRDefault="007B0FD1" w:rsidP="007B0FD1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color w:val="404040"/>
          <w:sz w:val="27"/>
          <w:szCs w:val="27"/>
        </w:rPr>
        <w:t>L’ensemble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nos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médias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renforce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cette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idée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d’une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population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uniquement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jeune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Ils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faussent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notre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perception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nous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imprégnant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d’une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vision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où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les femmes et les hommes qui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atteignent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la force 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l’âge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s’évanouissent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faute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d’être plus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abondamment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représentés</w:t>
      </w:r>
      <w:proofErr w:type="spellEnd"/>
      <w:r>
        <w:rPr>
          <w:rFonts w:ascii="Arial" w:hAnsi="Arial" w:cs="Arial"/>
          <w:color w:val="404040"/>
          <w:sz w:val="27"/>
          <w:szCs w:val="27"/>
        </w:rPr>
        <w:t>.  </w:t>
      </w:r>
    </w:p>
    <w:p w:rsidR="007B0FD1" w:rsidRDefault="007B0FD1" w:rsidP="007B0FD1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404040"/>
          <w:sz w:val="27"/>
          <w:szCs w:val="27"/>
        </w:rPr>
        <w:t xml:space="preserve">Le second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mythe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encore plus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ancré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dans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esprits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que le premier,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est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celui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la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solidarité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africaine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regard 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l’individualisme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sociétés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occidentales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C’est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mythe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la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personne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âgée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centrale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respectée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objet 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tous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égards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D’une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solidarité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familiale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robuste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établie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culturellement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symbole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d’une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identité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africaine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essentialisée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s’opposant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à la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vieillesse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occidentale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incarnée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par </w:t>
      </w:r>
      <w:proofErr w:type="spellStart"/>
      <w:proofErr w:type="gramStart"/>
      <w:r>
        <w:rPr>
          <w:rFonts w:ascii="Arial" w:hAnsi="Arial" w:cs="Arial"/>
          <w:color w:val="404040"/>
          <w:sz w:val="27"/>
          <w:szCs w:val="27"/>
        </w:rPr>
        <w:t>ses</w:t>
      </w:r>
      <w:proofErr w:type="spellEnd"/>
      <w:proofErr w:type="gram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maisons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retraite</w:t>
      </w:r>
      <w:proofErr w:type="spellEnd"/>
      <w:r>
        <w:rPr>
          <w:rFonts w:ascii="Arial" w:hAnsi="Arial" w:cs="Arial"/>
          <w:color w:val="404040"/>
          <w:sz w:val="27"/>
          <w:szCs w:val="27"/>
        </w:rPr>
        <w:t>.</w:t>
      </w:r>
    </w:p>
    <w:p w:rsidR="007B0FD1" w:rsidRDefault="007B0FD1" w:rsidP="007B0FD1">
      <w:pPr>
        <w:pStyle w:val="NormalWeb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color w:val="404040"/>
          <w:sz w:val="27"/>
          <w:szCs w:val="27"/>
        </w:rPr>
        <w:t>Mais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404040"/>
          <w:sz w:val="27"/>
          <w:szCs w:val="27"/>
        </w:rPr>
        <w:t>ce</w:t>
      </w:r>
      <w:proofErr w:type="spellEnd"/>
      <w:proofErr w:type="gram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sont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deux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idées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reçues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qui ne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résistent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pas à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l’épreuve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faits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L’opposition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Occident –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Afrique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404040"/>
          <w:sz w:val="27"/>
          <w:szCs w:val="27"/>
        </w:rPr>
        <w:t>est</w:t>
      </w:r>
      <w:proofErr w:type="spellEnd"/>
      <w:proofErr w:type="gramEnd"/>
      <w:r>
        <w:rPr>
          <w:rFonts w:ascii="Arial" w:hAnsi="Arial" w:cs="Arial"/>
          <w:color w:val="404040"/>
          <w:sz w:val="27"/>
          <w:szCs w:val="27"/>
        </w:rPr>
        <w:t xml:space="preserve"> loin d’être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aussi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prononcée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que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l’on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s’imagine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. Il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importe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donc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déconstruire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fictions par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l’examen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études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et des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chiffres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et 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parvenir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à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une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analyse et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une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vision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raisonnées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du </w:t>
      </w:r>
      <w:proofErr w:type="spellStart"/>
      <w:proofErr w:type="gramStart"/>
      <w:r>
        <w:rPr>
          <w:rFonts w:ascii="Arial" w:hAnsi="Arial" w:cs="Arial"/>
          <w:color w:val="404040"/>
          <w:sz w:val="27"/>
          <w:szCs w:val="27"/>
        </w:rPr>
        <w:t>vieillissement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;</w:t>
      </w:r>
      <w:proofErr w:type="gramEnd"/>
      <w:r>
        <w:rPr>
          <w:rFonts w:ascii="Arial" w:hAnsi="Arial" w:cs="Arial"/>
          <w:color w:val="404040"/>
          <w:sz w:val="27"/>
          <w:szCs w:val="27"/>
        </w:rPr>
        <w:t xml:space="preserve"> à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une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meilleure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maîtrise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la transition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démographique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particulière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à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l’Afrique</w:t>
      </w:r>
      <w:proofErr w:type="spellEnd"/>
      <w:r>
        <w:rPr>
          <w:rFonts w:ascii="Arial" w:hAnsi="Arial" w:cs="Arial"/>
          <w:color w:val="404040"/>
          <w:sz w:val="27"/>
          <w:szCs w:val="27"/>
        </w:rPr>
        <w:t>.</w:t>
      </w:r>
    </w:p>
    <w:p w:rsidR="007B0FD1" w:rsidRDefault="007B0FD1" w:rsidP="007B0FD1">
      <w:pPr>
        <w:pStyle w:val="Heading2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34"/>
          <w:szCs w:val="34"/>
        </w:rPr>
      </w:pPr>
    </w:p>
    <w:p w:rsidR="007B0FD1" w:rsidRDefault="007B0FD1" w:rsidP="007B0FD1">
      <w:pPr>
        <w:pStyle w:val="Heading2"/>
        <w:spacing w:before="0" w:beforeAutospacing="0" w:after="0" w:afterAutospacing="0"/>
        <w:jc w:val="both"/>
        <w:rPr>
          <w:rFonts w:eastAsia="Times New Roman"/>
        </w:rPr>
      </w:pPr>
      <w:proofErr w:type="spellStart"/>
      <w:r>
        <w:rPr>
          <w:rFonts w:ascii="Arial" w:eastAsia="Times New Roman" w:hAnsi="Arial" w:cs="Arial"/>
          <w:color w:val="000000"/>
          <w:sz w:val="34"/>
          <w:szCs w:val="34"/>
        </w:rPr>
        <w:t>Vieillissement</w:t>
      </w:r>
      <w:proofErr w:type="spellEnd"/>
      <w:r>
        <w:rPr>
          <w:rFonts w:ascii="Arial" w:eastAsia="Times New Roman" w:hAnsi="Arial" w:cs="Arial"/>
          <w:color w:val="000000"/>
          <w:sz w:val="34"/>
          <w:szCs w:val="34"/>
        </w:rPr>
        <w:t xml:space="preserve"> de la population </w:t>
      </w:r>
      <w:proofErr w:type="gramStart"/>
      <w:r>
        <w:rPr>
          <w:rFonts w:ascii="Arial" w:eastAsia="Times New Roman" w:hAnsi="Arial" w:cs="Arial"/>
          <w:color w:val="000000"/>
          <w:sz w:val="34"/>
          <w:szCs w:val="34"/>
        </w:rPr>
        <w:t>et</w:t>
      </w:r>
      <w:proofErr w:type="gramEnd"/>
      <w:r>
        <w:rPr>
          <w:rFonts w:ascii="Arial" w:eastAsia="Times New Roman" w:hAnsi="Arial" w:cs="Arial"/>
          <w:color w:val="000000"/>
          <w:sz w:val="34"/>
          <w:szCs w:val="3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4"/>
          <w:szCs w:val="34"/>
        </w:rPr>
        <w:t>dépendance</w:t>
      </w:r>
      <w:proofErr w:type="spellEnd"/>
    </w:p>
    <w:p w:rsidR="007B0FD1" w:rsidRPr="007B0FD1" w:rsidRDefault="007B0FD1" w:rsidP="007B0FD1">
      <w:pPr>
        <w:pStyle w:val="NormalWeb"/>
        <w:spacing w:before="0" w:beforeAutospacing="0" w:after="440" w:afterAutospacing="0"/>
        <w:jc w:val="both"/>
      </w:pPr>
      <w:proofErr w:type="spellStart"/>
      <w:r>
        <w:rPr>
          <w:rFonts w:ascii="Arial" w:hAnsi="Arial" w:cs="Arial"/>
          <w:color w:val="404040"/>
          <w:sz w:val="27"/>
          <w:szCs w:val="27"/>
        </w:rPr>
        <w:t>L’espérance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vie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augmente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dans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le monde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entier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depuis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plusieurs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décennies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Europe,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elle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a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commencé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404040"/>
          <w:sz w:val="27"/>
          <w:szCs w:val="27"/>
        </w:rPr>
        <w:t>sa</w:t>
      </w:r>
      <w:proofErr w:type="spellEnd"/>
      <w:proofErr w:type="gram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croissance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avec la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révolution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industrielle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. Les leviers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d’amélioration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404040"/>
          <w:sz w:val="27"/>
          <w:szCs w:val="27"/>
        </w:rPr>
        <w:t>sont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:</w:t>
      </w:r>
      <w:proofErr w:type="gramEnd"/>
    </w:p>
    <w:p w:rsidR="007B0FD1" w:rsidRPr="007B0FD1" w:rsidRDefault="007B0FD1" w:rsidP="007B0FD1">
      <w:pPr>
        <w:pStyle w:val="NormalWeb"/>
        <w:numPr>
          <w:ilvl w:val="0"/>
          <w:numId w:val="1"/>
        </w:numPr>
        <w:spacing w:before="0" w:beforeAutospacing="0" w:after="0" w:afterAutospacing="0"/>
        <w:ind w:left="1540"/>
        <w:jc w:val="both"/>
        <w:textAlignment w:val="baseline"/>
      </w:pPr>
      <w:r>
        <w:rPr>
          <w:rFonts w:ascii="Arial" w:hAnsi="Arial" w:cs="Arial"/>
          <w:color w:val="404040"/>
          <w:sz w:val="27"/>
          <w:szCs w:val="27"/>
        </w:rPr>
        <w:t xml:space="preserve">Les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progrès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médicaux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et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sanitaires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>,</w:t>
      </w:r>
    </w:p>
    <w:p w:rsidR="007B0FD1" w:rsidRPr="007B0FD1" w:rsidRDefault="007B0FD1" w:rsidP="007B0FD1">
      <w:pPr>
        <w:pStyle w:val="NormalWeb"/>
        <w:numPr>
          <w:ilvl w:val="0"/>
          <w:numId w:val="1"/>
        </w:numPr>
        <w:spacing w:before="0" w:beforeAutospacing="0" w:after="0" w:afterAutospacing="0"/>
        <w:ind w:left="1540"/>
        <w:jc w:val="both"/>
        <w:textAlignment w:val="baseline"/>
      </w:pPr>
      <w:r>
        <w:rPr>
          <w:rFonts w:ascii="Arial" w:hAnsi="Arial" w:cs="Arial"/>
          <w:color w:val="404040"/>
          <w:sz w:val="27"/>
          <w:szCs w:val="27"/>
        </w:rPr>
        <w:t xml:space="preserve">La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facilité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d’accès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à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progrès</w:t>
      </w:r>
      <w:proofErr w:type="spellEnd"/>
      <w:r>
        <w:rPr>
          <w:rFonts w:ascii="Arial" w:hAnsi="Arial" w:cs="Arial"/>
          <w:color w:val="404040"/>
          <w:sz w:val="27"/>
          <w:szCs w:val="27"/>
        </w:rPr>
        <w:t>,</w:t>
      </w:r>
    </w:p>
    <w:p w:rsidR="007B0FD1" w:rsidRPr="007B0FD1" w:rsidRDefault="007B0FD1" w:rsidP="007B0FD1">
      <w:pPr>
        <w:pStyle w:val="NormalWeb"/>
        <w:numPr>
          <w:ilvl w:val="0"/>
          <w:numId w:val="1"/>
        </w:numPr>
        <w:spacing w:before="0" w:beforeAutospacing="0" w:after="0" w:afterAutospacing="0"/>
        <w:ind w:left="1540"/>
        <w:jc w:val="both"/>
        <w:textAlignment w:val="baseline"/>
      </w:pPr>
      <w:r>
        <w:rPr>
          <w:rFonts w:ascii="Arial" w:hAnsi="Arial" w:cs="Arial"/>
          <w:color w:val="404040"/>
          <w:sz w:val="27"/>
          <w:szCs w:val="27"/>
        </w:rPr>
        <w:t xml:space="preserve">La diversification des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régimes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alimentaires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>,</w:t>
      </w:r>
    </w:p>
    <w:p w:rsidR="007B0FD1" w:rsidRDefault="007B0FD1" w:rsidP="007B0FD1">
      <w:pPr>
        <w:pStyle w:val="NormalWeb"/>
        <w:numPr>
          <w:ilvl w:val="0"/>
          <w:numId w:val="1"/>
        </w:numPr>
        <w:spacing w:before="0" w:beforeAutospacing="0" w:after="800" w:afterAutospacing="0"/>
        <w:ind w:left="1540"/>
        <w:jc w:val="both"/>
        <w:textAlignment w:val="baseline"/>
      </w:pPr>
      <w:proofErr w:type="gramStart"/>
      <w:r>
        <w:rPr>
          <w:rFonts w:ascii="Arial" w:hAnsi="Arial" w:cs="Arial"/>
          <w:color w:val="404040"/>
          <w:sz w:val="27"/>
          <w:szCs w:val="27"/>
        </w:rPr>
        <w:t>et</w:t>
      </w:r>
      <w:proofErr w:type="gramEnd"/>
      <w:r>
        <w:rPr>
          <w:rFonts w:ascii="Arial" w:hAnsi="Arial" w:cs="Arial"/>
          <w:color w:val="404040"/>
          <w:sz w:val="27"/>
          <w:szCs w:val="27"/>
        </w:rPr>
        <w:t xml:space="preserve"> la diminution de la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pénibilité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du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travail.</w:t>
      </w:r>
      <w:proofErr w:type="spellEnd"/>
    </w:p>
    <w:p w:rsidR="007B0FD1" w:rsidRDefault="007B0FD1" w:rsidP="007B0FD1">
      <w:pPr>
        <w:pStyle w:val="NormalWeb"/>
        <w:spacing w:before="0" w:beforeAutospacing="0" w:after="800" w:afterAutospacing="0"/>
        <w:jc w:val="both"/>
        <w:textAlignment w:val="baseline"/>
      </w:pP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Ces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progrès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touchent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également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l’Afrique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.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Leur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arrivée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sur le continent </w:t>
      </w:r>
      <w:proofErr w:type="gramStart"/>
      <w:r w:rsidRPr="007B0FD1">
        <w:rPr>
          <w:rFonts w:ascii="Arial" w:hAnsi="Arial" w:cs="Arial"/>
          <w:color w:val="404040"/>
          <w:sz w:val="27"/>
          <w:szCs w:val="27"/>
        </w:rPr>
        <w:t>a</w:t>
      </w:r>
      <w:proofErr w:type="gram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été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plus tardive et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l’évolution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l’espérance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vie plus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rapide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.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L’allongement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l’espérance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vie sur le continent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africain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n’est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pas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uniquement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lié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à la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très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forte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natalité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gramStart"/>
      <w:r w:rsidRPr="007B0FD1">
        <w:rPr>
          <w:rFonts w:ascii="Arial" w:hAnsi="Arial" w:cs="Arial"/>
          <w:color w:val="404040"/>
          <w:sz w:val="27"/>
          <w:szCs w:val="27"/>
        </w:rPr>
        <w:t>et</w:t>
      </w:r>
      <w:proofErr w:type="gramEnd"/>
      <w:r w:rsidRPr="007B0FD1">
        <w:rPr>
          <w:rFonts w:ascii="Arial" w:hAnsi="Arial" w:cs="Arial"/>
          <w:color w:val="404040"/>
          <w:sz w:val="27"/>
          <w:szCs w:val="27"/>
        </w:rPr>
        <w:t xml:space="preserve"> au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recul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la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mortalité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infantile. Les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facteurs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cumulés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l’amélioration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la situation sanitaire pour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tous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les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âges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la vie et du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recul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de la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pénibilité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du travail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ont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également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fortement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proofErr w:type="gramStart"/>
      <w:r w:rsidRPr="007B0FD1">
        <w:rPr>
          <w:rFonts w:ascii="Arial" w:hAnsi="Arial" w:cs="Arial"/>
          <w:color w:val="404040"/>
          <w:sz w:val="27"/>
          <w:szCs w:val="27"/>
        </w:rPr>
        <w:t>contribué</w:t>
      </w:r>
      <w:proofErr w:type="spellEnd"/>
      <w:proofErr w:type="gramEnd"/>
      <w:r w:rsidRPr="007B0FD1">
        <w:rPr>
          <w:rFonts w:ascii="Arial" w:hAnsi="Arial" w:cs="Arial"/>
          <w:color w:val="404040"/>
          <w:sz w:val="27"/>
          <w:szCs w:val="27"/>
        </w:rPr>
        <w:t xml:space="preserve"> à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ce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que les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personnes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âgées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vivent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 xml:space="preserve"> plus </w:t>
      </w:r>
      <w:proofErr w:type="spellStart"/>
      <w:r w:rsidRPr="007B0FD1">
        <w:rPr>
          <w:rFonts w:ascii="Arial" w:hAnsi="Arial" w:cs="Arial"/>
          <w:color w:val="404040"/>
          <w:sz w:val="27"/>
          <w:szCs w:val="27"/>
        </w:rPr>
        <w:t>longtemps</w:t>
      </w:r>
      <w:proofErr w:type="spellEnd"/>
      <w:r w:rsidRPr="007B0FD1">
        <w:rPr>
          <w:rFonts w:ascii="Arial" w:hAnsi="Arial" w:cs="Arial"/>
          <w:color w:val="404040"/>
          <w:sz w:val="27"/>
          <w:szCs w:val="27"/>
        </w:rPr>
        <w:t>.</w:t>
      </w:r>
    </w:p>
    <w:p w:rsidR="007B0FD1" w:rsidRPr="007B0FD1" w:rsidRDefault="007B0FD1" w:rsidP="007B0FD1">
      <w:pPr>
        <w:pStyle w:val="NormalWeb"/>
        <w:spacing w:before="0" w:beforeAutospacing="0" w:after="440" w:afterAutospacing="0"/>
        <w:jc w:val="both"/>
      </w:pPr>
      <w:r>
        <w:rPr>
          <w:rFonts w:ascii="Arial" w:hAnsi="Arial" w:cs="Arial"/>
          <w:color w:val="404040"/>
          <w:sz w:val="27"/>
          <w:szCs w:val="27"/>
        </w:rPr>
        <w:lastRenderedPageBreak/>
        <w:t xml:space="preserve">Les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chiffres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la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Banque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Mondiale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sont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sans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appel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vingt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de 1995 à 2015,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l’espérance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 vie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est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passée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404040"/>
          <w:sz w:val="27"/>
          <w:szCs w:val="27"/>
        </w:rPr>
        <w:t>de :</w:t>
      </w:r>
      <w:proofErr w:type="gramEnd"/>
    </w:p>
    <w:p w:rsidR="007B0FD1" w:rsidRPr="007B0FD1" w:rsidRDefault="007B0FD1" w:rsidP="007B0FD1">
      <w:pPr>
        <w:pStyle w:val="NormalWeb"/>
        <w:numPr>
          <w:ilvl w:val="0"/>
          <w:numId w:val="2"/>
        </w:numPr>
        <w:spacing w:before="0" w:beforeAutospacing="0" w:after="0" w:afterAutospacing="0"/>
        <w:ind w:left="1540"/>
        <w:jc w:val="both"/>
        <w:textAlignment w:val="baseline"/>
      </w:pPr>
      <w:r>
        <w:rPr>
          <w:rFonts w:ascii="Arial" w:hAnsi="Arial" w:cs="Arial"/>
          <w:color w:val="404040"/>
          <w:sz w:val="27"/>
          <w:szCs w:val="27"/>
        </w:rPr>
        <w:t xml:space="preserve">77 à 81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France,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soit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4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ans</w:t>
      </w:r>
      <w:proofErr w:type="spellEnd"/>
    </w:p>
    <w:p w:rsidR="007B0FD1" w:rsidRPr="007B0FD1" w:rsidRDefault="007B0FD1" w:rsidP="007B0FD1">
      <w:pPr>
        <w:pStyle w:val="NormalWeb"/>
        <w:numPr>
          <w:ilvl w:val="0"/>
          <w:numId w:val="2"/>
        </w:numPr>
        <w:spacing w:before="0" w:beforeAutospacing="0" w:after="0" w:afterAutospacing="0"/>
        <w:ind w:left="1540"/>
        <w:jc w:val="both"/>
        <w:textAlignment w:val="baseline"/>
      </w:pPr>
      <w:r>
        <w:rPr>
          <w:rFonts w:ascii="Arial" w:hAnsi="Arial" w:cs="Arial"/>
          <w:color w:val="404040"/>
          <w:sz w:val="27"/>
          <w:szCs w:val="27"/>
        </w:rPr>
        <w:t xml:space="preserve">68 à 74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Afrique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du Nord,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soit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6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ans</w:t>
      </w:r>
      <w:proofErr w:type="spellEnd"/>
    </w:p>
    <w:p w:rsidR="007B0FD1" w:rsidRPr="007B0FD1" w:rsidRDefault="007B0FD1" w:rsidP="007B0FD1">
      <w:pPr>
        <w:pStyle w:val="NormalWeb"/>
        <w:numPr>
          <w:ilvl w:val="0"/>
          <w:numId w:val="2"/>
        </w:numPr>
        <w:spacing w:before="0" w:beforeAutospacing="0" w:after="800" w:afterAutospacing="0"/>
        <w:ind w:left="1540"/>
        <w:jc w:val="both"/>
        <w:textAlignment w:val="baseline"/>
      </w:pPr>
      <w:r>
        <w:rPr>
          <w:rFonts w:ascii="Arial" w:hAnsi="Arial" w:cs="Arial"/>
          <w:color w:val="404040"/>
          <w:sz w:val="27"/>
          <w:szCs w:val="27"/>
        </w:rPr>
        <w:t xml:space="preserve">50 à 61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Afrique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Subsaharienne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soit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11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ans</w:t>
      </w:r>
      <w:proofErr w:type="spellEnd"/>
    </w:p>
    <w:p w:rsidR="007B0FD1" w:rsidRDefault="007B0FD1" w:rsidP="007B0FD1">
      <w:pPr>
        <w:pStyle w:val="NormalWeb"/>
        <w:spacing w:before="0" w:beforeAutospacing="0" w:after="0" w:afterAutospacing="0"/>
        <w:jc w:val="both"/>
      </w:pPr>
      <w:proofErr w:type="gramStart"/>
      <w:r>
        <w:rPr>
          <w:rFonts w:ascii="Arial" w:hAnsi="Arial" w:cs="Arial"/>
          <w:color w:val="404040"/>
          <w:sz w:val="27"/>
          <w:szCs w:val="27"/>
        </w:rPr>
        <w:t>Or</w:t>
      </w:r>
      <w:proofErr w:type="gramEnd"/>
      <w:r>
        <w:rPr>
          <w:rFonts w:ascii="Arial" w:hAnsi="Arial" w:cs="Arial"/>
          <w:color w:val="40404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comme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partout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ailleurs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qui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dit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vieillissement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dit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perte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d’autonomie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et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dépendance</w:t>
      </w:r>
      <w:proofErr w:type="spellEnd"/>
      <w:r>
        <w:rPr>
          <w:rFonts w:ascii="Arial" w:hAnsi="Arial" w:cs="Arial"/>
          <w:color w:val="404040"/>
          <w:sz w:val="27"/>
          <w:szCs w:val="27"/>
        </w:rPr>
        <w:t>.</w:t>
      </w:r>
    </w:p>
    <w:p w:rsidR="007B0FD1" w:rsidRDefault="007B0FD1" w:rsidP="007B0FD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04040"/>
          <w:sz w:val="27"/>
          <w:szCs w:val="27"/>
        </w:rPr>
      </w:pPr>
    </w:p>
    <w:p w:rsidR="007B0FD1" w:rsidRDefault="007B0FD1" w:rsidP="007B0FD1">
      <w:pPr>
        <w:pStyle w:val="NormalWeb"/>
        <w:spacing w:before="0" w:beforeAutospacing="0" w:after="0" w:afterAutospacing="0"/>
        <w:jc w:val="both"/>
      </w:pPr>
      <w:bookmarkStart w:id="0" w:name="_GoBack"/>
      <w:bookmarkEnd w:id="0"/>
      <w:r>
        <w:rPr>
          <w:rFonts w:ascii="Arial" w:hAnsi="Arial" w:cs="Arial"/>
          <w:color w:val="404040"/>
          <w:sz w:val="27"/>
          <w:szCs w:val="27"/>
        </w:rPr>
        <w:t xml:space="preserve">Que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prévoit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la convention des droits de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l’homme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dans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la protection des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personnes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âgées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prenant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bien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en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compte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les 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réalités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socio-</w:t>
      </w:r>
      <w:proofErr w:type="spellStart"/>
      <w:r>
        <w:rPr>
          <w:rFonts w:ascii="Arial" w:hAnsi="Arial" w:cs="Arial"/>
          <w:color w:val="404040"/>
          <w:sz w:val="27"/>
          <w:szCs w:val="27"/>
        </w:rPr>
        <w:t>culturelles</w:t>
      </w:r>
      <w:proofErr w:type="spellEnd"/>
      <w:r>
        <w:rPr>
          <w:rFonts w:ascii="Arial" w:hAnsi="Arial" w:cs="Arial"/>
          <w:color w:val="404040"/>
          <w:sz w:val="27"/>
          <w:szCs w:val="27"/>
        </w:rPr>
        <w:t xml:space="preserve"> des pays </w:t>
      </w:r>
      <w:proofErr w:type="spellStart"/>
      <w:proofErr w:type="gramStart"/>
      <w:r>
        <w:rPr>
          <w:rFonts w:ascii="Arial" w:hAnsi="Arial" w:cs="Arial"/>
          <w:color w:val="404040"/>
          <w:sz w:val="27"/>
          <w:szCs w:val="27"/>
        </w:rPr>
        <w:t>africains</w:t>
      </w:r>
      <w:proofErr w:type="spellEnd"/>
      <w:r>
        <w:rPr>
          <w:rFonts w:ascii="Arial" w:hAnsi="Arial" w:cs="Arial"/>
          <w:color w:val="404040"/>
          <w:sz w:val="27"/>
          <w:szCs w:val="27"/>
        </w:rPr>
        <w:t>?</w:t>
      </w:r>
      <w:proofErr w:type="gramEnd"/>
    </w:p>
    <w:p w:rsidR="00CD67EC" w:rsidRDefault="00CD67EC"/>
    <w:sectPr w:rsidR="00CD6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E26A5"/>
    <w:multiLevelType w:val="multilevel"/>
    <w:tmpl w:val="91C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4386B"/>
    <w:multiLevelType w:val="multilevel"/>
    <w:tmpl w:val="452A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D1"/>
    <w:rsid w:val="007B0FD1"/>
    <w:rsid w:val="00C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8D09"/>
  <w15:chartTrackingRefBased/>
  <w15:docId w15:val="{64C11CB3-2C0B-4A78-9F95-48092CFF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FD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B0F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B0FD1"/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7B0F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PUISTO Janica</dc:creator>
  <cp:keywords/>
  <dc:description/>
  <cp:lastModifiedBy>PUISTO Janica</cp:lastModifiedBy>
  <cp:revision>1</cp:revision>
  <dcterms:created xsi:type="dcterms:W3CDTF">2022-09-05T11:38:00Z</dcterms:created>
  <dcterms:modified xsi:type="dcterms:W3CDTF">2022-09-05T11:40:00Z</dcterms:modified>
</cp:coreProperties>
</file>