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0E377" w14:textId="77777777" w:rsidR="00FC7DB0" w:rsidRDefault="00773C04" w:rsidP="002D2132">
      <w:pPr>
        <w:jc w:val="center"/>
        <w:rPr>
          <w:b/>
        </w:rPr>
      </w:pPr>
      <w:r>
        <w:rPr>
          <w:b/>
        </w:rPr>
        <w:t xml:space="preserve">DECLARACIÓN </w:t>
      </w:r>
      <w:r w:rsidR="00FC7DB0">
        <w:rPr>
          <w:b/>
        </w:rPr>
        <w:t>DE CHILE</w:t>
      </w:r>
    </w:p>
    <w:p w14:paraId="333AF7F1" w14:textId="1E1F3DF9" w:rsidR="00FC7DB0" w:rsidRDefault="00FC7DB0" w:rsidP="00FC7DB0">
      <w:pPr>
        <w:jc w:val="center"/>
        <w:rPr>
          <w:b/>
          <w:lang w:val="en-GB"/>
        </w:rPr>
      </w:pPr>
      <w:r w:rsidRPr="00FC7DB0">
        <w:rPr>
          <w:b/>
          <w:lang w:val="en-GB"/>
        </w:rPr>
        <w:t>OHCHR Multi-stakeholder meeting on the human rights of older persons</w:t>
      </w:r>
    </w:p>
    <w:p w14:paraId="738C82C1" w14:textId="77777777" w:rsidR="00FC7DB0" w:rsidRDefault="00FC7DB0" w:rsidP="00FC7DB0">
      <w:pPr>
        <w:jc w:val="center"/>
        <w:rPr>
          <w:b/>
          <w:lang w:val="en-GB"/>
        </w:rPr>
      </w:pPr>
    </w:p>
    <w:p w14:paraId="13881567" w14:textId="41584CF1" w:rsidR="00FC7DB0" w:rsidRPr="00FC7DB0" w:rsidRDefault="00FC7DB0" w:rsidP="00FC7DB0">
      <w:pPr>
        <w:jc w:val="center"/>
        <w:rPr>
          <w:b/>
          <w:lang w:val="en-GB"/>
        </w:rPr>
      </w:pPr>
      <w:bookmarkStart w:id="0" w:name="_GoBack"/>
      <w:bookmarkEnd w:id="0"/>
      <w:proofErr w:type="spellStart"/>
      <w:r>
        <w:rPr>
          <w:b/>
          <w:lang w:val="en-GB"/>
        </w:rPr>
        <w:t>Ginebra</w:t>
      </w:r>
      <w:proofErr w:type="spellEnd"/>
      <w:r>
        <w:rPr>
          <w:b/>
          <w:lang w:val="en-GB"/>
        </w:rPr>
        <w:t xml:space="preserve">, 6 de </w:t>
      </w:r>
      <w:proofErr w:type="spellStart"/>
      <w:r>
        <w:rPr>
          <w:b/>
          <w:lang w:val="en-GB"/>
        </w:rPr>
        <w:t>septiembre</w:t>
      </w:r>
      <w:proofErr w:type="spellEnd"/>
      <w:r>
        <w:rPr>
          <w:b/>
          <w:lang w:val="en-GB"/>
        </w:rPr>
        <w:t xml:space="preserve"> de 2022</w:t>
      </w:r>
    </w:p>
    <w:p w14:paraId="484B19A0" w14:textId="77777777" w:rsidR="00FC7DB0" w:rsidRPr="00FC7DB0" w:rsidRDefault="00FC7DB0" w:rsidP="0048675E">
      <w:pPr>
        <w:jc w:val="both"/>
        <w:rPr>
          <w:lang w:val="en-GB"/>
        </w:rPr>
      </w:pPr>
    </w:p>
    <w:p w14:paraId="2C9F4E6A" w14:textId="78469EE8" w:rsidR="00F873DB" w:rsidRDefault="0048675E" w:rsidP="0048675E">
      <w:pPr>
        <w:jc w:val="both"/>
      </w:pPr>
      <w:r>
        <w:t>E</w:t>
      </w:r>
      <w:r w:rsidRPr="00E23604">
        <w:t xml:space="preserve">l envejecimiento de la población </w:t>
      </w:r>
      <w:r w:rsidR="002D2132">
        <w:t xml:space="preserve">a nivel mundial </w:t>
      </w:r>
      <w:r w:rsidRPr="00E23604">
        <w:t>es un indicador de desarrollo que refleja el mejoramiento de las condiciones de vida que permiten que l</w:t>
      </w:r>
      <w:r>
        <w:t>a</w:t>
      </w:r>
      <w:r w:rsidRPr="00E23604">
        <w:t xml:space="preserve">s </w:t>
      </w:r>
      <w:r>
        <w:t>personas</w:t>
      </w:r>
      <w:r w:rsidR="00AE3174">
        <w:t xml:space="preserve"> puedan vivir más.</w:t>
      </w:r>
      <w:r w:rsidRPr="00E23604">
        <w:t xml:space="preserve"> </w:t>
      </w:r>
      <w:r>
        <w:t xml:space="preserve">En Chile, </w:t>
      </w:r>
      <w:r w:rsidRPr="004C7C1C">
        <w:rPr>
          <w:lang w:val="es-ES"/>
        </w:rPr>
        <w:t>la expectativa de vida al nacer</w:t>
      </w:r>
      <w:r w:rsidR="00456135">
        <w:rPr>
          <w:lang w:val="es-ES"/>
        </w:rPr>
        <w:t>, en promedio,</w:t>
      </w:r>
      <w:r w:rsidRPr="004C7C1C">
        <w:rPr>
          <w:lang w:val="es-ES"/>
        </w:rPr>
        <w:t xml:space="preserve"> supera los </w:t>
      </w:r>
      <w:r w:rsidR="00773C04">
        <w:rPr>
          <w:lang w:val="es-ES"/>
        </w:rPr>
        <w:t>80</w:t>
      </w:r>
      <w:r w:rsidRPr="004C7C1C">
        <w:rPr>
          <w:lang w:val="es-ES"/>
        </w:rPr>
        <w:t xml:space="preserve"> años</w:t>
      </w:r>
      <w:r w:rsidR="00456135">
        <w:rPr>
          <w:lang w:val="es-ES"/>
        </w:rPr>
        <w:t xml:space="preserve"> y</w:t>
      </w:r>
      <w:r w:rsidRPr="004C7C1C">
        <w:rPr>
          <w:lang w:val="es-ES"/>
        </w:rPr>
        <w:t xml:space="preserve"> </w:t>
      </w:r>
      <w:r w:rsidR="00773C04">
        <w:rPr>
          <w:lang w:val="es-ES"/>
        </w:rPr>
        <w:t>cercano a</w:t>
      </w:r>
      <w:r w:rsidRPr="004C7C1C">
        <w:rPr>
          <w:lang w:val="es-ES"/>
        </w:rPr>
        <w:t xml:space="preserve"> los </w:t>
      </w:r>
      <w:r w:rsidR="00773C04">
        <w:rPr>
          <w:lang w:val="es-ES"/>
        </w:rPr>
        <w:t>83</w:t>
      </w:r>
      <w:r w:rsidRPr="004C7C1C">
        <w:rPr>
          <w:lang w:val="es-ES"/>
        </w:rPr>
        <w:t xml:space="preserve"> en el caso de las mujeres</w:t>
      </w:r>
      <w:r w:rsidR="00773C04">
        <w:rPr>
          <w:rStyle w:val="Refdenotaalpie"/>
          <w:lang w:val="es-ES"/>
        </w:rPr>
        <w:footnoteReference w:id="1"/>
      </w:r>
      <w:r w:rsidRPr="004C7C1C">
        <w:rPr>
          <w:lang w:val="es-ES"/>
        </w:rPr>
        <w:t>. Si a ello se agrega que el país ha mostrado una drástica disminución de sus tasas de natalidad, se observa una acelerada transición demográfica hacia el envejecimiento. Estas condicionantes demográficas posicionan a nuestro país en un estadio avanzado de envejecimiento</w:t>
      </w:r>
      <w:r>
        <w:rPr>
          <w:lang w:val="es-ES"/>
        </w:rPr>
        <w:t xml:space="preserve"> poblacional</w:t>
      </w:r>
      <w:r w:rsidRPr="004C7C1C">
        <w:rPr>
          <w:lang w:val="es-ES"/>
        </w:rPr>
        <w:t>.</w:t>
      </w:r>
      <w:r>
        <w:rPr>
          <w:lang w:val="es-ES"/>
        </w:rPr>
        <w:t xml:space="preserve"> </w:t>
      </w:r>
      <w:r w:rsidR="00C15864">
        <w:t>De acuerdo a lo anterior, la estructura etaria se está transformando completamente, e</w:t>
      </w:r>
      <w:r w:rsidRPr="0048675E">
        <w:t xml:space="preserve">s así como </w:t>
      </w:r>
      <w:r w:rsidR="00773C04">
        <w:t xml:space="preserve">el índice de envejecimiento </w:t>
      </w:r>
      <w:r w:rsidR="00C15864">
        <w:t xml:space="preserve">nos indica que, </w:t>
      </w:r>
      <w:r w:rsidR="00773C04">
        <w:t>en la actualidad</w:t>
      </w:r>
      <w:r w:rsidR="00C15864">
        <w:t>,</w:t>
      </w:r>
      <w:r w:rsidR="00773C04">
        <w:t xml:space="preserve"> existen 98,4 personas mayores de 60 años, por cada 100 niños y niñas menores de 15</w:t>
      </w:r>
      <w:r w:rsidRPr="0048675E">
        <w:t>, cambiando las necesidades sociales y políticas en torno a áreas tan diversas como el trabajo, la economía, la salud, la educación, la previsión social, el género</w:t>
      </w:r>
      <w:r w:rsidR="00EA0AF5">
        <w:t xml:space="preserve"> y la crisis del cuidado</w:t>
      </w:r>
      <w:r w:rsidRPr="0048675E">
        <w:t>, entre otras.</w:t>
      </w:r>
    </w:p>
    <w:p w14:paraId="7690036F" w14:textId="293D8877" w:rsidR="00EE6B40" w:rsidRDefault="00EE6B40" w:rsidP="00EE6B40">
      <w:pPr>
        <w:jc w:val="both"/>
        <w:rPr>
          <w:lang w:val="es-ES"/>
        </w:rPr>
      </w:pPr>
      <w:r>
        <w:rPr>
          <w:rFonts w:ascii="Calibri" w:hAnsi="Calibri"/>
        </w:rPr>
        <w:t xml:space="preserve">En cuanto a las políticas públicas implementadas por el </w:t>
      </w:r>
      <w:r w:rsidR="00083A7D">
        <w:rPr>
          <w:rFonts w:ascii="Calibri" w:hAnsi="Calibri"/>
        </w:rPr>
        <w:t>país, Chile</w:t>
      </w:r>
      <w:r w:rsidRPr="0065360B">
        <w:rPr>
          <w:lang w:val="es-ES"/>
        </w:rPr>
        <w:t xml:space="preserve"> tiene una amplia trayectoria en relación a los desafíos que plantean el envejecimiento de la población y los derechos de las personas mayores, desde las primeras respuestas de los años noventa, hasta </w:t>
      </w:r>
      <w:r w:rsidR="002A6B89">
        <w:rPr>
          <w:lang w:val="es-ES"/>
        </w:rPr>
        <w:t xml:space="preserve">el tránsito desde la </w:t>
      </w:r>
      <w:proofErr w:type="spellStart"/>
      <w:r w:rsidR="002A6B89">
        <w:rPr>
          <w:lang w:val="es-ES"/>
        </w:rPr>
        <w:t>asistencialidad</w:t>
      </w:r>
      <w:proofErr w:type="spellEnd"/>
      <w:r w:rsidR="002A6B89">
        <w:rPr>
          <w:lang w:val="es-ES"/>
        </w:rPr>
        <w:t xml:space="preserve"> con la que eran tratadas las cuestiones de la vejez, hasta  </w:t>
      </w:r>
      <w:r w:rsidR="00C15864">
        <w:rPr>
          <w:lang w:val="es-ES"/>
        </w:rPr>
        <w:t>la actualidad,</w:t>
      </w:r>
      <w:r w:rsidRPr="0065360B">
        <w:rPr>
          <w:lang w:val="es-ES"/>
        </w:rPr>
        <w:t xml:space="preserve"> </w:t>
      </w:r>
      <w:r w:rsidR="002A6B89">
        <w:rPr>
          <w:lang w:val="es-ES"/>
        </w:rPr>
        <w:t xml:space="preserve">con </w:t>
      </w:r>
      <w:r w:rsidR="0081295A">
        <w:rPr>
          <w:lang w:val="es-ES"/>
        </w:rPr>
        <w:t xml:space="preserve"> </w:t>
      </w:r>
      <w:r w:rsidRPr="0065360B">
        <w:rPr>
          <w:lang w:val="es-ES"/>
        </w:rPr>
        <w:t xml:space="preserve">la </w:t>
      </w:r>
      <w:r w:rsidR="002A6B89">
        <w:rPr>
          <w:lang w:val="es-ES"/>
        </w:rPr>
        <w:t>implementación</w:t>
      </w:r>
      <w:r w:rsidRPr="0065360B">
        <w:rPr>
          <w:lang w:val="es-ES"/>
        </w:rPr>
        <w:t xml:space="preserve"> de</w:t>
      </w:r>
      <w:r w:rsidR="005F4566">
        <w:rPr>
          <w:lang w:val="es-ES"/>
        </w:rPr>
        <w:t>l</w:t>
      </w:r>
      <w:r w:rsidRPr="0065360B">
        <w:rPr>
          <w:lang w:val="es-ES"/>
        </w:rPr>
        <w:t xml:space="preserve"> enfoque de derechos</w:t>
      </w:r>
      <w:r w:rsidR="00C15864">
        <w:rPr>
          <w:lang w:val="es-ES"/>
        </w:rPr>
        <w:t xml:space="preserve">, </w:t>
      </w:r>
      <w:r w:rsidR="002A6B89">
        <w:rPr>
          <w:lang w:val="es-ES"/>
        </w:rPr>
        <w:t xml:space="preserve">en las políticas públicas, </w:t>
      </w:r>
      <w:r w:rsidR="00C15864">
        <w:rPr>
          <w:lang w:val="es-ES"/>
        </w:rPr>
        <w:t>que reconoc</w:t>
      </w:r>
      <w:r w:rsidR="005F4566">
        <w:rPr>
          <w:lang w:val="es-ES"/>
        </w:rPr>
        <w:t>e</w:t>
      </w:r>
      <w:r w:rsidR="00C15864">
        <w:rPr>
          <w:lang w:val="es-ES"/>
        </w:rPr>
        <w:t xml:space="preserve"> a las personas mayores como verdaderos titulares de sus derechos.</w:t>
      </w:r>
    </w:p>
    <w:p w14:paraId="1FFB2E49" w14:textId="01B86B7E" w:rsidR="0014681B" w:rsidRDefault="00C15864" w:rsidP="00EE6B40">
      <w:pPr>
        <w:jc w:val="both"/>
        <w:rPr>
          <w:lang w:val="es-ES"/>
        </w:rPr>
      </w:pPr>
      <w:r>
        <w:rPr>
          <w:lang w:val="es-ES"/>
        </w:rPr>
        <w:t xml:space="preserve">El compromiso de nuestro país </w:t>
      </w:r>
      <w:r w:rsidR="0014681B">
        <w:rPr>
          <w:lang w:val="es-ES"/>
        </w:rPr>
        <w:t>con las personas mayores</w:t>
      </w:r>
      <w:r>
        <w:rPr>
          <w:lang w:val="es-ES"/>
        </w:rPr>
        <w:t xml:space="preserve"> ha sido </w:t>
      </w:r>
      <w:r w:rsidR="0014681B">
        <w:rPr>
          <w:lang w:val="es-ES"/>
        </w:rPr>
        <w:t>decidido. La creación de un servicio público, especializado en las temáticas de vejez y envejecimiento, el Servicio Nacional del Adulto Mayor, SENAMA, a inicios del presente siglo, así como la ratificación de la Convención Interamericana sobre la Protección de los Derechos Humanos de las Personas Mayores</w:t>
      </w:r>
      <w:r w:rsidR="0014681B">
        <w:rPr>
          <w:rStyle w:val="Refdenotaalpie"/>
          <w:lang w:val="es-ES"/>
        </w:rPr>
        <w:footnoteReference w:id="2"/>
      </w:r>
      <w:r w:rsidR="0014681B">
        <w:rPr>
          <w:lang w:val="es-ES"/>
        </w:rPr>
        <w:t>, el año 2017, son pruebas de ello.</w:t>
      </w:r>
    </w:p>
    <w:p w14:paraId="38C2C431" w14:textId="2DCFF724" w:rsidR="0014681B" w:rsidRDefault="0014681B" w:rsidP="00EE6B40">
      <w:pPr>
        <w:jc w:val="both"/>
        <w:rPr>
          <w:rFonts w:ascii="Calibri" w:hAnsi="Calibri"/>
        </w:rPr>
      </w:pPr>
      <w:r>
        <w:rPr>
          <w:rFonts w:ascii="Calibri" w:hAnsi="Calibri"/>
        </w:rPr>
        <w:t>Por su parte, el Pre</w:t>
      </w:r>
      <w:r w:rsidR="00EE6B40" w:rsidRPr="00F8655B">
        <w:rPr>
          <w:rFonts w:ascii="Calibri" w:hAnsi="Calibri"/>
        </w:rPr>
        <w:t xml:space="preserve">sidente </w:t>
      </w:r>
      <w:r>
        <w:rPr>
          <w:rFonts w:ascii="Calibri" w:hAnsi="Calibri"/>
        </w:rPr>
        <w:t xml:space="preserve">Gabriel </w:t>
      </w:r>
      <w:proofErr w:type="spellStart"/>
      <w:r>
        <w:rPr>
          <w:rFonts w:ascii="Calibri" w:hAnsi="Calibri"/>
        </w:rPr>
        <w:t>Boric</w:t>
      </w:r>
      <w:proofErr w:type="spellEnd"/>
      <w:r w:rsidR="00EE6B40" w:rsidRPr="00F8655B">
        <w:rPr>
          <w:rFonts w:ascii="Calibri" w:hAnsi="Calibri"/>
        </w:rPr>
        <w:t xml:space="preserve"> definió </w:t>
      </w:r>
      <w:r w:rsidR="00835342">
        <w:rPr>
          <w:rFonts w:ascii="Calibri" w:hAnsi="Calibri"/>
        </w:rPr>
        <w:t xml:space="preserve">como uno de sus ejes prioritarios de acción, la implementación de un </w:t>
      </w:r>
      <w:r w:rsidR="00835342" w:rsidRPr="00835342">
        <w:rPr>
          <w:rFonts w:ascii="Calibri" w:hAnsi="Calibri"/>
        </w:rPr>
        <w:t xml:space="preserve">Sistema Nacional de Cuidados, para asumir con corresponsabilidad social los cuidados que hoy recaen fundamentalmente sobre las mujeres, bajo los principios de participación, universalidad, pertinencia local y cuidado comunitario. </w:t>
      </w:r>
      <w:r w:rsidR="00835342">
        <w:rPr>
          <w:rFonts w:ascii="Calibri" w:hAnsi="Calibri"/>
        </w:rPr>
        <w:t>Considerando a las</w:t>
      </w:r>
      <w:r w:rsidR="00835342" w:rsidRPr="00835342">
        <w:rPr>
          <w:rFonts w:ascii="Calibri" w:hAnsi="Calibri"/>
        </w:rPr>
        <w:t xml:space="preserve"> personas mayores con y sin dependencia</w:t>
      </w:r>
      <w:r w:rsidR="00835342">
        <w:rPr>
          <w:rFonts w:ascii="Calibri" w:hAnsi="Calibri"/>
        </w:rPr>
        <w:t xml:space="preserve"> como uno de sus focos prioritarios</w:t>
      </w:r>
      <w:r w:rsidR="00835342" w:rsidRPr="00835342">
        <w:rPr>
          <w:rFonts w:ascii="Calibri" w:hAnsi="Calibri"/>
        </w:rPr>
        <w:t>.</w:t>
      </w:r>
      <w:r w:rsidR="002A1638">
        <w:rPr>
          <w:rFonts w:ascii="Calibri" w:hAnsi="Calibri"/>
        </w:rPr>
        <w:t xml:space="preserve"> </w:t>
      </w:r>
      <w:r w:rsidR="002A1638">
        <w:t xml:space="preserve">Se espera que el Estado garantice el derecho a </w:t>
      </w:r>
      <w:r w:rsidR="002A1638">
        <w:lastRenderedPageBreak/>
        <w:t>cuidar y a ser cuidado, bajo un modelo de corresponsabilidad social, donde éste se redistribuya entre el Estado, la comunidad y las familias.</w:t>
      </w:r>
    </w:p>
    <w:p w14:paraId="7699F1F6" w14:textId="7BF1216A" w:rsidR="00924A59" w:rsidRDefault="005F4566" w:rsidP="0048675E">
      <w:pPr>
        <w:jc w:val="both"/>
      </w:pPr>
      <w:r>
        <w:t>A nivel mundial, la</w:t>
      </w:r>
      <w:r w:rsidR="0048675E" w:rsidRPr="0048675E">
        <w:t xml:space="preserve"> </w:t>
      </w:r>
      <w:r>
        <w:t>c</w:t>
      </w:r>
      <w:r w:rsidR="0048675E" w:rsidRPr="0048675E">
        <w:t xml:space="preserve">omunidad </w:t>
      </w:r>
      <w:r>
        <w:t>i</w:t>
      </w:r>
      <w:r w:rsidR="0048675E" w:rsidRPr="0048675E">
        <w:t>nternacional</w:t>
      </w:r>
      <w:r w:rsidR="00083A7D">
        <w:t>, a su vez, también</w:t>
      </w:r>
      <w:r w:rsidR="0048675E" w:rsidRPr="0048675E">
        <w:t xml:space="preserve"> ha reaccionado al fenómeno del envejecimiento a través de dos Asambleas Mundiales, Austria 1982, y Madrid en 2002, </w:t>
      </w:r>
      <w:r w:rsidR="00924A59">
        <w:t>también aprobados por la Asamblea General el año 1991, se encuentran los “Principios de Naciones Unidas para las Personas de Edad”, entre otros</w:t>
      </w:r>
      <w:r w:rsidR="00FA7B1A">
        <w:t xml:space="preserve"> instrumentos declarativos</w:t>
      </w:r>
      <w:r w:rsidR="00924A59">
        <w:t>.</w:t>
      </w:r>
    </w:p>
    <w:p w14:paraId="7680444D" w14:textId="42FE6121" w:rsidR="0048675E" w:rsidRDefault="00924A59" w:rsidP="0048675E">
      <w:pPr>
        <w:jc w:val="both"/>
        <w:rPr>
          <w:lang w:val="es-ES"/>
        </w:rPr>
      </w:pPr>
      <w:r>
        <w:t xml:space="preserve">Por su parte </w:t>
      </w:r>
      <w:r w:rsidR="0048675E" w:rsidRPr="0048675E">
        <w:t xml:space="preserve">América Latina y </w:t>
      </w:r>
      <w:r w:rsidR="004F5246">
        <w:t>e</w:t>
      </w:r>
      <w:r w:rsidR="0048675E" w:rsidRPr="0048675E">
        <w:t xml:space="preserve">l Caribe, </w:t>
      </w:r>
      <w:r>
        <w:t xml:space="preserve">ha tenido una activa participación a partir del Plan de Acción Mundial de Madrid </w:t>
      </w:r>
      <w:r w:rsidR="00083A7D">
        <w:t xml:space="preserve">de </w:t>
      </w:r>
      <w:r>
        <w:t>2002, realizand</w:t>
      </w:r>
      <w:r w:rsidR="0048675E" w:rsidRPr="0048675E">
        <w:t xml:space="preserve">o </w:t>
      </w:r>
      <w:r w:rsidR="00835342">
        <w:t>cuatro</w:t>
      </w:r>
      <w:r w:rsidR="0048675E" w:rsidRPr="0048675E">
        <w:t xml:space="preserve"> reuniones Intergubernamentales de Seguimiento al Plan de Acción</w:t>
      </w:r>
      <w:r w:rsidR="004F5246">
        <w:t>.</w:t>
      </w:r>
      <w:r w:rsidR="005A6E90">
        <w:t xml:space="preserve"> </w:t>
      </w:r>
      <w:r w:rsidR="004F5246">
        <w:t>L</w:t>
      </w:r>
      <w:r w:rsidR="005A6E90">
        <w:t xml:space="preserve">a primera en Santiago de Chile, </w:t>
      </w:r>
      <w:r w:rsidR="004F5246">
        <w:t xml:space="preserve">el año </w:t>
      </w:r>
      <w:r w:rsidR="005A6E90">
        <w:t>2003,</w:t>
      </w:r>
      <w:r w:rsidR="0048675E" w:rsidRPr="0048675E">
        <w:t xml:space="preserve"> con renovado entusiasmo en Brasilia, 2007, Conferencia conocida como la “Declaración de Brasilia”</w:t>
      </w:r>
      <w:r w:rsidR="00821A47">
        <w:t>,</w:t>
      </w:r>
      <w:r w:rsidR="002A6B89">
        <w:t xml:space="preserve"> Costa</w:t>
      </w:r>
      <w:r>
        <w:rPr>
          <w:lang w:val="es-ES"/>
        </w:rPr>
        <w:t xml:space="preserve"> Rica</w:t>
      </w:r>
      <w:r w:rsidR="005A6E90">
        <w:rPr>
          <w:lang w:val="es-ES"/>
        </w:rPr>
        <w:t>, en mayo de 2012.</w:t>
      </w:r>
      <w:r>
        <w:rPr>
          <w:lang w:val="es-ES"/>
        </w:rPr>
        <w:t xml:space="preserve"> </w:t>
      </w:r>
      <w:r w:rsidR="00083A7D">
        <w:rPr>
          <w:lang w:val="es-ES"/>
        </w:rPr>
        <w:t>O</w:t>
      </w:r>
      <w:r>
        <w:rPr>
          <w:lang w:val="es-ES"/>
        </w:rPr>
        <w:t>portunidad</w:t>
      </w:r>
      <w:r w:rsidR="00083A7D">
        <w:rPr>
          <w:lang w:val="es-ES"/>
        </w:rPr>
        <w:t xml:space="preserve"> en que</w:t>
      </w:r>
      <w:r>
        <w:rPr>
          <w:lang w:val="es-ES"/>
        </w:rPr>
        <w:t xml:space="preserve"> los </w:t>
      </w:r>
      <w:r w:rsidR="00FA7B1A">
        <w:rPr>
          <w:lang w:val="es-ES"/>
        </w:rPr>
        <w:t>20</w:t>
      </w:r>
      <w:r>
        <w:rPr>
          <w:lang w:val="es-ES"/>
        </w:rPr>
        <w:t xml:space="preserve"> países concurrentes adoptaron la “Carta de San José de Costa Rica sobre los derechos de las personas mayores de América Latina y el Caribe”, </w:t>
      </w:r>
      <w:r w:rsidR="00821A47">
        <w:rPr>
          <w:lang w:val="es-ES"/>
        </w:rPr>
        <w:t>y el año 2017</w:t>
      </w:r>
      <w:r w:rsidR="00083A7D">
        <w:rPr>
          <w:lang w:val="es-ES"/>
        </w:rPr>
        <w:t xml:space="preserve"> </w:t>
      </w:r>
      <w:r w:rsidR="002A6B89">
        <w:rPr>
          <w:lang w:val="es-ES"/>
        </w:rPr>
        <w:t xml:space="preserve">en </w:t>
      </w:r>
      <w:r w:rsidR="00E94777">
        <w:rPr>
          <w:lang w:val="es-ES"/>
        </w:rPr>
        <w:t>la Cuarta Reunión, realizada en Asunción,</w:t>
      </w:r>
      <w:r w:rsidR="00821A47">
        <w:rPr>
          <w:lang w:val="es-ES"/>
        </w:rPr>
        <w:t xml:space="preserve"> </w:t>
      </w:r>
      <w:r w:rsidR="00E94777">
        <w:rPr>
          <w:lang w:val="es-ES"/>
        </w:rPr>
        <w:t>se suscribió la “Declaración de Asunción”, instando a los países de la región a continuar avanzando por la senda del reconocimiento de los derechos de las personas mayores y la ratificación o adhesión de la Convención Interamericana sobre la Protección de los Derechos Humanos de las Personas Mayores.</w:t>
      </w:r>
    </w:p>
    <w:p w14:paraId="7498F61A" w14:textId="21189D99" w:rsidR="00E94777" w:rsidRPr="00E94777" w:rsidRDefault="00E94777" w:rsidP="0064117D">
      <w:pPr>
        <w:jc w:val="both"/>
      </w:pPr>
      <w:r>
        <w:rPr>
          <w:lang w:val="es-ES"/>
        </w:rPr>
        <w:t>Chile</w:t>
      </w:r>
      <w:r w:rsidR="00821A47">
        <w:rPr>
          <w:lang w:val="es-ES"/>
        </w:rPr>
        <w:t>,</w:t>
      </w:r>
      <w:r w:rsidR="0064117D">
        <w:rPr>
          <w:lang w:val="es-ES"/>
        </w:rPr>
        <w:t xml:space="preserve"> en conjunto con CEPAL,</w:t>
      </w:r>
      <w:r>
        <w:rPr>
          <w:lang w:val="es-ES"/>
        </w:rPr>
        <w:t xml:space="preserve"> </w:t>
      </w:r>
      <w:r w:rsidR="0064117D">
        <w:rPr>
          <w:lang w:val="es-ES"/>
        </w:rPr>
        <w:t xml:space="preserve">se encuentra en preparación de la </w:t>
      </w:r>
      <w:r w:rsidR="005A6EB6">
        <w:rPr>
          <w:lang w:val="es-ES"/>
        </w:rPr>
        <w:t xml:space="preserve">Quinta </w:t>
      </w:r>
      <w:r w:rsidR="0064117D" w:rsidRPr="0064117D">
        <w:t>Conferencia Regional Intergubernamental</w:t>
      </w:r>
      <w:r w:rsidR="0064117D">
        <w:t xml:space="preserve"> </w:t>
      </w:r>
      <w:r w:rsidR="0064117D" w:rsidRPr="0064117D">
        <w:t>sobre Envejecimiento y Derechos de las Personas</w:t>
      </w:r>
      <w:r w:rsidR="0064117D">
        <w:t xml:space="preserve"> </w:t>
      </w:r>
      <w:r w:rsidR="0064117D" w:rsidRPr="0064117D">
        <w:t>Mayores en América Latina y el Caribe</w:t>
      </w:r>
      <w:r w:rsidR="0064117D">
        <w:t>, a realizarse en Santiago, del 13 al 15 de diciembre de 2022,</w:t>
      </w:r>
      <w:r w:rsidR="00A176B1">
        <w:t xml:space="preserve"> </w:t>
      </w:r>
      <w:r w:rsidR="000703E0">
        <w:t>siendo el objetivo de la reunión, la revisión,</w:t>
      </w:r>
      <w:r w:rsidR="000703E0" w:rsidRPr="0064117D">
        <w:t xml:space="preserve"> </w:t>
      </w:r>
      <w:r w:rsidR="000703E0">
        <w:t>de</w:t>
      </w:r>
      <w:r w:rsidR="000703E0" w:rsidRPr="0064117D">
        <w:t xml:space="preserve"> los avances y retos en materia de derechos humanos de las personas mayores.</w:t>
      </w:r>
      <w:r w:rsidR="000703E0">
        <w:t xml:space="preserve"> Nuestro país </w:t>
      </w:r>
      <w:r w:rsidR="00A176B1">
        <w:t>asumi</w:t>
      </w:r>
      <w:r w:rsidR="000703E0">
        <w:t>rá</w:t>
      </w:r>
      <w:r w:rsidR="00A176B1">
        <w:t xml:space="preserve"> la </w:t>
      </w:r>
      <w:r w:rsidR="000703E0">
        <w:t>P</w:t>
      </w:r>
      <w:r w:rsidR="00A176B1">
        <w:t xml:space="preserve">residencia de dicha </w:t>
      </w:r>
      <w:r w:rsidR="000703E0">
        <w:t>C</w:t>
      </w:r>
      <w:r w:rsidR="00A176B1">
        <w:t>onferencia por los próximos 5 años</w:t>
      </w:r>
      <w:r w:rsidR="000703E0">
        <w:t xml:space="preserve">, </w:t>
      </w:r>
      <w:r w:rsidR="005561C3">
        <w:t>para liderar las acciones necesarias que permitan abordar los desafíos del envejecimiento demográfico de nuestra Región de América Latina y el Caribe</w:t>
      </w:r>
      <w:r w:rsidR="00A176B1">
        <w:t xml:space="preserve">. </w:t>
      </w:r>
    </w:p>
    <w:p w14:paraId="1D464872" w14:textId="3066AB93" w:rsidR="005A6EB6" w:rsidRDefault="00AE3174" w:rsidP="00AE3174">
      <w:pPr>
        <w:jc w:val="both"/>
        <w:rPr>
          <w:rFonts w:ascii="Calibri" w:hAnsi="Calibri"/>
        </w:rPr>
      </w:pPr>
      <w:r>
        <w:rPr>
          <w:rFonts w:ascii="Calibri" w:hAnsi="Calibri"/>
        </w:rPr>
        <w:t>El Gobierno de Chile,</w:t>
      </w:r>
      <w:r w:rsidR="005A6EB6">
        <w:rPr>
          <w:rFonts w:ascii="Calibri" w:hAnsi="Calibri"/>
        </w:rPr>
        <w:t xml:space="preserve"> ha sido un actor relevante en el concierto americano, </w:t>
      </w:r>
      <w:r w:rsidR="006B3FFA">
        <w:rPr>
          <w:rFonts w:ascii="Calibri" w:hAnsi="Calibri"/>
        </w:rPr>
        <w:t xml:space="preserve">para el reconocimiento de los derechos humanos de las personas mayores, tanto en las negociaciones que dieron origen a la Convención Interamericana sobre la Protección de los Derechos Humanos de las Personas Mayores, </w:t>
      </w:r>
      <w:r w:rsidR="002A6B89">
        <w:rPr>
          <w:rFonts w:ascii="Calibri" w:hAnsi="Calibri"/>
        </w:rPr>
        <w:t>en</w:t>
      </w:r>
      <w:r w:rsidR="006B3FFA">
        <w:rPr>
          <w:rFonts w:ascii="Calibri" w:hAnsi="Calibri"/>
        </w:rPr>
        <w:t xml:space="preserve"> su implementación en el país.</w:t>
      </w:r>
    </w:p>
    <w:p w14:paraId="2C3B3E66" w14:textId="76F6A2BD" w:rsidR="006B3FFA" w:rsidRDefault="006B3FFA" w:rsidP="00AE317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En la actualidad se está tramitando en el Congreso Nacional, un proyecto de ley integral de envejecimiento </w:t>
      </w:r>
      <w:r w:rsidR="00580479">
        <w:rPr>
          <w:rFonts w:ascii="Calibri" w:hAnsi="Calibri"/>
        </w:rPr>
        <w:t>digno, activo y saludable, que implementa la Convención Interamericana, reconociendo derechos específicos de las personas mayores, fortalec</w:t>
      </w:r>
      <w:r w:rsidR="00A176B1">
        <w:rPr>
          <w:rFonts w:ascii="Calibri" w:hAnsi="Calibri"/>
        </w:rPr>
        <w:t>iendo</w:t>
      </w:r>
      <w:r w:rsidR="00580479">
        <w:rPr>
          <w:rFonts w:ascii="Calibri" w:hAnsi="Calibri"/>
        </w:rPr>
        <w:t xml:space="preserve"> </w:t>
      </w:r>
      <w:r w:rsidR="005249D0">
        <w:rPr>
          <w:rFonts w:ascii="Calibri" w:hAnsi="Calibri"/>
        </w:rPr>
        <w:t>la</w:t>
      </w:r>
      <w:r w:rsidR="00580479">
        <w:rPr>
          <w:rFonts w:ascii="Calibri" w:hAnsi="Calibri"/>
        </w:rPr>
        <w:t xml:space="preserve"> institucionalidad </w:t>
      </w:r>
      <w:r w:rsidR="005249D0">
        <w:rPr>
          <w:rFonts w:ascii="Calibri" w:hAnsi="Calibri"/>
        </w:rPr>
        <w:t xml:space="preserve">del Servicio Nacional del Adulto Mayor, </w:t>
      </w:r>
      <w:r w:rsidR="00580479">
        <w:rPr>
          <w:rFonts w:ascii="Calibri" w:hAnsi="Calibri"/>
        </w:rPr>
        <w:t>e implementa</w:t>
      </w:r>
      <w:r w:rsidR="00A176B1">
        <w:rPr>
          <w:rFonts w:ascii="Calibri" w:hAnsi="Calibri"/>
        </w:rPr>
        <w:t>ndo</w:t>
      </w:r>
      <w:r w:rsidR="00580479">
        <w:rPr>
          <w:rFonts w:ascii="Calibri" w:hAnsi="Calibri"/>
        </w:rPr>
        <w:t xml:space="preserve"> una Política Nacional de Envejecimiento, con participación en su elaboración de diversos Organismos del Estado y de la sociedad civil. </w:t>
      </w:r>
    </w:p>
    <w:p w14:paraId="5DD511AC" w14:textId="68A3F112" w:rsidR="00F474FE" w:rsidRDefault="00F474FE" w:rsidP="00AE317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Sabemos que hemos avanzado, contamos con un instrumento regional de derechos humanos de personas mayores, </w:t>
      </w:r>
      <w:r w:rsidR="00083A7D">
        <w:rPr>
          <w:rFonts w:ascii="Calibri" w:hAnsi="Calibri"/>
        </w:rPr>
        <w:t>asimismo, en muchos países de la región existen, al interior del Estado, organismos que se dedican a envejecimiento y personas mayores. S</w:t>
      </w:r>
      <w:r w:rsidR="00456135">
        <w:rPr>
          <w:rFonts w:ascii="Calibri" w:hAnsi="Calibri"/>
        </w:rPr>
        <w:t>in embargo,</w:t>
      </w:r>
      <w:r>
        <w:rPr>
          <w:rFonts w:ascii="Calibri" w:hAnsi="Calibri"/>
        </w:rPr>
        <w:t xml:space="preserve"> </w:t>
      </w:r>
      <w:r w:rsidR="00083A7D">
        <w:rPr>
          <w:rFonts w:ascii="Calibri" w:hAnsi="Calibri"/>
        </w:rPr>
        <w:t>la tarea de</w:t>
      </w:r>
      <w:r w:rsidR="00551CDE">
        <w:rPr>
          <w:rFonts w:ascii="Calibri" w:hAnsi="Calibri"/>
        </w:rPr>
        <w:t xml:space="preserve"> </w:t>
      </w:r>
      <w:r w:rsidR="00083A7D">
        <w:rPr>
          <w:rFonts w:ascii="Calibri" w:hAnsi="Calibri"/>
        </w:rPr>
        <w:t>continuar con mayor ahínco</w:t>
      </w:r>
      <w:r w:rsidR="00551CDE">
        <w:rPr>
          <w:rFonts w:ascii="Calibri" w:hAnsi="Calibri"/>
        </w:rPr>
        <w:t xml:space="preserve"> en necesario</w:t>
      </w:r>
      <w:r w:rsidR="00083A7D">
        <w:rPr>
          <w:rFonts w:ascii="Calibri" w:hAnsi="Calibri"/>
        </w:rPr>
        <w:t xml:space="preserve">, </w:t>
      </w:r>
      <w:r w:rsidR="005249D0">
        <w:rPr>
          <w:rFonts w:ascii="Calibri" w:hAnsi="Calibri"/>
        </w:rPr>
        <w:t>faltando 2 de los 10 países que se requiere que ratifiquen o se adhieran</w:t>
      </w:r>
      <w:r w:rsidR="00551CDE">
        <w:rPr>
          <w:rFonts w:ascii="Calibri" w:hAnsi="Calibri"/>
        </w:rPr>
        <w:t xml:space="preserve"> al instrumento,</w:t>
      </w:r>
      <w:r w:rsidR="005249D0">
        <w:rPr>
          <w:rFonts w:ascii="Calibri" w:hAnsi="Calibri"/>
        </w:rPr>
        <w:t xml:space="preserve"> </w:t>
      </w:r>
      <w:r w:rsidR="00083A7D">
        <w:rPr>
          <w:rFonts w:ascii="Calibri" w:hAnsi="Calibri"/>
        </w:rPr>
        <w:t xml:space="preserve">para </w:t>
      </w:r>
      <w:r>
        <w:rPr>
          <w:rFonts w:ascii="Calibri" w:hAnsi="Calibri"/>
        </w:rPr>
        <w:t xml:space="preserve">echar a andar </w:t>
      </w:r>
      <w:r w:rsidR="00083A7D">
        <w:rPr>
          <w:rFonts w:ascii="Calibri" w:hAnsi="Calibri"/>
        </w:rPr>
        <w:t>los</w:t>
      </w:r>
      <w:r>
        <w:rPr>
          <w:rFonts w:ascii="Calibri" w:hAnsi="Calibri"/>
        </w:rPr>
        <w:t xml:space="preserve"> </w:t>
      </w:r>
      <w:r w:rsidR="005249D0">
        <w:rPr>
          <w:rFonts w:ascii="Calibri" w:hAnsi="Calibri"/>
        </w:rPr>
        <w:t>mecanismos</w:t>
      </w:r>
      <w:r>
        <w:rPr>
          <w:rFonts w:ascii="Calibri" w:hAnsi="Calibri"/>
        </w:rPr>
        <w:t xml:space="preserve"> de seguimiento de </w:t>
      </w:r>
      <w:r w:rsidR="00083A7D">
        <w:rPr>
          <w:rFonts w:ascii="Calibri" w:hAnsi="Calibri"/>
        </w:rPr>
        <w:t>la Convención</w:t>
      </w:r>
      <w:r w:rsidR="00A176B1">
        <w:rPr>
          <w:rFonts w:ascii="Calibri" w:hAnsi="Calibri"/>
        </w:rPr>
        <w:t xml:space="preserve"> </w:t>
      </w:r>
      <w:r w:rsidR="00A176B1">
        <w:rPr>
          <w:rFonts w:ascii="Calibri" w:hAnsi="Calibri"/>
        </w:rPr>
        <w:lastRenderedPageBreak/>
        <w:t>Interamericana</w:t>
      </w:r>
      <w:r>
        <w:rPr>
          <w:rFonts w:ascii="Calibri" w:hAnsi="Calibri"/>
        </w:rPr>
        <w:t xml:space="preserve">, </w:t>
      </w:r>
      <w:proofErr w:type="gramStart"/>
      <w:r w:rsidR="00551CDE">
        <w:rPr>
          <w:rFonts w:ascii="Calibri" w:hAnsi="Calibri"/>
        </w:rPr>
        <w:t>c</w:t>
      </w:r>
      <w:r w:rsidR="00583A3D">
        <w:rPr>
          <w:rFonts w:ascii="Calibri" w:hAnsi="Calibri"/>
        </w:rPr>
        <w:t>omo</w:t>
      </w:r>
      <w:proofErr w:type="gramEnd"/>
      <w:r w:rsidR="00583A3D">
        <w:rPr>
          <w:rFonts w:ascii="Calibri" w:hAnsi="Calibri"/>
        </w:rPr>
        <w:t xml:space="preserve"> </w:t>
      </w:r>
      <w:r w:rsidR="00551CDE">
        <w:rPr>
          <w:rFonts w:ascii="Calibri" w:hAnsi="Calibri"/>
        </w:rPr>
        <w:t xml:space="preserve">asimismo, </w:t>
      </w:r>
      <w:r w:rsidR="00583A3D">
        <w:rPr>
          <w:rFonts w:ascii="Calibri" w:hAnsi="Calibri"/>
        </w:rPr>
        <w:t>avanza</w:t>
      </w:r>
      <w:r w:rsidR="00551CDE">
        <w:rPr>
          <w:rFonts w:ascii="Calibri" w:hAnsi="Calibri"/>
        </w:rPr>
        <w:t>r</w:t>
      </w:r>
      <w:r w:rsidR="00583A3D">
        <w:rPr>
          <w:rFonts w:ascii="Calibri" w:hAnsi="Calibri"/>
        </w:rPr>
        <w:t xml:space="preserve"> en legislaciones, políticas públicas, planes y programas para personas de edad.</w:t>
      </w:r>
    </w:p>
    <w:p w14:paraId="447B2F6E" w14:textId="3F8A6BC6" w:rsidR="00C7319A" w:rsidRDefault="00C7319A" w:rsidP="00AE317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Sin perjuicio de lo desarrollado, ha sido posible, en estos últimos años, constatar la discriminación, el abuso y el maltrato en contra de las personas mayores, alrededor del mundo, a través del manejo del contagio de los casos COVID en las personas mayores, sobre todo en residencias, las que, no fueron derivadas a centros hospitalarios, ni contaron con una atención de salud acorde a </w:t>
      </w:r>
      <w:r w:rsidR="00056781">
        <w:rPr>
          <w:rFonts w:ascii="Calibri" w:hAnsi="Calibri"/>
        </w:rPr>
        <w:t xml:space="preserve">sus necesidades. </w:t>
      </w:r>
      <w:r w:rsidR="00056781" w:rsidRPr="00AF0975">
        <w:rPr>
          <w:rFonts w:ascii="Calibri" w:hAnsi="Calibri"/>
          <w:lang w:val="es-ES_tradnl"/>
        </w:rPr>
        <w:t xml:space="preserve">En palabras del Secretario General de Naciones Unidas, Antonio Guterres: </w:t>
      </w:r>
      <w:r w:rsidR="00056781" w:rsidRPr="00AF0975">
        <w:rPr>
          <w:rFonts w:ascii="Calibri" w:hAnsi="Calibri"/>
        </w:rPr>
        <w:t>“La pandemia del COVID-19 está causando temor y sufrimiento indescriptibles a las personas de edad en todo el mundo</w:t>
      </w:r>
      <w:r w:rsidR="00056781">
        <w:rPr>
          <w:rFonts w:ascii="Calibri" w:hAnsi="Calibri"/>
        </w:rPr>
        <w:t xml:space="preserve">”. Siendo hasta la fecha el grupo </w:t>
      </w:r>
      <w:proofErr w:type="spellStart"/>
      <w:r w:rsidR="00551CDE">
        <w:rPr>
          <w:rFonts w:ascii="Calibri" w:hAnsi="Calibri"/>
        </w:rPr>
        <w:t>e</w:t>
      </w:r>
      <w:r w:rsidR="00056781">
        <w:rPr>
          <w:rFonts w:ascii="Calibri" w:hAnsi="Calibri"/>
        </w:rPr>
        <w:t>tareo</w:t>
      </w:r>
      <w:proofErr w:type="spellEnd"/>
      <w:r w:rsidR="00056781">
        <w:rPr>
          <w:rFonts w:ascii="Calibri" w:hAnsi="Calibri"/>
        </w:rPr>
        <w:t xml:space="preserve"> con más mortalidad producto de la pandemia.</w:t>
      </w:r>
    </w:p>
    <w:p w14:paraId="35855322" w14:textId="14F9AD38" w:rsidR="00B92979" w:rsidRPr="00B92979" w:rsidRDefault="00B92979" w:rsidP="00B92979">
      <w:pPr>
        <w:jc w:val="both"/>
        <w:rPr>
          <w:rFonts w:ascii="Calibri" w:hAnsi="Calibri"/>
          <w:lang w:val="es-ES"/>
        </w:rPr>
      </w:pPr>
      <w:r>
        <w:rPr>
          <w:rFonts w:ascii="Calibri" w:hAnsi="Calibri"/>
          <w:lang w:val="es-ES_tradnl"/>
        </w:rPr>
        <w:t>Estamos presenciando un</w:t>
      </w:r>
      <w:r w:rsidRPr="00B92979">
        <w:rPr>
          <w:rFonts w:ascii="Calibri" w:hAnsi="Calibri"/>
          <w:lang w:val="es-ES_tradnl"/>
        </w:rPr>
        <w:t xml:space="preserve"> cambio de paradigma respecto a los derechos de las personas mayores, </w:t>
      </w:r>
      <w:r>
        <w:rPr>
          <w:rFonts w:ascii="Calibri" w:hAnsi="Calibri"/>
          <w:lang w:val="es-ES_tradnl"/>
        </w:rPr>
        <w:t xml:space="preserve">sin embargo, para avanzar con mayor agilidad, se </w:t>
      </w:r>
      <w:r w:rsidRPr="00B92979">
        <w:rPr>
          <w:rFonts w:ascii="Calibri" w:hAnsi="Calibri"/>
          <w:lang w:val="es-ES_tradnl"/>
        </w:rPr>
        <w:t xml:space="preserve">requiere una efectiva transformación, desde la mirada </w:t>
      </w:r>
      <w:proofErr w:type="spellStart"/>
      <w:r w:rsidR="005249D0">
        <w:rPr>
          <w:rFonts w:ascii="Calibri" w:hAnsi="Calibri"/>
        </w:rPr>
        <w:t>edadista</w:t>
      </w:r>
      <w:proofErr w:type="spellEnd"/>
      <w:r w:rsidR="005249D0">
        <w:rPr>
          <w:rFonts w:ascii="Calibri" w:hAnsi="Calibri"/>
        </w:rPr>
        <w:t xml:space="preserve"> </w:t>
      </w:r>
      <w:r w:rsidRPr="00B92979">
        <w:rPr>
          <w:rFonts w:ascii="Calibri" w:hAnsi="Calibri"/>
        </w:rPr>
        <w:t xml:space="preserve">y asistencialista que aún persiste en </w:t>
      </w:r>
      <w:r>
        <w:rPr>
          <w:rFonts w:ascii="Calibri" w:hAnsi="Calibri"/>
          <w:lang w:val="es-ES"/>
        </w:rPr>
        <w:t>las comunidades,</w:t>
      </w:r>
      <w:r w:rsidR="005249D0">
        <w:rPr>
          <w:rFonts w:ascii="Calibri" w:hAnsi="Calibri"/>
          <w:lang w:val="es-ES"/>
        </w:rPr>
        <w:t xml:space="preserve"> en los</w:t>
      </w:r>
      <w:r w:rsidRPr="00B92979">
        <w:rPr>
          <w:rFonts w:ascii="Calibri" w:hAnsi="Calibri"/>
          <w:lang w:val="es-ES"/>
        </w:rPr>
        <w:t xml:space="preserve"> profesionales </w:t>
      </w:r>
      <w:r w:rsidR="00551CDE">
        <w:rPr>
          <w:rFonts w:ascii="Calibri" w:hAnsi="Calibri"/>
          <w:lang w:val="es-ES"/>
        </w:rPr>
        <w:t xml:space="preserve">que </w:t>
      </w:r>
      <w:r>
        <w:rPr>
          <w:rFonts w:ascii="Calibri" w:hAnsi="Calibri"/>
          <w:lang w:val="es-ES"/>
        </w:rPr>
        <w:t xml:space="preserve">les prestan servicios, sea de salud u otras prestaciones y también </w:t>
      </w:r>
      <w:r w:rsidRPr="00B92979">
        <w:rPr>
          <w:rFonts w:ascii="Calibri" w:hAnsi="Calibri"/>
          <w:lang w:val="es-ES"/>
        </w:rPr>
        <w:t xml:space="preserve">desde las estructuras del </w:t>
      </w:r>
      <w:r>
        <w:rPr>
          <w:rFonts w:ascii="Calibri" w:hAnsi="Calibri"/>
          <w:lang w:val="es-ES"/>
        </w:rPr>
        <w:t>E</w:t>
      </w:r>
      <w:r w:rsidRPr="00B92979">
        <w:rPr>
          <w:rFonts w:ascii="Calibri" w:hAnsi="Calibri"/>
          <w:lang w:val="es-ES"/>
        </w:rPr>
        <w:t>stado, inc</w:t>
      </w:r>
      <w:r>
        <w:rPr>
          <w:rFonts w:ascii="Calibri" w:hAnsi="Calibri"/>
          <w:lang w:val="es-ES"/>
        </w:rPr>
        <w:t>l</w:t>
      </w:r>
      <w:r w:rsidRPr="00B92979">
        <w:rPr>
          <w:rFonts w:ascii="Calibri" w:hAnsi="Calibri"/>
          <w:lang w:val="es-ES"/>
        </w:rPr>
        <w:t>uidos los  operadores de justicia, lo que redunda en una especial desprotección a la hora de reclamar los derechos que les corresponden como toda persona humana.</w:t>
      </w:r>
    </w:p>
    <w:p w14:paraId="1574FA42" w14:textId="12D4F87B" w:rsidR="00B92979" w:rsidRDefault="00B92979" w:rsidP="00B92979">
      <w:pPr>
        <w:jc w:val="both"/>
      </w:pPr>
      <w:r>
        <w:rPr>
          <w:rFonts w:ascii="Calibri" w:hAnsi="Calibri"/>
        </w:rPr>
        <w:t>A</w:t>
      </w:r>
      <w:r w:rsidRPr="0065360B">
        <w:t>ctualmente no existe un instrumento</w:t>
      </w:r>
      <w:r>
        <w:t xml:space="preserve"> internacional vinculante para los Estados, </w:t>
      </w:r>
      <w:r w:rsidRPr="0065360B">
        <w:t xml:space="preserve">que estandarice y proteja los derechos de las personas </w:t>
      </w:r>
      <w:r>
        <w:t>mayores</w:t>
      </w:r>
      <w:r w:rsidRPr="0065360B">
        <w:t xml:space="preserve">. </w:t>
      </w:r>
      <w:r>
        <w:t>Las</w:t>
      </w:r>
      <w:r w:rsidRPr="0065360B">
        <w:t xml:space="preserve"> especificidades y requerimientos </w:t>
      </w:r>
      <w:r>
        <w:t xml:space="preserve">de las personas de edad, </w:t>
      </w:r>
      <w:r w:rsidRPr="0065360B">
        <w:t>se pierden en la unive</w:t>
      </w:r>
      <w:r>
        <w:t>rsalidad con las que son tratado</w:t>
      </w:r>
      <w:r w:rsidRPr="0065360B">
        <w:t xml:space="preserve">s. </w:t>
      </w:r>
      <w:r>
        <w:t xml:space="preserve">Lo que contribuye a perpetuar la invisibilidad en la que se encuentran. </w:t>
      </w:r>
      <w:r w:rsidRPr="00F40DB8">
        <w:t>Una convención internacional de derechos, no sólo contempla</w:t>
      </w:r>
      <w:r>
        <w:t>ría</w:t>
      </w:r>
      <w:r w:rsidRPr="00F40DB8">
        <w:t xml:space="preserve"> un ámbito normativo obligatorio para los países que lo suscriben, sino también es una efectiva </w:t>
      </w:r>
      <w:r w:rsidR="001E098A">
        <w:t>herramienta para</w:t>
      </w:r>
      <w:r w:rsidRPr="00F40DB8">
        <w:t xml:space="preserve"> sensibilizar y visibilizar </w:t>
      </w:r>
      <w:r>
        <w:t xml:space="preserve">a la sociedad en su conjunto, acerca del </w:t>
      </w:r>
      <w:r w:rsidRPr="00F40DB8">
        <w:t>respeto</w:t>
      </w:r>
      <w:r>
        <w:t xml:space="preserve"> </w:t>
      </w:r>
      <w:r w:rsidR="005561C3">
        <w:t xml:space="preserve">y la solidaridad </w:t>
      </w:r>
      <w:r>
        <w:t>que se deben entre sí las distintas generaciones, así como un catálogo de derechos específicos</w:t>
      </w:r>
      <w:r w:rsidRPr="00F40DB8">
        <w:t xml:space="preserve"> </w:t>
      </w:r>
      <w:r w:rsidR="001E098A">
        <w:t>para las personas mayores</w:t>
      </w:r>
      <w:r w:rsidR="00EA0AF5">
        <w:t xml:space="preserve"> autónoma.</w:t>
      </w:r>
    </w:p>
    <w:p w14:paraId="0E9B36AC" w14:textId="6E116B16" w:rsidR="005561C3" w:rsidRDefault="005561C3" w:rsidP="00B92979">
      <w:pPr>
        <w:jc w:val="both"/>
      </w:pPr>
      <w:r>
        <w:t>Se hace necesario elevar los estándares y obligaciones de los Estados respeto a su población mayor, de manera que puedan ejercer sus derechos y libertades fundamentales, en igualdad de condiciones con las demás.</w:t>
      </w:r>
    </w:p>
    <w:p w14:paraId="61FB6042" w14:textId="2AA082D8" w:rsidR="00B92979" w:rsidRDefault="00B92979" w:rsidP="00B92979">
      <w:pPr>
        <w:jc w:val="both"/>
      </w:pPr>
      <w:r w:rsidRPr="0065360B">
        <w:t xml:space="preserve"> </w:t>
      </w:r>
      <w:r>
        <w:t xml:space="preserve">Hacemos un llamado a continuar sentando las bases, a través de un trabajo mancomunado, en pos de la consecución de una Convención Internacional de derechos de las personas mayores, </w:t>
      </w:r>
      <w:r w:rsidRPr="0065360B">
        <w:t xml:space="preserve">para </w:t>
      </w:r>
      <w:r>
        <w:t>contribuir a la</w:t>
      </w:r>
      <w:r w:rsidRPr="0065360B">
        <w:t xml:space="preserve"> realización de </w:t>
      </w:r>
      <w:r w:rsidR="001E098A">
        <w:t>todos</w:t>
      </w:r>
      <w:r w:rsidR="001E098A" w:rsidRPr="0065360B">
        <w:t xml:space="preserve"> </w:t>
      </w:r>
      <w:r w:rsidRPr="0065360B">
        <w:t>los</w:t>
      </w:r>
      <w:r w:rsidR="001E098A">
        <w:t xml:space="preserve"> </w:t>
      </w:r>
      <w:r w:rsidRPr="0065360B">
        <w:t>derechos civiles, políticos, económicos, sociales y culturales de</w:t>
      </w:r>
      <w:r>
        <w:t xml:space="preserve"> </w:t>
      </w:r>
      <w:r w:rsidRPr="0065360B">
        <w:t>las personas mayores.</w:t>
      </w:r>
    </w:p>
    <w:p w14:paraId="2418B1EE" w14:textId="327C88D4" w:rsidR="00F0370D" w:rsidRPr="00551CDE" w:rsidRDefault="00F0370D" w:rsidP="003C5832">
      <w:pPr>
        <w:jc w:val="both"/>
        <w:rPr>
          <w:lang w:val="es-ES"/>
        </w:rPr>
      </w:pPr>
      <w:r w:rsidRPr="00551CDE">
        <w:rPr>
          <w:lang w:val="es-ES"/>
        </w:rPr>
        <w:t xml:space="preserve">Tarea titánica, </w:t>
      </w:r>
      <w:r w:rsidR="00551CDE">
        <w:rPr>
          <w:lang w:val="es-ES"/>
        </w:rPr>
        <w:t>que nos impulsa</w:t>
      </w:r>
      <w:r w:rsidR="003C5832">
        <w:rPr>
          <w:lang w:val="es-ES"/>
        </w:rPr>
        <w:t xml:space="preserve">, </w:t>
      </w:r>
      <w:r w:rsidR="00551CDE">
        <w:rPr>
          <w:lang w:val="es-ES"/>
        </w:rPr>
        <w:t xml:space="preserve">siguiendo a los compromisos de los Objetivos de Desarrollo </w:t>
      </w:r>
      <w:r w:rsidR="003C5832">
        <w:rPr>
          <w:lang w:val="es-ES"/>
        </w:rPr>
        <w:t>Sostenible</w:t>
      </w:r>
      <w:r w:rsidR="00551CDE">
        <w:rPr>
          <w:lang w:val="es-ES"/>
        </w:rPr>
        <w:t xml:space="preserve">, </w:t>
      </w:r>
      <w:r w:rsidR="003C5832">
        <w:rPr>
          <w:lang w:val="es-ES"/>
        </w:rPr>
        <w:t>“</w:t>
      </w:r>
      <w:r w:rsidR="00A85D62">
        <w:rPr>
          <w:lang w:val="es-ES"/>
        </w:rPr>
        <w:t xml:space="preserve">a </w:t>
      </w:r>
      <w:r w:rsidR="00551CDE">
        <w:rPr>
          <w:lang w:val="es-ES"/>
        </w:rPr>
        <w:t>no dejar a nadie atrás</w:t>
      </w:r>
      <w:r w:rsidR="003C5832">
        <w:rPr>
          <w:lang w:val="es-ES"/>
        </w:rPr>
        <w:t>”</w:t>
      </w:r>
      <w:r w:rsidRPr="00551CDE">
        <w:rPr>
          <w:lang w:val="es-ES"/>
        </w:rPr>
        <w:t>.</w:t>
      </w:r>
    </w:p>
    <w:p w14:paraId="6AC86006" w14:textId="77777777" w:rsidR="00F0370D" w:rsidRPr="00583A3D" w:rsidRDefault="00F0370D" w:rsidP="00B92979">
      <w:pPr>
        <w:jc w:val="both"/>
        <w:rPr>
          <w:rFonts w:ascii="Calibri" w:hAnsi="Calibri"/>
        </w:rPr>
      </w:pPr>
    </w:p>
    <w:sectPr w:rsidR="00F0370D" w:rsidRPr="00583A3D" w:rsidSect="00F873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72E2B" w14:textId="77777777" w:rsidR="004D368F" w:rsidRDefault="004D368F" w:rsidP="00773C04">
      <w:pPr>
        <w:spacing w:after="0" w:line="240" w:lineRule="auto"/>
      </w:pPr>
      <w:r>
        <w:separator/>
      </w:r>
    </w:p>
  </w:endnote>
  <w:endnote w:type="continuationSeparator" w:id="0">
    <w:p w14:paraId="013E5BFE" w14:textId="77777777" w:rsidR="004D368F" w:rsidRDefault="004D368F" w:rsidP="00773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D030C" w14:textId="77777777" w:rsidR="004D368F" w:rsidRDefault="004D368F" w:rsidP="00773C04">
      <w:pPr>
        <w:spacing w:after="0" w:line="240" w:lineRule="auto"/>
      </w:pPr>
      <w:r>
        <w:separator/>
      </w:r>
    </w:p>
  </w:footnote>
  <w:footnote w:type="continuationSeparator" w:id="0">
    <w:p w14:paraId="180B1B1F" w14:textId="77777777" w:rsidR="004D368F" w:rsidRDefault="004D368F" w:rsidP="00773C04">
      <w:pPr>
        <w:spacing w:after="0" w:line="240" w:lineRule="auto"/>
      </w:pPr>
      <w:r>
        <w:continuationSeparator/>
      </w:r>
    </w:p>
  </w:footnote>
  <w:footnote w:id="1">
    <w:p w14:paraId="50BF52D0" w14:textId="17CAE4B4" w:rsidR="00773C04" w:rsidRPr="00773C04" w:rsidRDefault="00773C04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CELADE, 2019.</w:t>
      </w:r>
    </w:p>
  </w:footnote>
  <w:footnote w:id="2">
    <w:p w14:paraId="7B8D3B53" w14:textId="51E820EA" w:rsidR="0014681B" w:rsidRPr="0014681B" w:rsidRDefault="0014681B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OEA, 2015.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F19C6"/>
    <w:multiLevelType w:val="hybridMultilevel"/>
    <w:tmpl w:val="D28E3E64"/>
    <w:lvl w:ilvl="0" w:tplc="F438C4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7A2E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629E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5A85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382B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F477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6A35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9617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C040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531AA"/>
    <w:multiLevelType w:val="hybridMultilevel"/>
    <w:tmpl w:val="7FF683BA"/>
    <w:lvl w:ilvl="0" w:tplc="A118B560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5E"/>
    <w:rsid w:val="00056781"/>
    <w:rsid w:val="00064D52"/>
    <w:rsid w:val="000703E0"/>
    <w:rsid w:val="00080A88"/>
    <w:rsid w:val="00083A7D"/>
    <w:rsid w:val="00115F77"/>
    <w:rsid w:val="0014681B"/>
    <w:rsid w:val="001E098A"/>
    <w:rsid w:val="002A1638"/>
    <w:rsid w:val="002A6B89"/>
    <w:rsid w:val="002C43AA"/>
    <w:rsid w:val="002D2132"/>
    <w:rsid w:val="003C5832"/>
    <w:rsid w:val="00455EFB"/>
    <w:rsid w:val="00456135"/>
    <w:rsid w:val="0048675E"/>
    <w:rsid w:val="004D368F"/>
    <w:rsid w:val="004F5246"/>
    <w:rsid w:val="005249D0"/>
    <w:rsid w:val="00551CDE"/>
    <w:rsid w:val="005561C3"/>
    <w:rsid w:val="00580479"/>
    <w:rsid w:val="00583A3D"/>
    <w:rsid w:val="005A6E90"/>
    <w:rsid w:val="005A6EB6"/>
    <w:rsid w:val="005C2593"/>
    <w:rsid w:val="005F4566"/>
    <w:rsid w:val="00612D54"/>
    <w:rsid w:val="00627500"/>
    <w:rsid w:val="0064117D"/>
    <w:rsid w:val="0069254E"/>
    <w:rsid w:val="006B3FFA"/>
    <w:rsid w:val="00773C04"/>
    <w:rsid w:val="0078223A"/>
    <w:rsid w:val="0081295A"/>
    <w:rsid w:val="00821A47"/>
    <w:rsid w:val="00835342"/>
    <w:rsid w:val="008C0932"/>
    <w:rsid w:val="00924A59"/>
    <w:rsid w:val="009E7214"/>
    <w:rsid w:val="00A176B1"/>
    <w:rsid w:val="00A85D62"/>
    <w:rsid w:val="00AE3174"/>
    <w:rsid w:val="00AF0975"/>
    <w:rsid w:val="00B92979"/>
    <w:rsid w:val="00BB6F05"/>
    <w:rsid w:val="00C15864"/>
    <w:rsid w:val="00C7319A"/>
    <w:rsid w:val="00CC702F"/>
    <w:rsid w:val="00E94777"/>
    <w:rsid w:val="00EA0AF5"/>
    <w:rsid w:val="00EE6B40"/>
    <w:rsid w:val="00F019F3"/>
    <w:rsid w:val="00F0370D"/>
    <w:rsid w:val="00F34B74"/>
    <w:rsid w:val="00F40DB8"/>
    <w:rsid w:val="00F474FE"/>
    <w:rsid w:val="00F873DB"/>
    <w:rsid w:val="00FA7B1A"/>
    <w:rsid w:val="00FC7DB0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E148"/>
  <w15:docId w15:val="{F93AA1E4-16DD-420E-8CA7-616337C5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7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773C0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3C0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73C04"/>
    <w:rPr>
      <w:vertAlign w:val="superscript"/>
    </w:rPr>
  </w:style>
  <w:style w:type="paragraph" w:styleId="Prrafodelista">
    <w:name w:val="List Paragraph"/>
    <w:basedOn w:val="Normal"/>
    <w:uiPriority w:val="34"/>
    <w:qFormat/>
    <w:rsid w:val="00F0370D"/>
    <w:pPr>
      <w:spacing w:after="160" w:line="259" w:lineRule="auto"/>
      <w:ind w:left="720"/>
      <w:contextualSpacing/>
    </w:pPr>
  </w:style>
  <w:style w:type="character" w:customStyle="1" w:styleId="eop">
    <w:name w:val="eop"/>
    <w:basedOn w:val="Fuentedeprrafopredeter"/>
    <w:uiPriority w:val="1"/>
    <w:rsid w:val="00115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9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8009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C7883-51A5-43D7-B252-6ECC5583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1324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Maximiliano Valdes</cp:lastModifiedBy>
  <cp:revision>3</cp:revision>
  <cp:lastPrinted>2022-09-05T17:19:00Z</cp:lastPrinted>
  <dcterms:created xsi:type="dcterms:W3CDTF">2022-09-05T23:53:00Z</dcterms:created>
  <dcterms:modified xsi:type="dcterms:W3CDTF">2022-09-07T15:07:00Z</dcterms:modified>
</cp:coreProperties>
</file>