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E92B7" w14:textId="6142A7CC" w:rsidR="00CA7963" w:rsidRPr="00574A31" w:rsidRDefault="00CA7963" w:rsidP="00EC191D">
      <w:pPr>
        <w:spacing w:after="0" w:line="240" w:lineRule="auto"/>
        <w:jc w:val="center"/>
        <w:rPr>
          <w:rFonts w:ascii="Segoe UI" w:hAnsi="Segoe UI" w:cs="Segoe UI"/>
          <w:sz w:val="24"/>
          <w:szCs w:val="24"/>
        </w:rPr>
      </w:pPr>
      <w:r w:rsidRPr="00574A31">
        <w:rPr>
          <w:rFonts w:ascii="Segoe UI" w:hAnsi="Segoe UI" w:cs="Segoe UI"/>
          <w:sz w:val="24"/>
          <w:szCs w:val="24"/>
          <w:lang w:val="en-US"/>
        </w:rPr>
        <w:drawing>
          <wp:inline distT="0" distB="0" distL="0" distR="0" wp14:anchorId="33FB5E24" wp14:editId="05AF95DE">
            <wp:extent cx="1838325" cy="800100"/>
            <wp:effectExtent l="0" t="0" r="9525" b="0"/>
            <wp:docPr id="3" name="Picture 3" descr="C:\Users\ProBook\Pictures\Screenshots\Screenshot (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Book\Pictures\Screenshots\Screenshot (1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800100"/>
                    </a:xfrm>
                    <a:prstGeom prst="rect">
                      <a:avLst/>
                    </a:prstGeom>
                    <a:noFill/>
                    <a:ln>
                      <a:noFill/>
                    </a:ln>
                  </pic:spPr>
                </pic:pic>
              </a:graphicData>
            </a:graphic>
          </wp:inline>
        </w:drawing>
      </w:r>
    </w:p>
    <w:p w14:paraId="03BAD766" w14:textId="77777777" w:rsidR="00464261" w:rsidRPr="00574A31" w:rsidRDefault="00464261" w:rsidP="00EC191D">
      <w:pPr>
        <w:spacing w:after="0" w:line="240" w:lineRule="auto"/>
        <w:rPr>
          <w:rFonts w:ascii="Segoe UI" w:hAnsi="Segoe UI" w:cs="Segoe UI"/>
          <w:sz w:val="24"/>
          <w:szCs w:val="24"/>
        </w:rPr>
      </w:pPr>
    </w:p>
    <w:p w14:paraId="1C8747A7" w14:textId="77777777" w:rsidR="00CA7963" w:rsidRPr="00574A31" w:rsidRDefault="00CA7963" w:rsidP="00EC191D">
      <w:pPr>
        <w:spacing w:after="0" w:line="240" w:lineRule="auto"/>
        <w:rPr>
          <w:rFonts w:ascii="Times New Roman" w:hAnsi="Times New Roman" w:cs="Times New Roman"/>
          <w:sz w:val="24"/>
          <w:szCs w:val="24"/>
        </w:rPr>
      </w:pPr>
    </w:p>
    <w:p w14:paraId="0DC568AB" w14:textId="1E06DB4C" w:rsidR="00CA7963" w:rsidRPr="00574A31" w:rsidRDefault="00CA7963" w:rsidP="00EC191D">
      <w:pPr>
        <w:spacing w:after="0" w:line="240" w:lineRule="auto"/>
        <w:jc w:val="right"/>
        <w:rPr>
          <w:rFonts w:ascii="Times New Roman" w:hAnsi="Times New Roman" w:cs="Times New Roman"/>
          <w:sz w:val="24"/>
          <w:szCs w:val="24"/>
        </w:rPr>
      </w:pPr>
      <w:r w:rsidRPr="00574A31">
        <w:rPr>
          <w:rFonts w:ascii="Times New Roman" w:hAnsi="Times New Roman" w:cs="Times New Roman"/>
          <w:sz w:val="24"/>
          <w:szCs w:val="24"/>
        </w:rPr>
        <w:t>[</w:t>
      </w:r>
      <w:r w:rsidR="008C556F" w:rsidRPr="00574A31">
        <w:rPr>
          <w:rFonts w:ascii="Times New Roman" w:hAnsi="Times New Roman" w:cs="Times New Roman"/>
          <w:sz w:val="24"/>
          <w:szCs w:val="24"/>
        </w:rPr>
        <w:t>original:english]</w:t>
      </w:r>
      <w:r w:rsidRPr="00574A31">
        <w:rPr>
          <w:rFonts w:ascii="Times New Roman" w:hAnsi="Times New Roman" w:cs="Times New Roman"/>
          <w:sz w:val="24"/>
          <w:szCs w:val="24"/>
        </w:rPr>
        <w:t xml:space="preserve"> </w:t>
      </w:r>
    </w:p>
    <w:p w14:paraId="741FEAD7" w14:textId="77777777" w:rsidR="00CA7963" w:rsidRPr="00574A31" w:rsidRDefault="00CA7963" w:rsidP="00EC191D">
      <w:pPr>
        <w:spacing w:after="0" w:line="240" w:lineRule="auto"/>
        <w:rPr>
          <w:rFonts w:ascii="Times New Roman" w:hAnsi="Times New Roman" w:cs="Times New Roman"/>
          <w:sz w:val="24"/>
          <w:szCs w:val="24"/>
        </w:rPr>
      </w:pPr>
    </w:p>
    <w:p w14:paraId="694D2D6D" w14:textId="77777777" w:rsidR="00CA7963" w:rsidRPr="00574A31" w:rsidRDefault="00CA7963" w:rsidP="00EC191D">
      <w:pPr>
        <w:spacing w:after="0" w:line="240" w:lineRule="auto"/>
        <w:rPr>
          <w:rFonts w:ascii="Times New Roman" w:hAnsi="Times New Roman" w:cs="Times New Roman"/>
          <w:sz w:val="24"/>
          <w:szCs w:val="24"/>
        </w:rPr>
      </w:pPr>
    </w:p>
    <w:p w14:paraId="7ECEACDC" w14:textId="431E1532" w:rsidR="00CA7963" w:rsidRPr="00574A31" w:rsidRDefault="00CA7963"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 xml:space="preserve">Associated Program for International Law </w:t>
      </w:r>
    </w:p>
    <w:p w14:paraId="59CA601F" w14:textId="33B043F1" w:rsidR="00CA7963" w:rsidRPr="00574A31" w:rsidRDefault="00462B77"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https://apintlaw.info</w:t>
      </w:r>
    </w:p>
    <w:p w14:paraId="4E3BF52A" w14:textId="6D391E74" w:rsidR="00733366" w:rsidRPr="00574A31" w:rsidRDefault="00733366" w:rsidP="00EC191D">
      <w:pPr>
        <w:spacing w:after="0" w:line="240" w:lineRule="auto"/>
        <w:rPr>
          <w:rFonts w:ascii="Times New Roman" w:hAnsi="Times New Roman" w:cs="Times New Roman"/>
          <w:sz w:val="24"/>
          <w:szCs w:val="24"/>
        </w:rPr>
      </w:pPr>
    </w:p>
    <w:p w14:paraId="58A0F961" w14:textId="77777777" w:rsidR="008C556F" w:rsidRPr="00574A31" w:rsidRDefault="00576EE2" w:rsidP="00392562">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Input </w:t>
      </w:r>
      <w:r w:rsidR="00920D8F" w:rsidRPr="00574A31">
        <w:rPr>
          <w:rFonts w:ascii="Times New Roman" w:hAnsi="Times New Roman" w:cs="Times New Roman"/>
          <w:sz w:val="24"/>
          <w:szCs w:val="24"/>
        </w:rPr>
        <w:t xml:space="preserve">to </w:t>
      </w:r>
      <w:r w:rsidR="00733366" w:rsidRPr="00574A31">
        <w:rPr>
          <w:rFonts w:ascii="Times New Roman" w:hAnsi="Times New Roman" w:cs="Times New Roman"/>
          <w:sz w:val="24"/>
          <w:szCs w:val="24"/>
        </w:rPr>
        <w:t>Call</w:t>
      </w:r>
      <w:r w:rsidR="009868C1" w:rsidRPr="00574A31">
        <w:rPr>
          <w:rFonts w:ascii="Times New Roman" w:hAnsi="Times New Roman" w:cs="Times New Roman"/>
          <w:sz w:val="24"/>
          <w:szCs w:val="24"/>
        </w:rPr>
        <w:t>: Thematic report to the UN Human Rights Council "Eradicating poverty in a post-growth context: preparing for the next Development Goals"</w:t>
      </w:r>
      <w:r w:rsidR="003074D6" w:rsidRPr="00574A31">
        <w:rPr>
          <w:rFonts w:ascii="Times New Roman" w:hAnsi="Times New Roman" w:cs="Times New Roman"/>
          <w:sz w:val="24"/>
          <w:szCs w:val="24"/>
        </w:rPr>
        <w:t xml:space="preserve"> </w:t>
      </w:r>
      <w:r w:rsidR="008C556F" w:rsidRPr="00574A31">
        <w:rPr>
          <w:rFonts w:ascii="Times New Roman" w:hAnsi="Times New Roman" w:cs="Times New Roman"/>
          <w:sz w:val="24"/>
          <w:szCs w:val="24"/>
        </w:rPr>
        <w:t xml:space="preserve">/ </w:t>
      </w:r>
    </w:p>
    <w:p w14:paraId="09C4F7FB" w14:textId="328BF094" w:rsidR="008C556F" w:rsidRPr="00574A31" w:rsidRDefault="008C556F" w:rsidP="00392562">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Submission to HRC56 report</w:t>
      </w:r>
    </w:p>
    <w:p w14:paraId="44B9F706" w14:textId="77777777" w:rsidR="009868C1" w:rsidRPr="00574A31" w:rsidRDefault="009868C1" w:rsidP="00EC191D">
      <w:pPr>
        <w:spacing w:after="0" w:line="240" w:lineRule="auto"/>
        <w:jc w:val="both"/>
        <w:rPr>
          <w:rFonts w:ascii="Times New Roman" w:hAnsi="Times New Roman" w:cs="Times New Roman"/>
          <w:sz w:val="24"/>
          <w:szCs w:val="24"/>
        </w:rPr>
      </w:pPr>
    </w:p>
    <w:p w14:paraId="095299F2" w14:textId="4FDB6E11" w:rsidR="00373A7A" w:rsidRPr="00574A31" w:rsidRDefault="00373A7A" w:rsidP="00EC191D">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Submission </w:t>
      </w:r>
      <w:r w:rsidR="005C77C4" w:rsidRPr="00574A31">
        <w:rPr>
          <w:rFonts w:ascii="Times New Roman" w:hAnsi="Times New Roman" w:cs="Times New Roman"/>
          <w:sz w:val="24"/>
          <w:szCs w:val="24"/>
        </w:rPr>
        <w:t xml:space="preserve">is </w:t>
      </w:r>
      <w:r w:rsidR="004E2CFA">
        <w:rPr>
          <w:rFonts w:ascii="Times New Roman" w:hAnsi="Times New Roman" w:cs="Times New Roman"/>
          <w:sz w:val="24"/>
          <w:szCs w:val="24"/>
        </w:rPr>
        <w:t xml:space="preserve">submitted </w:t>
      </w:r>
      <w:r w:rsidR="009868C1" w:rsidRPr="00574A31">
        <w:rPr>
          <w:rFonts w:ascii="Times New Roman" w:hAnsi="Times New Roman" w:cs="Times New Roman"/>
          <w:sz w:val="24"/>
          <w:szCs w:val="24"/>
        </w:rPr>
        <w:t xml:space="preserve">by Apintlaw and </w:t>
      </w:r>
      <w:r w:rsidR="005C77C4" w:rsidRPr="00574A31">
        <w:rPr>
          <w:rFonts w:ascii="Times New Roman" w:hAnsi="Times New Roman" w:cs="Times New Roman"/>
          <w:sz w:val="24"/>
          <w:szCs w:val="24"/>
        </w:rPr>
        <w:t xml:space="preserve">authored </w:t>
      </w:r>
      <w:r w:rsidRPr="00574A31">
        <w:rPr>
          <w:rFonts w:ascii="Times New Roman" w:hAnsi="Times New Roman" w:cs="Times New Roman"/>
          <w:sz w:val="24"/>
          <w:szCs w:val="24"/>
        </w:rPr>
        <w:t>by Henry Thomas Simarmata</w:t>
      </w:r>
      <w:r w:rsidR="009868C1" w:rsidRPr="00574A31">
        <w:rPr>
          <w:rFonts w:ascii="Times New Roman" w:hAnsi="Times New Roman" w:cs="Times New Roman"/>
          <w:sz w:val="24"/>
          <w:szCs w:val="24"/>
        </w:rPr>
        <w:t xml:space="preserve"> </w:t>
      </w:r>
    </w:p>
    <w:p w14:paraId="1983180A" w14:textId="77777777" w:rsidR="009868C1" w:rsidRPr="00574A31" w:rsidRDefault="009868C1" w:rsidP="00EC191D">
      <w:pPr>
        <w:spacing w:after="0" w:line="240" w:lineRule="auto"/>
        <w:jc w:val="both"/>
        <w:rPr>
          <w:rFonts w:ascii="Times New Roman" w:hAnsi="Times New Roman" w:cs="Times New Roman"/>
          <w:sz w:val="24"/>
          <w:szCs w:val="24"/>
        </w:rPr>
      </w:pPr>
    </w:p>
    <w:p w14:paraId="58DF002E" w14:textId="68E83C63" w:rsidR="009868C1" w:rsidRPr="00574A31" w:rsidRDefault="009868C1" w:rsidP="00EC191D">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Subject: land tenure in poverty eradication </w:t>
      </w:r>
    </w:p>
    <w:p w14:paraId="553E01A9" w14:textId="77777777" w:rsidR="009868C1" w:rsidRPr="00574A31" w:rsidRDefault="009868C1" w:rsidP="00EC191D">
      <w:pPr>
        <w:spacing w:after="0" w:line="240" w:lineRule="auto"/>
        <w:jc w:val="both"/>
        <w:rPr>
          <w:rFonts w:ascii="Times New Roman" w:hAnsi="Times New Roman" w:cs="Times New Roman"/>
          <w:sz w:val="24"/>
          <w:szCs w:val="24"/>
        </w:rPr>
      </w:pPr>
    </w:p>
    <w:p w14:paraId="33AF4ADA" w14:textId="77777777" w:rsidR="007039E2" w:rsidRPr="00574A31" w:rsidRDefault="007039E2" w:rsidP="00EC191D">
      <w:pPr>
        <w:spacing w:after="0" w:line="240" w:lineRule="auto"/>
        <w:rPr>
          <w:rFonts w:ascii="Times New Roman" w:hAnsi="Times New Roman" w:cs="Times New Roman"/>
          <w:sz w:val="24"/>
          <w:szCs w:val="24"/>
        </w:rPr>
      </w:pPr>
    </w:p>
    <w:p w14:paraId="54C4E8B3" w14:textId="743CCCEE" w:rsidR="005E14DC" w:rsidRPr="00574A31" w:rsidRDefault="005E14DC" w:rsidP="00EC191D">
      <w:pPr>
        <w:spacing w:after="0" w:line="240" w:lineRule="auto"/>
        <w:rPr>
          <w:rFonts w:ascii="Times New Roman" w:hAnsi="Times New Roman" w:cs="Times New Roman"/>
          <w:sz w:val="24"/>
          <w:szCs w:val="24"/>
        </w:rPr>
      </w:pPr>
    </w:p>
    <w:p w14:paraId="5B8EAD1D" w14:textId="70017930" w:rsidR="005E14DC" w:rsidRPr="00574A31" w:rsidRDefault="00592B17"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 xml:space="preserve">Introduction on the Input </w:t>
      </w:r>
    </w:p>
    <w:p w14:paraId="758B4805" w14:textId="1BA0F6F9" w:rsidR="00EC191D" w:rsidRPr="00574A31" w:rsidRDefault="00966576" w:rsidP="00EC191D">
      <w:pPr>
        <w:pStyle w:val="ListParagraph"/>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This</w:t>
      </w:r>
      <w:r w:rsidR="009868C1" w:rsidRPr="00574A31">
        <w:rPr>
          <w:rFonts w:ascii="Times New Roman" w:hAnsi="Times New Roman" w:cs="Times New Roman"/>
          <w:sz w:val="24"/>
          <w:szCs w:val="24"/>
        </w:rPr>
        <w:t xml:space="preserve"> input will cover the discussion, and intended input to Thematic report to the UN Human Rights Council "Eradicating poverty in a post-growth context: preparing for the next Development Goals". In this input, we will especially consider the goals of 1.4. (on </w:t>
      </w:r>
      <w:r w:rsidR="00EC191D" w:rsidRPr="00574A31">
        <w:rPr>
          <w:rFonts w:ascii="Times New Roman" w:hAnsi="Times New Roman" w:cs="Times New Roman"/>
          <w:sz w:val="24"/>
          <w:szCs w:val="24"/>
        </w:rPr>
        <w:t xml:space="preserve">equal rights to economic resources, including on land) of 12 (sustainable production and consumption), of 13.1. and 13.2. (on strategy on responding to climate change). This is with the view to contribute to the discussion on goal of 17.18 (on measurement). </w:t>
      </w:r>
    </w:p>
    <w:p w14:paraId="4E0BF477" w14:textId="77777777" w:rsidR="00EC191D" w:rsidRPr="00574A31" w:rsidRDefault="00EC191D" w:rsidP="00EC191D">
      <w:pPr>
        <w:pStyle w:val="ListParagraph"/>
        <w:spacing w:after="0" w:line="240" w:lineRule="auto"/>
        <w:ind w:left="567"/>
        <w:jc w:val="both"/>
        <w:rPr>
          <w:rFonts w:ascii="Times New Roman" w:hAnsi="Times New Roman" w:cs="Times New Roman"/>
          <w:sz w:val="24"/>
          <w:szCs w:val="24"/>
        </w:rPr>
      </w:pPr>
    </w:p>
    <w:p w14:paraId="4F5AD437" w14:textId="235BAB76" w:rsidR="00EC191D" w:rsidRPr="00574A31" w:rsidRDefault="00EC191D" w:rsidP="00EC191D">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This input will espec</w:t>
      </w:r>
      <w:r w:rsidR="008C556F" w:rsidRPr="00574A31">
        <w:rPr>
          <w:rFonts w:ascii="Times New Roman" w:hAnsi="Times New Roman" w:cs="Times New Roman"/>
          <w:sz w:val="24"/>
          <w:szCs w:val="24"/>
        </w:rPr>
        <w:t>ially respond to questions no.3 and</w:t>
      </w:r>
      <w:r w:rsidRPr="00574A31">
        <w:rPr>
          <w:rFonts w:ascii="Times New Roman" w:hAnsi="Times New Roman" w:cs="Times New Roman"/>
          <w:sz w:val="24"/>
          <w:szCs w:val="24"/>
        </w:rPr>
        <w:t xml:space="preserve"> 4 which </w:t>
      </w:r>
      <w:r w:rsidR="008C556F" w:rsidRPr="00574A31">
        <w:rPr>
          <w:rFonts w:ascii="Times New Roman" w:hAnsi="Times New Roman" w:cs="Times New Roman"/>
          <w:sz w:val="24"/>
          <w:szCs w:val="24"/>
        </w:rPr>
        <w:t>are set</w:t>
      </w:r>
      <w:r w:rsidRPr="00574A31">
        <w:rPr>
          <w:rFonts w:ascii="Times New Roman" w:hAnsi="Times New Roman" w:cs="Times New Roman"/>
          <w:sz w:val="24"/>
          <w:szCs w:val="24"/>
        </w:rPr>
        <w:t xml:space="preserve"> by the inquiry. This input will qualify the security of land </w:t>
      </w:r>
      <w:r w:rsidR="00A96DA8" w:rsidRPr="00574A31">
        <w:rPr>
          <w:rFonts w:ascii="Times New Roman" w:hAnsi="Times New Roman" w:cs="Times New Roman"/>
          <w:sz w:val="24"/>
          <w:szCs w:val="24"/>
        </w:rPr>
        <w:t xml:space="preserve">tenure </w:t>
      </w:r>
      <w:r w:rsidR="008C556F" w:rsidRPr="00574A31">
        <w:rPr>
          <w:rFonts w:ascii="Times New Roman" w:hAnsi="Times New Roman" w:cs="Times New Roman"/>
          <w:sz w:val="24"/>
          <w:szCs w:val="24"/>
        </w:rPr>
        <w:t>and welfare-making</w:t>
      </w:r>
      <w:r w:rsidRPr="00574A31">
        <w:rPr>
          <w:rFonts w:ascii="Times New Roman" w:hAnsi="Times New Roman" w:cs="Times New Roman"/>
          <w:sz w:val="24"/>
          <w:szCs w:val="24"/>
        </w:rPr>
        <w:t xml:space="preserve">. This input is taking Indonesia as the point of discussion, though, intend to bring security </w:t>
      </w:r>
      <w:r w:rsidR="00886BF7" w:rsidRPr="00574A31">
        <w:rPr>
          <w:rFonts w:ascii="Times New Roman" w:hAnsi="Times New Roman" w:cs="Times New Roman"/>
          <w:sz w:val="24"/>
          <w:szCs w:val="24"/>
        </w:rPr>
        <w:t xml:space="preserve">of land tenure </w:t>
      </w:r>
      <w:r w:rsidRPr="00574A31">
        <w:rPr>
          <w:rFonts w:ascii="Times New Roman" w:hAnsi="Times New Roman" w:cs="Times New Roman"/>
          <w:sz w:val="24"/>
          <w:szCs w:val="24"/>
        </w:rPr>
        <w:t>into wider and standardised human rights meas</w:t>
      </w:r>
      <w:r w:rsidR="00886BF7" w:rsidRPr="00574A31">
        <w:rPr>
          <w:rFonts w:ascii="Times New Roman" w:hAnsi="Times New Roman" w:cs="Times New Roman"/>
          <w:sz w:val="24"/>
          <w:szCs w:val="24"/>
        </w:rPr>
        <w:t xml:space="preserve">urement into goals of SDGs. </w:t>
      </w:r>
    </w:p>
    <w:p w14:paraId="4DF628A7" w14:textId="77777777" w:rsidR="00886BF7" w:rsidRPr="00574A31" w:rsidRDefault="00886BF7" w:rsidP="00886BF7">
      <w:pPr>
        <w:pStyle w:val="ListParagraph"/>
        <w:rPr>
          <w:rFonts w:ascii="Times New Roman" w:hAnsi="Times New Roman" w:cs="Times New Roman"/>
          <w:sz w:val="24"/>
          <w:szCs w:val="24"/>
        </w:rPr>
      </w:pPr>
    </w:p>
    <w:p w14:paraId="27AF3A8D" w14:textId="2A5EB9AD" w:rsidR="00886BF7" w:rsidRPr="00574A31" w:rsidRDefault="00886BF7" w:rsidP="00886BF7">
      <w:pPr>
        <w:pStyle w:val="ListParagraph"/>
        <w:numPr>
          <w:ilvl w:val="0"/>
          <w:numId w:val="2"/>
        </w:num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The input will re-bring previous reports on the subjects, i.e. on input on CESCR general comment of right to land: </w:t>
      </w:r>
      <w:hyperlink r:id="rId9" w:history="1">
        <w:r w:rsidRPr="00574A31">
          <w:rPr>
            <w:rStyle w:val="Hyperlink"/>
            <w:rFonts w:ascii="Times New Roman" w:hAnsi="Times New Roman" w:cs="Times New Roman"/>
            <w:sz w:val="24"/>
            <w:szCs w:val="24"/>
          </w:rPr>
          <w:t>https://www.ohchr.org/en/calls-for-input/2021/call-written-contributions-draft-general-comment-no-26-land-and-economic</w:t>
        </w:r>
      </w:hyperlink>
      <w:r w:rsidRPr="00574A31">
        <w:rPr>
          <w:rFonts w:ascii="Times New Roman" w:hAnsi="Times New Roman" w:cs="Times New Roman"/>
          <w:sz w:val="24"/>
          <w:szCs w:val="24"/>
        </w:rPr>
        <w:t xml:space="preserve">, no.7 (as co-contributor of joint input of Geneva Academy-La Via Campesina-CETIM-FIAN International) and no. 88 (as co-author in the input of the Law Faculty of the University of Atma Jaya Yogyakarta) </w:t>
      </w:r>
    </w:p>
    <w:p w14:paraId="65F67341" w14:textId="77777777" w:rsidR="00EC191D" w:rsidRPr="00574A31" w:rsidRDefault="00EC191D" w:rsidP="00EC191D">
      <w:pPr>
        <w:spacing w:after="0" w:line="240" w:lineRule="auto"/>
        <w:jc w:val="both"/>
        <w:rPr>
          <w:rFonts w:ascii="Times New Roman" w:hAnsi="Times New Roman" w:cs="Times New Roman"/>
          <w:sz w:val="24"/>
          <w:szCs w:val="24"/>
        </w:rPr>
      </w:pPr>
    </w:p>
    <w:p w14:paraId="4D1C569C" w14:textId="77777777" w:rsidR="00392562" w:rsidRPr="00574A31" w:rsidRDefault="00392562" w:rsidP="00EC191D">
      <w:pPr>
        <w:spacing w:after="0" w:line="240" w:lineRule="auto"/>
        <w:jc w:val="both"/>
        <w:rPr>
          <w:rFonts w:ascii="Times New Roman" w:hAnsi="Times New Roman" w:cs="Times New Roman"/>
          <w:sz w:val="24"/>
          <w:szCs w:val="24"/>
        </w:rPr>
      </w:pPr>
    </w:p>
    <w:p w14:paraId="61FFE3F0" w14:textId="13EB0BBA" w:rsidR="00EC191D" w:rsidRPr="00574A31" w:rsidRDefault="00EC191D" w:rsidP="00EC191D">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The important </w:t>
      </w:r>
      <w:r w:rsidR="002C3818" w:rsidRPr="00574A31">
        <w:rPr>
          <w:rFonts w:ascii="Times New Roman" w:hAnsi="Times New Roman" w:cs="Times New Roman"/>
          <w:sz w:val="24"/>
          <w:szCs w:val="24"/>
        </w:rPr>
        <w:t xml:space="preserve">progress in tenure security; and, how the case of Indonesia will bring important contribution to measurement </w:t>
      </w:r>
    </w:p>
    <w:p w14:paraId="6301DCBD" w14:textId="0018B113" w:rsidR="00656D0D" w:rsidRPr="00574A31" w:rsidRDefault="002C3818" w:rsidP="00EC191D">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 xml:space="preserve">The government of Indonesia (the GOI) has been organising and setting land titling towards Indonesians, especially those who are living without land titling. By way </w:t>
      </w:r>
      <w:r w:rsidRPr="00574A31">
        <w:rPr>
          <w:rFonts w:ascii="Times New Roman" w:hAnsi="Times New Roman" w:cs="Times New Roman"/>
          <w:sz w:val="24"/>
          <w:szCs w:val="24"/>
        </w:rPr>
        <w:lastRenderedPageBreak/>
        <w:t>of land certificate, the GOI sets a standard of security of tenure in law and administration. In series</w:t>
      </w:r>
      <w:r w:rsidR="00656D0D" w:rsidRPr="00574A31">
        <w:rPr>
          <w:rFonts w:ascii="Times New Roman" w:hAnsi="Times New Roman" w:cs="Times New Roman"/>
          <w:sz w:val="24"/>
          <w:szCs w:val="24"/>
        </w:rPr>
        <w:t xml:space="preserve"> titling </w:t>
      </w:r>
      <w:r w:rsidR="001F0191" w:rsidRPr="00574A31">
        <w:rPr>
          <w:rFonts w:ascii="Times New Roman" w:hAnsi="Times New Roman" w:cs="Times New Roman"/>
          <w:sz w:val="24"/>
          <w:szCs w:val="24"/>
        </w:rPr>
        <w:t>awarding</w:t>
      </w:r>
      <w:r w:rsidR="00656D0D" w:rsidRPr="00574A31">
        <w:rPr>
          <w:rFonts w:ascii="Times New Roman" w:hAnsi="Times New Roman" w:cs="Times New Roman"/>
          <w:sz w:val="24"/>
          <w:szCs w:val="24"/>
        </w:rPr>
        <w:t>, e.g. 5 million land certificate among one intake in 2021</w:t>
      </w:r>
      <w:r w:rsidR="001F0191" w:rsidRPr="00574A31">
        <w:rPr>
          <w:rStyle w:val="FootnoteReference"/>
          <w:rFonts w:ascii="Times New Roman" w:hAnsi="Times New Roman" w:cs="Times New Roman"/>
          <w:sz w:val="24"/>
          <w:szCs w:val="24"/>
        </w:rPr>
        <w:footnoteReference w:id="1"/>
      </w:r>
      <w:r w:rsidR="001F0191" w:rsidRPr="00574A31">
        <w:rPr>
          <w:rFonts w:ascii="Times New Roman" w:hAnsi="Times New Roman" w:cs="Times New Roman"/>
          <w:sz w:val="24"/>
          <w:szCs w:val="24"/>
        </w:rPr>
        <w:t>1,55 million land certificate in 2022</w:t>
      </w:r>
      <w:r w:rsidR="001F0191" w:rsidRPr="00574A31">
        <w:rPr>
          <w:rStyle w:val="FootnoteReference"/>
          <w:rFonts w:ascii="Times New Roman" w:hAnsi="Times New Roman" w:cs="Times New Roman"/>
          <w:sz w:val="24"/>
          <w:szCs w:val="24"/>
        </w:rPr>
        <w:footnoteReference w:id="2"/>
      </w:r>
      <w:r w:rsidR="00656D0D" w:rsidRPr="00574A31">
        <w:rPr>
          <w:rFonts w:ascii="Times New Roman" w:hAnsi="Times New Roman" w:cs="Times New Roman"/>
          <w:sz w:val="24"/>
          <w:szCs w:val="24"/>
        </w:rPr>
        <w:t xml:space="preserve">, </w:t>
      </w:r>
      <w:r w:rsidR="00027C32">
        <w:rPr>
          <w:rFonts w:ascii="Times New Roman" w:hAnsi="Times New Roman" w:cs="Times New Roman"/>
          <w:sz w:val="24"/>
          <w:szCs w:val="24"/>
        </w:rPr>
        <w:t>2,5 million</w:t>
      </w:r>
      <w:r w:rsidR="001F0191" w:rsidRPr="00574A31">
        <w:rPr>
          <w:rFonts w:ascii="Times New Roman" w:hAnsi="Times New Roman" w:cs="Times New Roman"/>
          <w:sz w:val="24"/>
          <w:szCs w:val="24"/>
        </w:rPr>
        <w:t xml:space="preserve"> and aggregate of 109</w:t>
      </w:r>
      <w:r w:rsidR="00656D0D" w:rsidRPr="00574A31">
        <w:rPr>
          <w:rFonts w:ascii="Times New Roman" w:hAnsi="Times New Roman" w:cs="Times New Roman"/>
          <w:sz w:val="24"/>
          <w:szCs w:val="24"/>
        </w:rPr>
        <w:t xml:space="preserve"> million land certificate as of December 2023</w:t>
      </w:r>
      <w:r w:rsidR="001F0191" w:rsidRPr="00574A31">
        <w:rPr>
          <w:rStyle w:val="FootnoteReference"/>
          <w:rFonts w:ascii="Times New Roman" w:hAnsi="Times New Roman" w:cs="Times New Roman"/>
          <w:sz w:val="24"/>
          <w:szCs w:val="24"/>
        </w:rPr>
        <w:footnoteReference w:id="3"/>
      </w:r>
      <w:r w:rsidR="00656D0D" w:rsidRPr="00574A31">
        <w:rPr>
          <w:rFonts w:ascii="Times New Roman" w:hAnsi="Times New Roman" w:cs="Times New Roman"/>
          <w:sz w:val="24"/>
          <w:szCs w:val="24"/>
        </w:rPr>
        <w:t xml:space="preserve">. </w:t>
      </w:r>
    </w:p>
    <w:p w14:paraId="527F9E3F" w14:textId="77777777" w:rsidR="00914FDB" w:rsidRPr="00574A31" w:rsidRDefault="00914FDB" w:rsidP="00914FDB">
      <w:pPr>
        <w:pStyle w:val="ListParagraph"/>
        <w:spacing w:after="0" w:line="240" w:lineRule="auto"/>
        <w:ind w:left="567"/>
        <w:jc w:val="both"/>
        <w:rPr>
          <w:rFonts w:ascii="Times New Roman" w:hAnsi="Times New Roman" w:cs="Times New Roman"/>
          <w:sz w:val="24"/>
          <w:szCs w:val="24"/>
        </w:rPr>
      </w:pPr>
    </w:p>
    <w:p w14:paraId="55E306B7" w14:textId="2C6E257F" w:rsidR="001F0191" w:rsidRPr="00574A31" w:rsidRDefault="00656D0D" w:rsidP="00EC191D">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The GOI has been alloting and set</w:t>
      </w:r>
      <w:r w:rsidR="00027C32">
        <w:rPr>
          <w:rFonts w:ascii="Times New Roman" w:hAnsi="Times New Roman" w:cs="Times New Roman"/>
          <w:sz w:val="24"/>
          <w:szCs w:val="24"/>
        </w:rPr>
        <w:t xml:space="preserve">s </w:t>
      </w:r>
      <w:r w:rsidRPr="00574A31">
        <w:rPr>
          <w:rFonts w:ascii="Times New Roman" w:hAnsi="Times New Roman" w:cs="Times New Roman"/>
          <w:sz w:val="24"/>
          <w:szCs w:val="24"/>
        </w:rPr>
        <w:t>an institution of titling to forest, namely “hutan adat” (indigenous forest)</w:t>
      </w:r>
      <w:r w:rsidR="001F0191" w:rsidRPr="00574A31">
        <w:rPr>
          <w:rFonts w:ascii="Times New Roman" w:hAnsi="Times New Roman" w:cs="Times New Roman"/>
          <w:sz w:val="24"/>
          <w:szCs w:val="24"/>
        </w:rPr>
        <w:t xml:space="preserve"> inside “perhutanan sosial” (social forestry); e.g. in February 2023 certificate indigenous forest awarding, there were 108 units, 153.222 hectare</w:t>
      </w:r>
      <w:r w:rsidR="001F0191" w:rsidRPr="00574A31">
        <w:rPr>
          <w:rStyle w:val="FootnoteReference"/>
          <w:rFonts w:ascii="Times New Roman" w:hAnsi="Times New Roman" w:cs="Times New Roman"/>
          <w:sz w:val="24"/>
          <w:szCs w:val="24"/>
        </w:rPr>
        <w:footnoteReference w:id="4"/>
      </w:r>
      <w:r w:rsidR="00152CAE" w:rsidRPr="00574A31">
        <w:rPr>
          <w:rFonts w:ascii="Times New Roman" w:hAnsi="Times New Roman" w:cs="Times New Roman"/>
          <w:sz w:val="24"/>
          <w:szCs w:val="24"/>
        </w:rPr>
        <w:t>. This type of certificate, though not a straigh</w:t>
      </w:r>
      <w:r w:rsidR="00027C32">
        <w:rPr>
          <w:rFonts w:ascii="Times New Roman" w:hAnsi="Times New Roman" w:cs="Times New Roman"/>
          <w:sz w:val="24"/>
          <w:szCs w:val="24"/>
        </w:rPr>
        <w:t>t</w:t>
      </w:r>
      <w:r w:rsidR="00152CAE" w:rsidRPr="00574A31">
        <w:rPr>
          <w:rFonts w:ascii="Times New Roman" w:hAnsi="Times New Roman" w:cs="Times New Roman"/>
          <w:sz w:val="24"/>
          <w:szCs w:val="24"/>
        </w:rPr>
        <w:t xml:space="preserve">forward exclusive rights, contribute to the reorganisation of forests into a process of protection of indigenous communities.  </w:t>
      </w:r>
    </w:p>
    <w:p w14:paraId="44184E5F" w14:textId="5426DC0A" w:rsidR="002C3818" w:rsidRPr="00574A31" w:rsidRDefault="002C3818" w:rsidP="001F0191">
      <w:pPr>
        <w:spacing w:after="0" w:line="240" w:lineRule="auto"/>
        <w:jc w:val="both"/>
        <w:rPr>
          <w:rFonts w:ascii="Times New Roman" w:hAnsi="Times New Roman" w:cs="Times New Roman"/>
          <w:sz w:val="24"/>
          <w:szCs w:val="24"/>
        </w:rPr>
      </w:pPr>
    </w:p>
    <w:p w14:paraId="4A58E520" w14:textId="432D0271" w:rsidR="00EC191D" w:rsidRPr="00574A31" w:rsidRDefault="001F0191" w:rsidP="00EC191D">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Both institutions of security of land tenure are important development in the establishment of security for people of Indonesia. Both in research and in practice, the security of land tenure has been contributing to stop the land c</w:t>
      </w:r>
      <w:r w:rsidR="00027C32">
        <w:rPr>
          <w:rFonts w:ascii="Times New Roman" w:hAnsi="Times New Roman" w:cs="Times New Roman"/>
          <w:sz w:val="24"/>
          <w:szCs w:val="24"/>
        </w:rPr>
        <w:t>onversion into wholesale commerc</w:t>
      </w:r>
      <w:r w:rsidRPr="00574A31">
        <w:rPr>
          <w:rFonts w:ascii="Times New Roman" w:hAnsi="Times New Roman" w:cs="Times New Roman"/>
          <w:sz w:val="24"/>
          <w:szCs w:val="24"/>
        </w:rPr>
        <w:t xml:space="preserve">ial use. </w:t>
      </w:r>
      <w:r w:rsidR="00B439ED" w:rsidRPr="00574A31">
        <w:rPr>
          <w:rFonts w:ascii="Times New Roman" w:hAnsi="Times New Roman" w:cs="Times New Roman"/>
          <w:sz w:val="24"/>
          <w:szCs w:val="24"/>
        </w:rPr>
        <w:t xml:space="preserve">For the research purpose and in practical term, the type of land </w:t>
      </w:r>
      <w:r w:rsidR="00152CAE" w:rsidRPr="00574A31">
        <w:rPr>
          <w:rFonts w:ascii="Times New Roman" w:hAnsi="Times New Roman" w:cs="Times New Roman"/>
          <w:sz w:val="24"/>
          <w:szCs w:val="24"/>
        </w:rPr>
        <w:t xml:space="preserve">and forest titling such as the case of Indonesia can set an effective bring social protection. </w:t>
      </w:r>
    </w:p>
    <w:p w14:paraId="66B44A1E" w14:textId="77777777" w:rsidR="00152CAE" w:rsidRPr="00574A31" w:rsidRDefault="00152CAE" w:rsidP="00152CAE">
      <w:pPr>
        <w:pStyle w:val="ListParagraph"/>
        <w:rPr>
          <w:rFonts w:ascii="Times New Roman" w:hAnsi="Times New Roman" w:cs="Times New Roman"/>
          <w:sz w:val="24"/>
          <w:szCs w:val="24"/>
        </w:rPr>
      </w:pPr>
    </w:p>
    <w:p w14:paraId="77A1C46F" w14:textId="0ECDA04B" w:rsidR="00914FDB" w:rsidRPr="00574A31" w:rsidRDefault="00152CAE" w:rsidP="00027C32">
      <w:pPr>
        <w:pStyle w:val="ListParagraph"/>
        <w:numPr>
          <w:ilvl w:val="0"/>
          <w:numId w:val="2"/>
        </w:num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In </w:t>
      </w:r>
      <w:r w:rsidR="006D39B9" w:rsidRPr="00574A31">
        <w:rPr>
          <w:rFonts w:ascii="Times New Roman" w:hAnsi="Times New Roman" w:cs="Times New Roman"/>
          <w:sz w:val="24"/>
          <w:szCs w:val="24"/>
        </w:rPr>
        <w:t>2021, the Indonesian NHRI (National Human Rights Institution), the Komisi Nasional Hak Asasi Manusia Indonesia, adopted of the Standard Norma dan Pengaturan (“standard setting”) on land and na</w:t>
      </w:r>
      <w:r w:rsidR="00D9680B" w:rsidRPr="00574A31">
        <w:rPr>
          <w:rFonts w:ascii="Times New Roman" w:hAnsi="Times New Roman" w:cs="Times New Roman"/>
          <w:sz w:val="24"/>
          <w:szCs w:val="24"/>
        </w:rPr>
        <w:t>tural resources, the SNP no. 7.</w:t>
      </w:r>
      <w:r w:rsidR="00D9680B" w:rsidRPr="00574A31">
        <w:rPr>
          <w:rStyle w:val="FootnoteReference"/>
          <w:rFonts w:ascii="Times New Roman" w:hAnsi="Times New Roman" w:cs="Times New Roman"/>
          <w:sz w:val="24"/>
          <w:szCs w:val="24"/>
        </w:rPr>
        <w:footnoteReference w:id="5"/>
      </w:r>
      <w:r w:rsidR="00D9680B" w:rsidRPr="00574A31">
        <w:rPr>
          <w:rFonts w:ascii="Times New Roman" w:hAnsi="Times New Roman" w:cs="Times New Roman"/>
          <w:sz w:val="24"/>
          <w:szCs w:val="24"/>
        </w:rPr>
        <w:t xml:space="preserve">  The SNP no. 7 institutes a standard of human rights protection in regard of land and natural resources towards Indonesian citizens, especially towards localities, traditional communities, indigenous communities, and rural population. </w:t>
      </w:r>
      <w:r w:rsidR="00392562" w:rsidRPr="00574A31">
        <w:rPr>
          <w:rFonts w:ascii="Times New Roman" w:hAnsi="Times New Roman" w:cs="Times New Roman"/>
          <w:sz w:val="24"/>
          <w:szCs w:val="24"/>
        </w:rPr>
        <w:t>The SNP no.7 enumerates recognition towards peasants, rural workers, indig</w:t>
      </w:r>
      <w:r w:rsidR="00966576">
        <w:rPr>
          <w:rFonts w:ascii="Times New Roman" w:hAnsi="Times New Roman" w:cs="Times New Roman"/>
          <w:sz w:val="24"/>
          <w:szCs w:val="24"/>
        </w:rPr>
        <w:t xml:space="preserve">enous communities, rural women, </w:t>
      </w:r>
      <w:r w:rsidR="00027C32">
        <w:rPr>
          <w:rFonts w:ascii="Times New Roman" w:hAnsi="Times New Roman" w:cs="Times New Roman"/>
          <w:sz w:val="24"/>
          <w:szCs w:val="24"/>
        </w:rPr>
        <w:t>f</w:t>
      </w:r>
      <w:r w:rsidR="00027C32" w:rsidRPr="00027C32">
        <w:rPr>
          <w:rFonts w:ascii="Times New Roman" w:hAnsi="Times New Roman" w:cs="Times New Roman"/>
          <w:sz w:val="24"/>
          <w:szCs w:val="24"/>
        </w:rPr>
        <w:t>isher</w:t>
      </w:r>
      <w:r w:rsidR="001227C6">
        <w:rPr>
          <w:rFonts w:ascii="Times New Roman" w:hAnsi="Times New Roman" w:cs="Times New Roman"/>
          <w:sz w:val="24"/>
          <w:szCs w:val="24"/>
        </w:rPr>
        <w:t>-</w:t>
      </w:r>
      <w:r w:rsidR="00027C32" w:rsidRPr="00027C32">
        <w:rPr>
          <w:rFonts w:ascii="Times New Roman" w:hAnsi="Times New Roman" w:cs="Times New Roman"/>
          <w:sz w:val="24"/>
          <w:szCs w:val="24"/>
        </w:rPr>
        <w:t>folk</w:t>
      </w:r>
      <w:r w:rsidR="00392562" w:rsidRPr="00574A31">
        <w:rPr>
          <w:rFonts w:ascii="Times New Roman" w:hAnsi="Times New Roman" w:cs="Times New Roman"/>
          <w:sz w:val="24"/>
          <w:szCs w:val="24"/>
        </w:rPr>
        <w:t>, nomadic and semi-nomadic communities (including sea nomads) in terms of the originating of rights.</w:t>
      </w:r>
    </w:p>
    <w:p w14:paraId="71B93572" w14:textId="77777777" w:rsidR="00914FDB" w:rsidRPr="00574A31" w:rsidRDefault="00914FDB" w:rsidP="00914FDB">
      <w:pPr>
        <w:pStyle w:val="ListParagraph"/>
        <w:rPr>
          <w:rFonts w:ascii="Times New Roman" w:hAnsi="Times New Roman" w:cs="Times New Roman"/>
          <w:sz w:val="24"/>
          <w:szCs w:val="24"/>
        </w:rPr>
      </w:pPr>
    </w:p>
    <w:p w14:paraId="4FFFC21E" w14:textId="0C31914F" w:rsidR="00152CAE" w:rsidRPr="00574A31" w:rsidRDefault="00392562" w:rsidP="00914FDB">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The GOI was put a vote “yes” into the UN Declaration on Rights of Peasants and Other People Working in Rural Areas, both in UN Human Rights Council (A/HRC/RES/39/12, 8 October 2018) and in UN General Assembly</w:t>
      </w:r>
      <w:r w:rsidR="00027C32">
        <w:rPr>
          <w:rFonts w:ascii="Times New Roman" w:hAnsi="Times New Roman" w:cs="Times New Roman"/>
          <w:sz w:val="24"/>
          <w:szCs w:val="24"/>
        </w:rPr>
        <w:t xml:space="preserve"> (A/RES/73/165, 17 D</w:t>
      </w:r>
      <w:r w:rsidRPr="00574A31">
        <w:rPr>
          <w:rFonts w:ascii="Times New Roman" w:hAnsi="Times New Roman" w:cs="Times New Roman"/>
          <w:sz w:val="24"/>
          <w:szCs w:val="24"/>
        </w:rPr>
        <w:t xml:space="preserve">ecember 2018). This UN Declaration set a standard for recognition towards rural communities, especially in terms of land, seed, means of production, and biodiversity. </w:t>
      </w:r>
      <w:r w:rsidR="001E3A81" w:rsidRPr="00574A31">
        <w:rPr>
          <w:rFonts w:ascii="Times New Roman" w:hAnsi="Times New Roman" w:cs="Times New Roman"/>
          <w:sz w:val="24"/>
          <w:szCs w:val="24"/>
        </w:rPr>
        <w:t xml:space="preserve">This contribute to the development and to the confirmation of security of land tenure process in Indonesia. </w:t>
      </w:r>
    </w:p>
    <w:p w14:paraId="10767ED9" w14:textId="2FD020C9" w:rsidR="001E3A81" w:rsidRPr="00574A31" w:rsidRDefault="001E3A81" w:rsidP="00EC191D">
      <w:pPr>
        <w:spacing w:after="0" w:line="240" w:lineRule="auto"/>
        <w:ind w:left="66"/>
        <w:jc w:val="both"/>
        <w:rPr>
          <w:rFonts w:ascii="Times New Roman" w:hAnsi="Times New Roman" w:cs="Times New Roman"/>
          <w:sz w:val="24"/>
          <w:szCs w:val="24"/>
        </w:rPr>
      </w:pPr>
    </w:p>
    <w:p w14:paraId="6CBD346A" w14:textId="77777777" w:rsidR="001E3A81" w:rsidRPr="00574A31" w:rsidRDefault="001E3A81" w:rsidP="00EC191D">
      <w:pPr>
        <w:spacing w:after="0" w:line="240" w:lineRule="auto"/>
        <w:ind w:left="66"/>
        <w:jc w:val="both"/>
        <w:rPr>
          <w:rFonts w:ascii="Times New Roman" w:hAnsi="Times New Roman" w:cs="Times New Roman"/>
          <w:sz w:val="24"/>
          <w:szCs w:val="24"/>
        </w:rPr>
      </w:pPr>
    </w:p>
    <w:p w14:paraId="193888C5" w14:textId="410F0346" w:rsidR="003074D6" w:rsidRPr="00574A31" w:rsidRDefault="001E3A81" w:rsidP="003074D6">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Security of land tenure and poverty eradication </w:t>
      </w:r>
    </w:p>
    <w:p w14:paraId="121A531C" w14:textId="7287A7E9" w:rsidR="009B58B6" w:rsidRPr="00574A31" w:rsidRDefault="00760911" w:rsidP="00914FDB">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i/>
          <w:sz w:val="24"/>
          <w:szCs w:val="24"/>
        </w:rPr>
        <w:t xml:space="preserve">First, </w:t>
      </w:r>
      <w:r w:rsidR="00027C32">
        <w:rPr>
          <w:rFonts w:ascii="Times New Roman" w:hAnsi="Times New Roman" w:cs="Times New Roman"/>
          <w:sz w:val="24"/>
          <w:szCs w:val="24"/>
        </w:rPr>
        <w:t xml:space="preserve">Institutionalising </w:t>
      </w:r>
      <w:r w:rsidR="003074D6" w:rsidRPr="00574A31">
        <w:rPr>
          <w:rFonts w:ascii="Times New Roman" w:hAnsi="Times New Roman" w:cs="Times New Roman"/>
          <w:sz w:val="24"/>
          <w:szCs w:val="24"/>
        </w:rPr>
        <w:t>the recognition of right and acc</w:t>
      </w:r>
      <w:r w:rsidR="009B58B6" w:rsidRPr="00574A31">
        <w:rPr>
          <w:rFonts w:ascii="Times New Roman" w:hAnsi="Times New Roman" w:cs="Times New Roman"/>
          <w:sz w:val="24"/>
          <w:szCs w:val="24"/>
        </w:rPr>
        <w:t>ess to security of land tenure is</w:t>
      </w:r>
      <w:r w:rsidRPr="00574A31">
        <w:rPr>
          <w:rFonts w:ascii="Times New Roman" w:hAnsi="Times New Roman" w:cs="Times New Roman"/>
          <w:sz w:val="24"/>
          <w:szCs w:val="24"/>
        </w:rPr>
        <w:t>,</w:t>
      </w:r>
      <w:r w:rsidR="009B58B6" w:rsidRPr="00574A31">
        <w:rPr>
          <w:rFonts w:ascii="Times New Roman" w:hAnsi="Times New Roman" w:cs="Times New Roman"/>
          <w:sz w:val="24"/>
          <w:szCs w:val="24"/>
        </w:rPr>
        <w:t xml:space="preserve"> </w:t>
      </w:r>
      <w:r w:rsidR="003074D6" w:rsidRPr="00574A31">
        <w:rPr>
          <w:rFonts w:ascii="Times New Roman" w:hAnsi="Times New Roman" w:cs="Times New Roman"/>
          <w:sz w:val="24"/>
          <w:szCs w:val="24"/>
        </w:rPr>
        <w:t>in itself, set a social protection and a social-economic guarantee for livelihood.</w:t>
      </w:r>
      <w:r w:rsidR="009B58B6" w:rsidRPr="00574A31">
        <w:rPr>
          <w:rFonts w:ascii="Times New Roman" w:hAnsi="Times New Roman" w:cs="Times New Roman"/>
          <w:sz w:val="24"/>
          <w:szCs w:val="24"/>
        </w:rPr>
        <w:t xml:space="preserve"> This security of land tenure will not directly transfer to means of production or to a </w:t>
      </w:r>
      <w:r w:rsidR="009B58B6" w:rsidRPr="00574A31">
        <w:rPr>
          <w:rFonts w:ascii="Times New Roman" w:hAnsi="Times New Roman" w:cs="Times New Roman"/>
          <w:sz w:val="24"/>
          <w:szCs w:val="24"/>
        </w:rPr>
        <w:lastRenderedPageBreak/>
        <w:t>jumped-start prosperity, but, that create a necessary space for the land owner to plan and to organise their life and to do effort on welfare. Out of this, the reach welfare can be in forms of housing, the enjoymen</w:t>
      </w:r>
      <w:r w:rsidR="00027C32">
        <w:rPr>
          <w:rFonts w:ascii="Times New Roman" w:hAnsi="Times New Roman" w:cs="Times New Roman"/>
          <w:sz w:val="24"/>
          <w:szCs w:val="24"/>
        </w:rPr>
        <w:t>t</w:t>
      </w:r>
      <w:r w:rsidR="009B58B6" w:rsidRPr="00574A31">
        <w:rPr>
          <w:rFonts w:ascii="Times New Roman" w:hAnsi="Times New Roman" w:cs="Times New Roman"/>
          <w:sz w:val="24"/>
          <w:szCs w:val="24"/>
        </w:rPr>
        <w:t xml:space="preserve"> of clean water, the access to electricity, and others self-wel</w:t>
      </w:r>
      <w:r w:rsidR="00027C32">
        <w:rPr>
          <w:rFonts w:ascii="Times New Roman" w:hAnsi="Times New Roman" w:cs="Times New Roman"/>
          <w:sz w:val="24"/>
          <w:szCs w:val="24"/>
        </w:rPr>
        <w:t>f</w:t>
      </w:r>
      <w:r w:rsidR="009B58B6" w:rsidRPr="00574A31">
        <w:rPr>
          <w:rFonts w:ascii="Times New Roman" w:hAnsi="Times New Roman" w:cs="Times New Roman"/>
          <w:sz w:val="24"/>
          <w:szCs w:val="24"/>
        </w:rPr>
        <w:t xml:space="preserve">are and government-provided welfare. </w:t>
      </w:r>
    </w:p>
    <w:p w14:paraId="073B96D5" w14:textId="77777777" w:rsidR="009B58B6" w:rsidRPr="00574A31" w:rsidRDefault="009B58B6" w:rsidP="009B58B6">
      <w:pPr>
        <w:pStyle w:val="ListParagraph"/>
        <w:spacing w:after="0" w:line="240" w:lineRule="auto"/>
        <w:ind w:left="567"/>
        <w:jc w:val="both"/>
        <w:rPr>
          <w:rFonts w:ascii="Times New Roman" w:hAnsi="Times New Roman" w:cs="Times New Roman"/>
          <w:sz w:val="24"/>
          <w:szCs w:val="24"/>
        </w:rPr>
      </w:pPr>
    </w:p>
    <w:p w14:paraId="524A4190" w14:textId="00FA71FF" w:rsidR="003074D6" w:rsidRPr="00574A31" w:rsidRDefault="00760911" w:rsidP="00914FDB">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i/>
          <w:sz w:val="24"/>
          <w:szCs w:val="24"/>
        </w:rPr>
        <w:t>Second</w:t>
      </w:r>
      <w:r w:rsidRPr="00574A31">
        <w:rPr>
          <w:rFonts w:ascii="Times New Roman" w:hAnsi="Times New Roman" w:cs="Times New Roman"/>
          <w:sz w:val="24"/>
          <w:szCs w:val="24"/>
        </w:rPr>
        <w:t xml:space="preserve">, </w:t>
      </w:r>
      <w:r w:rsidR="009B58B6" w:rsidRPr="00574A31">
        <w:rPr>
          <w:rFonts w:ascii="Times New Roman" w:hAnsi="Times New Roman" w:cs="Times New Roman"/>
          <w:sz w:val="24"/>
          <w:szCs w:val="24"/>
        </w:rPr>
        <w:t xml:space="preserve">The certification on land </w:t>
      </w:r>
      <w:r w:rsidR="007E388D" w:rsidRPr="00574A31">
        <w:rPr>
          <w:rFonts w:ascii="Times New Roman" w:hAnsi="Times New Roman" w:cs="Times New Roman"/>
          <w:sz w:val="24"/>
          <w:szCs w:val="24"/>
        </w:rPr>
        <w:t xml:space="preserve">towards </w:t>
      </w:r>
      <w:r w:rsidR="009B58B6" w:rsidRPr="00574A31">
        <w:rPr>
          <w:rFonts w:ascii="Times New Roman" w:hAnsi="Times New Roman" w:cs="Times New Roman"/>
          <w:sz w:val="24"/>
          <w:szCs w:val="24"/>
        </w:rPr>
        <w:t xml:space="preserve">those who are previously did not have </w:t>
      </w:r>
      <w:r w:rsidR="007E388D" w:rsidRPr="00574A31">
        <w:rPr>
          <w:rFonts w:ascii="Times New Roman" w:hAnsi="Times New Roman" w:cs="Times New Roman"/>
          <w:sz w:val="24"/>
          <w:szCs w:val="24"/>
        </w:rPr>
        <w:t xml:space="preserve">one </w:t>
      </w:r>
      <w:r w:rsidR="009B58B6" w:rsidRPr="00574A31">
        <w:rPr>
          <w:rFonts w:ascii="Times New Roman" w:hAnsi="Times New Roman" w:cs="Times New Roman"/>
          <w:sz w:val="24"/>
          <w:szCs w:val="24"/>
        </w:rPr>
        <w:t xml:space="preserve">and </w:t>
      </w:r>
      <w:r w:rsidR="007E388D" w:rsidRPr="00574A31">
        <w:rPr>
          <w:rFonts w:ascii="Times New Roman" w:hAnsi="Times New Roman" w:cs="Times New Roman"/>
          <w:sz w:val="24"/>
          <w:szCs w:val="24"/>
        </w:rPr>
        <w:t xml:space="preserve">who </w:t>
      </w:r>
      <w:r w:rsidR="009B58B6" w:rsidRPr="00574A31">
        <w:rPr>
          <w:rFonts w:ascii="Times New Roman" w:hAnsi="Times New Roman" w:cs="Times New Roman"/>
          <w:sz w:val="24"/>
          <w:szCs w:val="24"/>
        </w:rPr>
        <w:t xml:space="preserve">are not a legal subject </w:t>
      </w:r>
      <w:r w:rsidRPr="00574A31">
        <w:rPr>
          <w:rFonts w:ascii="Times New Roman" w:hAnsi="Times New Roman" w:cs="Times New Roman"/>
          <w:sz w:val="24"/>
          <w:szCs w:val="24"/>
        </w:rPr>
        <w:t>is certainly</w:t>
      </w:r>
      <w:r w:rsidR="007E388D" w:rsidRPr="00574A31">
        <w:rPr>
          <w:rFonts w:ascii="Times New Roman" w:hAnsi="Times New Roman" w:cs="Times New Roman"/>
          <w:sz w:val="24"/>
          <w:szCs w:val="24"/>
        </w:rPr>
        <w:t xml:space="preserve"> fundamental</w:t>
      </w:r>
      <w:r w:rsidRPr="00574A31">
        <w:rPr>
          <w:rFonts w:ascii="Times New Roman" w:hAnsi="Times New Roman" w:cs="Times New Roman"/>
          <w:sz w:val="24"/>
          <w:szCs w:val="24"/>
        </w:rPr>
        <w:t xml:space="preserve">. This set </w:t>
      </w:r>
      <w:r w:rsidR="007E388D" w:rsidRPr="00574A31">
        <w:rPr>
          <w:rFonts w:ascii="Times New Roman" w:hAnsi="Times New Roman" w:cs="Times New Roman"/>
          <w:sz w:val="24"/>
          <w:szCs w:val="24"/>
        </w:rPr>
        <w:t xml:space="preserve">the </w:t>
      </w:r>
      <w:r w:rsidRPr="00574A31">
        <w:rPr>
          <w:rFonts w:ascii="Times New Roman" w:hAnsi="Times New Roman" w:cs="Times New Roman"/>
          <w:sz w:val="24"/>
          <w:szCs w:val="24"/>
        </w:rPr>
        <w:t>rights to access and t</w:t>
      </w:r>
      <w:r w:rsidR="00027C32">
        <w:rPr>
          <w:rFonts w:ascii="Times New Roman" w:hAnsi="Times New Roman" w:cs="Times New Roman"/>
          <w:sz w:val="24"/>
          <w:szCs w:val="24"/>
        </w:rPr>
        <w:t>o participate in public service</w:t>
      </w:r>
      <w:r w:rsidRPr="00574A31">
        <w:rPr>
          <w:rFonts w:ascii="Times New Roman" w:hAnsi="Times New Roman" w:cs="Times New Roman"/>
          <w:sz w:val="24"/>
          <w:szCs w:val="24"/>
        </w:rPr>
        <w:t xml:space="preserve">s. </w:t>
      </w:r>
      <w:r w:rsidR="007E388D" w:rsidRPr="00574A31">
        <w:rPr>
          <w:rFonts w:ascii="Times New Roman" w:hAnsi="Times New Roman" w:cs="Times New Roman"/>
          <w:sz w:val="24"/>
          <w:szCs w:val="24"/>
        </w:rPr>
        <w:t xml:space="preserve">The holder has a legal basis for the welfare creation –thus poverty eradication. </w:t>
      </w:r>
      <w:r w:rsidRPr="00574A31">
        <w:rPr>
          <w:rFonts w:ascii="Times New Roman" w:hAnsi="Times New Roman" w:cs="Times New Roman"/>
          <w:sz w:val="24"/>
          <w:szCs w:val="24"/>
        </w:rPr>
        <w:t xml:space="preserve">Especially in rural areas and in </w:t>
      </w:r>
      <w:r w:rsidR="00027C32">
        <w:rPr>
          <w:rFonts w:ascii="Times New Roman" w:hAnsi="Times New Roman" w:cs="Times New Roman"/>
          <w:sz w:val="24"/>
          <w:szCs w:val="24"/>
        </w:rPr>
        <w:t xml:space="preserve">an </w:t>
      </w:r>
      <w:r w:rsidRPr="00574A31">
        <w:rPr>
          <w:rFonts w:ascii="Times New Roman" w:hAnsi="Times New Roman" w:cs="Times New Roman"/>
          <w:sz w:val="24"/>
          <w:szCs w:val="24"/>
        </w:rPr>
        <w:t>area</w:t>
      </w:r>
      <w:r w:rsidR="00027C32">
        <w:rPr>
          <w:rFonts w:ascii="Times New Roman" w:hAnsi="Times New Roman" w:cs="Times New Roman"/>
          <w:sz w:val="24"/>
          <w:szCs w:val="24"/>
        </w:rPr>
        <w:t xml:space="preserve"> of biodiversity</w:t>
      </w:r>
      <w:r w:rsidRPr="00574A31">
        <w:rPr>
          <w:rFonts w:ascii="Times New Roman" w:hAnsi="Times New Roman" w:cs="Times New Roman"/>
          <w:sz w:val="24"/>
          <w:szCs w:val="24"/>
        </w:rPr>
        <w:t xml:space="preserve">, the holder can further access to input service. They can have input necessary for agriculture-agro ecology-ecosystem-based livelihood.  </w:t>
      </w:r>
    </w:p>
    <w:p w14:paraId="22051814" w14:textId="77777777" w:rsidR="00760911" w:rsidRPr="00574A31" w:rsidRDefault="00760911" w:rsidP="00760911">
      <w:pPr>
        <w:spacing w:after="0" w:line="240" w:lineRule="auto"/>
        <w:jc w:val="both"/>
        <w:rPr>
          <w:rFonts w:ascii="Times New Roman" w:hAnsi="Times New Roman" w:cs="Times New Roman"/>
          <w:sz w:val="24"/>
          <w:szCs w:val="24"/>
        </w:rPr>
      </w:pPr>
    </w:p>
    <w:p w14:paraId="05B92B41" w14:textId="6759781B" w:rsidR="00760911" w:rsidRPr="00574A31" w:rsidRDefault="00760911" w:rsidP="006E3718">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i/>
          <w:sz w:val="24"/>
          <w:szCs w:val="24"/>
        </w:rPr>
        <w:t>Third</w:t>
      </w:r>
      <w:r w:rsidRPr="00574A31">
        <w:rPr>
          <w:rFonts w:ascii="Times New Roman" w:hAnsi="Times New Roman" w:cs="Times New Roman"/>
          <w:sz w:val="24"/>
          <w:szCs w:val="24"/>
        </w:rPr>
        <w:t xml:space="preserve">, a </w:t>
      </w:r>
      <w:r w:rsidR="009B58B6" w:rsidRPr="00574A31">
        <w:rPr>
          <w:rFonts w:ascii="Times New Roman" w:hAnsi="Times New Roman" w:cs="Times New Roman"/>
          <w:sz w:val="24"/>
          <w:szCs w:val="24"/>
        </w:rPr>
        <w:t>recognition norm and legal regime is necessary for the state (:government) to guarantee the rights of her citize</w:t>
      </w:r>
      <w:r w:rsidRPr="00574A31">
        <w:rPr>
          <w:rFonts w:ascii="Times New Roman" w:hAnsi="Times New Roman" w:cs="Times New Roman"/>
          <w:sz w:val="24"/>
          <w:szCs w:val="24"/>
        </w:rPr>
        <w:t>ns, including communities, and</w:t>
      </w:r>
      <w:r w:rsidR="009B58B6" w:rsidRPr="00574A31">
        <w:rPr>
          <w:rFonts w:ascii="Times New Roman" w:hAnsi="Times New Roman" w:cs="Times New Roman"/>
          <w:sz w:val="24"/>
          <w:szCs w:val="24"/>
        </w:rPr>
        <w:t xml:space="preserve"> to create a long-term mapping of land allocation and utilisation</w:t>
      </w:r>
      <w:r w:rsidR="007E388D" w:rsidRPr="00574A31">
        <w:rPr>
          <w:rFonts w:ascii="Times New Roman" w:hAnsi="Times New Roman" w:cs="Times New Roman"/>
          <w:sz w:val="24"/>
          <w:szCs w:val="24"/>
        </w:rPr>
        <w:t>. The ever increasing</w:t>
      </w:r>
      <w:r w:rsidRPr="00574A31">
        <w:rPr>
          <w:rFonts w:ascii="Times New Roman" w:hAnsi="Times New Roman" w:cs="Times New Roman"/>
          <w:sz w:val="24"/>
          <w:szCs w:val="24"/>
        </w:rPr>
        <w:t xml:space="preserve"> fierce competition </w:t>
      </w:r>
      <w:r w:rsidR="007E388D" w:rsidRPr="00574A31">
        <w:rPr>
          <w:rFonts w:ascii="Times New Roman" w:hAnsi="Times New Roman" w:cs="Times New Roman"/>
          <w:sz w:val="24"/>
          <w:szCs w:val="24"/>
        </w:rPr>
        <w:t xml:space="preserve">on </w:t>
      </w:r>
      <w:r w:rsidRPr="00574A31">
        <w:rPr>
          <w:rFonts w:ascii="Times New Roman" w:hAnsi="Times New Roman" w:cs="Times New Roman"/>
          <w:sz w:val="24"/>
          <w:szCs w:val="24"/>
        </w:rPr>
        <w:t>land and natural resources could displace, and in fact, already</w:t>
      </w:r>
      <w:r w:rsidR="007E388D" w:rsidRPr="00574A31">
        <w:rPr>
          <w:rFonts w:ascii="Times New Roman" w:hAnsi="Times New Roman" w:cs="Times New Roman"/>
          <w:sz w:val="24"/>
          <w:szCs w:val="24"/>
        </w:rPr>
        <w:t xml:space="preserve"> invariably displaced </w:t>
      </w:r>
      <w:r w:rsidRPr="00574A31">
        <w:rPr>
          <w:rFonts w:ascii="Times New Roman" w:hAnsi="Times New Roman" w:cs="Times New Roman"/>
          <w:sz w:val="24"/>
          <w:szCs w:val="24"/>
        </w:rPr>
        <w:t>traditional communities. The weak or the absence long-term mapping could lead into fake certification, multiple cer</w:t>
      </w:r>
      <w:r w:rsidR="00027C32">
        <w:rPr>
          <w:rFonts w:ascii="Times New Roman" w:hAnsi="Times New Roman" w:cs="Times New Roman"/>
          <w:sz w:val="24"/>
          <w:szCs w:val="24"/>
        </w:rPr>
        <w:t>ti</w:t>
      </w:r>
      <w:r w:rsidRPr="00574A31">
        <w:rPr>
          <w:rFonts w:ascii="Times New Roman" w:hAnsi="Times New Roman" w:cs="Times New Roman"/>
          <w:sz w:val="24"/>
          <w:szCs w:val="24"/>
        </w:rPr>
        <w:t xml:space="preserve">fication, black market of land titling. In the long run, the long term-mapping on land can decide how much welfare could be assured. </w:t>
      </w:r>
      <w:r w:rsidR="007E388D" w:rsidRPr="00574A31">
        <w:rPr>
          <w:rFonts w:ascii="Times New Roman" w:hAnsi="Times New Roman" w:cs="Times New Roman"/>
          <w:sz w:val="24"/>
          <w:szCs w:val="24"/>
        </w:rPr>
        <w:t xml:space="preserve">The long term mapping on whole tenure system will set a standard on which way the security of tenure is to be linked with welfare creation –thus poverty eradication.  </w:t>
      </w:r>
    </w:p>
    <w:p w14:paraId="77C6617F" w14:textId="77777777" w:rsidR="00760911" w:rsidRPr="00574A31" w:rsidRDefault="00760911" w:rsidP="00760911">
      <w:pPr>
        <w:spacing w:after="0" w:line="240" w:lineRule="auto"/>
        <w:jc w:val="both"/>
        <w:rPr>
          <w:rFonts w:ascii="Times New Roman" w:hAnsi="Times New Roman" w:cs="Times New Roman"/>
          <w:sz w:val="24"/>
          <w:szCs w:val="24"/>
        </w:rPr>
      </w:pPr>
    </w:p>
    <w:p w14:paraId="7C909042" w14:textId="77777777" w:rsidR="007E388D" w:rsidRPr="00574A31" w:rsidRDefault="007E388D" w:rsidP="00760911">
      <w:pPr>
        <w:spacing w:after="0" w:line="240" w:lineRule="auto"/>
        <w:jc w:val="both"/>
        <w:rPr>
          <w:rFonts w:ascii="Times New Roman" w:hAnsi="Times New Roman" w:cs="Times New Roman"/>
          <w:sz w:val="24"/>
          <w:szCs w:val="24"/>
        </w:rPr>
      </w:pPr>
    </w:p>
    <w:p w14:paraId="2BBD0214" w14:textId="212D5B0D" w:rsidR="00760911" w:rsidRPr="00574A31" w:rsidRDefault="008C556F" w:rsidP="00760911">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 xml:space="preserve">Recommendation </w:t>
      </w:r>
    </w:p>
    <w:p w14:paraId="01820B09" w14:textId="6A60220B" w:rsidR="00760911" w:rsidRPr="00574A31" w:rsidRDefault="007E388D" w:rsidP="00914FDB">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 xml:space="preserve">Tenure and commons </w:t>
      </w:r>
    </w:p>
    <w:p w14:paraId="4C1217B8" w14:textId="58ACF314" w:rsidR="00D77A68" w:rsidRPr="00574A31" w:rsidRDefault="007E388D" w:rsidP="005111B7">
      <w:pPr>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The certification-type on </w:t>
      </w:r>
      <w:r w:rsidR="00D77A68" w:rsidRPr="00574A31">
        <w:rPr>
          <w:rFonts w:ascii="Times New Roman" w:hAnsi="Times New Roman" w:cs="Times New Roman"/>
          <w:sz w:val="24"/>
          <w:szCs w:val="24"/>
        </w:rPr>
        <w:t xml:space="preserve">land titling </w:t>
      </w:r>
      <w:r w:rsidRPr="00574A31">
        <w:rPr>
          <w:rFonts w:ascii="Times New Roman" w:hAnsi="Times New Roman" w:cs="Times New Roman"/>
          <w:sz w:val="24"/>
          <w:szCs w:val="24"/>
        </w:rPr>
        <w:t xml:space="preserve">could inform how the wider process of </w:t>
      </w:r>
      <w:r w:rsidR="00D77A68" w:rsidRPr="00574A31">
        <w:rPr>
          <w:rFonts w:ascii="Times New Roman" w:hAnsi="Times New Roman" w:cs="Times New Roman"/>
          <w:sz w:val="24"/>
          <w:szCs w:val="24"/>
        </w:rPr>
        <w:t>secure tenure should further develop, among other: The certifi</w:t>
      </w:r>
      <w:r w:rsidR="00027C32">
        <w:rPr>
          <w:rFonts w:ascii="Times New Roman" w:hAnsi="Times New Roman" w:cs="Times New Roman"/>
          <w:sz w:val="24"/>
          <w:szCs w:val="24"/>
        </w:rPr>
        <w:t>c</w:t>
      </w:r>
      <w:r w:rsidR="00D77A68" w:rsidRPr="00574A31">
        <w:rPr>
          <w:rFonts w:ascii="Times New Roman" w:hAnsi="Times New Roman" w:cs="Times New Roman"/>
          <w:sz w:val="24"/>
          <w:szCs w:val="24"/>
        </w:rPr>
        <w:t>ation could carry the risk that the certificate is treated as panacea to the chaotic land allocation and utilisation. The natural resource-relation</w:t>
      </w:r>
      <w:r w:rsidR="00027C32">
        <w:rPr>
          <w:rFonts w:ascii="Times New Roman" w:hAnsi="Times New Roman" w:cs="Times New Roman"/>
          <w:sz w:val="24"/>
          <w:szCs w:val="24"/>
        </w:rPr>
        <w:t xml:space="preserve"> </w:t>
      </w:r>
      <w:r w:rsidR="00D77A68" w:rsidRPr="00574A31">
        <w:rPr>
          <w:rFonts w:ascii="Times New Roman" w:hAnsi="Times New Roman" w:cs="Times New Roman"/>
          <w:sz w:val="24"/>
          <w:szCs w:val="24"/>
        </w:rPr>
        <w:t>and economic imbalance could create a fragmented land titling –thus, creating unsecure and unprotected land tenure</w:t>
      </w:r>
      <w:r w:rsidR="00027C32">
        <w:rPr>
          <w:rFonts w:ascii="Times New Roman" w:hAnsi="Times New Roman" w:cs="Times New Roman"/>
          <w:sz w:val="24"/>
          <w:szCs w:val="24"/>
        </w:rPr>
        <w:t xml:space="preserve"> for middle-low income earners and small holders. The fragmentation</w:t>
      </w:r>
      <w:r w:rsidR="00D77A68" w:rsidRPr="00574A31">
        <w:rPr>
          <w:rFonts w:ascii="Times New Roman" w:hAnsi="Times New Roman" w:cs="Times New Roman"/>
          <w:sz w:val="24"/>
          <w:szCs w:val="24"/>
        </w:rPr>
        <w:t xml:space="preserve"> could be </w:t>
      </w:r>
      <w:r w:rsidR="00027C32">
        <w:rPr>
          <w:rFonts w:ascii="Times New Roman" w:hAnsi="Times New Roman" w:cs="Times New Roman"/>
          <w:sz w:val="24"/>
          <w:szCs w:val="24"/>
        </w:rPr>
        <w:t xml:space="preserve">caused by and </w:t>
      </w:r>
      <w:r w:rsidR="00D77A68" w:rsidRPr="00574A31">
        <w:rPr>
          <w:rFonts w:ascii="Times New Roman" w:hAnsi="Times New Roman" w:cs="Times New Roman"/>
          <w:sz w:val="24"/>
          <w:szCs w:val="24"/>
        </w:rPr>
        <w:t xml:space="preserve">in form of ventures of new extractive economy projects, new state mega projects, and urban-mega projects. Those can easily override existing security of tenure. </w:t>
      </w:r>
    </w:p>
    <w:p w14:paraId="767FAE61" w14:textId="77777777" w:rsidR="00D77A68" w:rsidRPr="00574A31" w:rsidRDefault="00D77A68" w:rsidP="005111B7">
      <w:pPr>
        <w:spacing w:after="0" w:line="240" w:lineRule="auto"/>
        <w:ind w:left="567"/>
        <w:jc w:val="both"/>
        <w:rPr>
          <w:rFonts w:ascii="Times New Roman" w:hAnsi="Times New Roman" w:cs="Times New Roman"/>
          <w:sz w:val="24"/>
          <w:szCs w:val="24"/>
        </w:rPr>
      </w:pPr>
    </w:p>
    <w:p w14:paraId="10CA5510" w14:textId="5ADA6173" w:rsidR="00D77A68" w:rsidRPr="00574A31" w:rsidRDefault="00D77A68" w:rsidP="005111B7">
      <w:pPr>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The security of tenure, thus, need to be developed into se</w:t>
      </w:r>
      <w:r w:rsidR="00027C32">
        <w:rPr>
          <w:rFonts w:ascii="Times New Roman" w:hAnsi="Times New Roman" w:cs="Times New Roman"/>
          <w:sz w:val="24"/>
          <w:szCs w:val="24"/>
        </w:rPr>
        <w:t>veral forms and projected reachings</w:t>
      </w:r>
      <w:r w:rsidRPr="00574A31">
        <w:rPr>
          <w:rFonts w:ascii="Times New Roman" w:hAnsi="Times New Roman" w:cs="Times New Roman"/>
          <w:sz w:val="24"/>
          <w:szCs w:val="24"/>
        </w:rPr>
        <w:t>. The study of “commons”</w:t>
      </w:r>
      <w:r w:rsidR="005111B7" w:rsidRPr="00574A31">
        <w:rPr>
          <w:rStyle w:val="FootnoteReference"/>
          <w:rFonts w:ascii="Times New Roman" w:hAnsi="Times New Roman" w:cs="Times New Roman"/>
          <w:sz w:val="24"/>
          <w:szCs w:val="24"/>
        </w:rPr>
        <w:footnoteReference w:id="6"/>
      </w:r>
      <w:r w:rsidRPr="00574A31">
        <w:rPr>
          <w:rFonts w:ascii="Times New Roman" w:hAnsi="Times New Roman" w:cs="Times New Roman"/>
          <w:sz w:val="24"/>
          <w:szCs w:val="24"/>
        </w:rPr>
        <w:t>, among other, set a type of security of tenure adopted by norm and policy regime of a state</w:t>
      </w:r>
      <w:r w:rsidR="00027C32">
        <w:rPr>
          <w:rFonts w:ascii="Times New Roman" w:hAnsi="Times New Roman" w:cs="Times New Roman"/>
          <w:sz w:val="24"/>
          <w:szCs w:val="24"/>
        </w:rPr>
        <w:t xml:space="preserve"> where community living ecosystem, together and as community, and enjoy and managing the ecosystem together and as community. </w:t>
      </w:r>
      <w:r w:rsidRPr="00574A31">
        <w:rPr>
          <w:rFonts w:ascii="Times New Roman" w:hAnsi="Times New Roman" w:cs="Times New Roman"/>
          <w:sz w:val="24"/>
          <w:szCs w:val="24"/>
        </w:rPr>
        <w:t xml:space="preserve">The recognition of communal and indigenous land, such as the SNP </w:t>
      </w:r>
      <w:r w:rsidR="00966576">
        <w:rPr>
          <w:rFonts w:ascii="Times New Roman" w:hAnsi="Times New Roman" w:cs="Times New Roman"/>
          <w:sz w:val="24"/>
          <w:szCs w:val="24"/>
        </w:rPr>
        <w:t xml:space="preserve">(para. 7) </w:t>
      </w:r>
      <w:r w:rsidRPr="00574A31">
        <w:rPr>
          <w:rFonts w:ascii="Times New Roman" w:hAnsi="Times New Roman" w:cs="Times New Roman"/>
          <w:sz w:val="24"/>
          <w:szCs w:val="24"/>
        </w:rPr>
        <w:t>and UNDROP draws could develop a further, un-fragmented security of tenure. T</w:t>
      </w:r>
      <w:r w:rsidR="005111B7" w:rsidRPr="00574A31">
        <w:rPr>
          <w:rFonts w:ascii="Times New Roman" w:hAnsi="Times New Roman" w:cs="Times New Roman"/>
          <w:sz w:val="24"/>
          <w:szCs w:val="24"/>
        </w:rPr>
        <w:t xml:space="preserve">he common-type and common-basis could complement the certification type, and even, could reach further process of ensuring security of land tenure for low- and middle-income, and rural communities. The common also directly contribute to </w:t>
      </w:r>
      <w:r w:rsidR="00027C32">
        <w:rPr>
          <w:rFonts w:ascii="Times New Roman" w:hAnsi="Times New Roman" w:cs="Times New Roman"/>
          <w:sz w:val="24"/>
          <w:szCs w:val="24"/>
        </w:rPr>
        <w:t xml:space="preserve">the development </w:t>
      </w:r>
      <w:r w:rsidR="005111B7" w:rsidRPr="00574A31">
        <w:rPr>
          <w:rFonts w:ascii="Times New Roman" w:hAnsi="Times New Roman" w:cs="Times New Roman"/>
          <w:sz w:val="24"/>
          <w:szCs w:val="24"/>
        </w:rPr>
        <w:t xml:space="preserve">of long term mapping on land tenure. </w:t>
      </w:r>
    </w:p>
    <w:p w14:paraId="0EBA3B4F" w14:textId="77777777" w:rsidR="005111B7" w:rsidRPr="00574A31" w:rsidRDefault="005111B7" w:rsidP="005111B7">
      <w:pPr>
        <w:spacing w:after="0" w:line="240" w:lineRule="auto"/>
        <w:ind w:left="567"/>
        <w:jc w:val="both"/>
        <w:rPr>
          <w:rFonts w:ascii="Times New Roman" w:hAnsi="Times New Roman" w:cs="Times New Roman"/>
          <w:sz w:val="24"/>
          <w:szCs w:val="24"/>
        </w:rPr>
      </w:pPr>
    </w:p>
    <w:p w14:paraId="76A2AD16" w14:textId="77777777" w:rsidR="007E388D" w:rsidRPr="00574A31" w:rsidRDefault="007E388D" w:rsidP="007E388D">
      <w:pPr>
        <w:spacing w:after="0" w:line="240" w:lineRule="auto"/>
        <w:jc w:val="both"/>
        <w:rPr>
          <w:rFonts w:ascii="Times New Roman" w:hAnsi="Times New Roman" w:cs="Times New Roman"/>
          <w:sz w:val="24"/>
          <w:szCs w:val="24"/>
        </w:rPr>
      </w:pPr>
    </w:p>
    <w:p w14:paraId="3B8D84C0" w14:textId="77777777" w:rsidR="007E388D" w:rsidRPr="00574A31" w:rsidRDefault="007E388D" w:rsidP="007E388D">
      <w:pPr>
        <w:spacing w:after="0" w:line="240" w:lineRule="auto"/>
        <w:jc w:val="both"/>
        <w:rPr>
          <w:rFonts w:ascii="Times New Roman" w:hAnsi="Times New Roman" w:cs="Times New Roman"/>
          <w:sz w:val="24"/>
          <w:szCs w:val="24"/>
        </w:rPr>
      </w:pPr>
    </w:p>
    <w:p w14:paraId="40E18C9A" w14:textId="1FDF697A" w:rsidR="005508B9" w:rsidRPr="00574A31" w:rsidRDefault="007B1AC6" w:rsidP="00914FDB">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T</w:t>
      </w:r>
      <w:r w:rsidR="00FD34F1" w:rsidRPr="00574A31">
        <w:rPr>
          <w:rFonts w:ascii="Times New Roman" w:hAnsi="Times New Roman" w:cs="Times New Roman"/>
          <w:sz w:val="24"/>
          <w:szCs w:val="24"/>
        </w:rPr>
        <w:t>enure</w:t>
      </w:r>
      <w:r w:rsidRPr="00574A31">
        <w:rPr>
          <w:rFonts w:ascii="Times New Roman" w:hAnsi="Times New Roman" w:cs="Times New Roman"/>
          <w:sz w:val="24"/>
          <w:szCs w:val="24"/>
        </w:rPr>
        <w:t xml:space="preserve"> and welfare </w:t>
      </w:r>
      <w:r w:rsidR="00FD34F1" w:rsidRPr="00574A31">
        <w:rPr>
          <w:rFonts w:ascii="Times New Roman" w:hAnsi="Times New Roman" w:cs="Times New Roman"/>
          <w:sz w:val="24"/>
          <w:szCs w:val="24"/>
        </w:rPr>
        <w:t xml:space="preserve"> </w:t>
      </w:r>
    </w:p>
    <w:p w14:paraId="75918E26" w14:textId="77777777" w:rsidR="00F73512" w:rsidRPr="00574A31" w:rsidRDefault="005111B7" w:rsidP="00F73512">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There is a challenge on how to be better to link and to internalise security of tenure to welfare creation, both state-provided welfare and self/community-based welfare. </w:t>
      </w:r>
      <w:r w:rsidR="00F73512" w:rsidRPr="00574A31">
        <w:rPr>
          <w:rFonts w:ascii="Times New Roman" w:hAnsi="Times New Roman" w:cs="Times New Roman"/>
          <w:sz w:val="24"/>
          <w:szCs w:val="24"/>
        </w:rPr>
        <w:t xml:space="preserve">Clearly, the poverty reduction will ask a stable outcome of this linkage and internalisation. The welfare, on this matter, will be access and participation into the making of it based on land tenure (as in the Goal 1.1. of the SDGs). </w:t>
      </w:r>
    </w:p>
    <w:p w14:paraId="6A3AB652" w14:textId="77777777" w:rsidR="00F73512" w:rsidRPr="00574A31" w:rsidRDefault="00F73512" w:rsidP="00F73512">
      <w:pPr>
        <w:pStyle w:val="ListParagraph"/>
        <w:spacing w:after="0" w:line="240" w:lineRule="auto"/>
        <w:ind w:left="567"/>
        <w:jc w:val="both"/>
        <w:rPr>
          <w:rFonts w:ascii="Times New Roman" w:hAnsi="Times New Roman" w:cs="Times New Roman"/>
          <w:sz w:val="24"/>
          <w:szCs w:val="24"/>
        </w:rPr>
      </w:pPr>
    </w:p>
    <w:p w14:paraId="60583568" w14:textId="77777777" w:rsidR="007B1AC6" w:rsidRPr="00574A31" w:rsidRDefault="00F73512" w:rsidP="007B1AC6">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The increasing security of land tenure, both in terms of number, of target unit, and of </w:t>
      </w:r>
      <w:r w:rsidR="00FD34F1" w:rsidRPr="00574A31">
        <w:rPr>
          <w:rFonts w:ascii="Times New Roman" w:hAnsi="Times New Roman" w:cs="Times New Roman"/>
          <w:sz w:val="24"/>
          <w:szCs w:val="24"/>
        </w:rPr>
        <w:t xml:space="preserve">type of aggregation should be put into </w:t>
      </w:r>
      <w:r w:rsidR="007B1AC6" w:rsidRPr="00574A31">
        <w:rPr>
          <w:rFonts w:ascii="Times New Roman" w:hAnsi="Times New Roman" w:cs="Times New Roman"/>
          <w:sz w:val="24"/>
          <w:szCs w:val="24"/>
        </w:rPr>
        <w:t xml:space="preserve">the </w:t>
      </w:r>
      <w:r w:rsidR="00FD34F1" w:rsidRPr="00574A31">
        <w:rPr>
          <w:rFonts w:ascii="Times New Roman" w:hAnsi="Times New Roman" w:cs="Times New Roman"/>
          <w:sz w:val="24"/>
          <w:szCs w:val="24"/>
        </w:rPr>
        <w:t xml:space="preserve">supply in welfare-making when government measure </w:t>
      </w:r>
      <w:r w:rsidR="007B1AC6" w:rsidRPr="00574A31">
        <w:rPr>
          <w:rFonts w:ascii="Times New Roman" w:hAnsi="Times New Roman" w:cs="Times New Roman"/>
          <w:sz w:val="24"/>
          <w:szCs w:val="24"/>
        </w:rPr>
        <w:t xml:space="preserve">and develop a </w:t>
      </w:r>
      <w:r w:rsidR="00FD34F1" w:rsidRPr="00574A31">
        <w:rPr>
          <w:rFonts w:ascii="Times New Roman" w:hAnsi="Times New Roman" w:cs="Times New Roman"/>
          <w:sz w:val="24"/>
          <w:szCs w:val="24"/>
        </w:rPr>
        <w:t>poverty eradication</w:t>
      </w:r>
      <w:r w:rsidR="007B1AC6" w:rsidRPr="00574A31">
        <w:rPr>
          <w:rFonts w:ascii="Times New Roman" w:hAnsi="Times New Roman" w:cs="Times New Roman"/>
          <w:sz w:val="24"/>
          <w:szCs w:val="24"/>
        </w:rPr>
        <w:t xml:space="preserve"> process</w:t>
      </w:r>
      <w:r w:rsidR="00FD34F1" w:rsidRPr="00574A31">
        <w:rPr>
          <w:rFonts w:ascii="Times New Roman" w:hAnsi="Times New Roman" w:cs="Times New Roman"/>
          <w:sz w:val="24"/>
          <w:szCs w:val="24"/>
        </w:rPr>
        <w:t xml:space="preserve">. The security of land tenure will allow a necessary access for the holder and for the commons to access services, input, and </w:t>
      </w:r>
      <w:r w:rsidR="007B1AC6" w:rsidRPr="00574A31">
        <w:rPr>
          <w:rFonts w:ascii="Times New Roman" w:hAnsi="Times New Roman" w:cs="Times New Roman"/>
          <w:sz w:val="24"/>
          <w:szCs w:val="24"/>
        </w:rPr>
        <w:t xml:space="preserve">living standards. The holder and the common also can make the welfare already enjoyed into modified and combined welfare which suits to their situation.  </w:t>
      </w:r>
      <w:r w:rsidR="00FD34F1" w:rsidRPr="00574A31">
        <w:rPr>
          <w:rFonts w:ascii="Times New Roman" w:hAnsi="Times New Roman" w:cs="Times New Roman"/>
          <w:sz w:val="24"/>
          <w:szCs w:val="24"/>
        </w:rPr>
        <w:t xml:space="preserve"> </w:t>
      </w:r>
    </w:p>
    <w:p w14:paraId="0123DE16" w14:textId="77777777" w:rsidR="007B1AC6" w:rsidRPr="00574A31" w:rsidRDefault="007B1AC6" w:rsidP="007B1AC6">
      <w:pPr>
        <w:pStyle w:val="ListParagraph"/>
        <w:spacing w:after="0" w:line="240" w:lineRule="auto"/>
        <w:ind w:left="567"/>
        <w:jc w:val="both"/>
        <w:rPr>
          <w:rFonts w:ascii="Times New Roman" w:hAnsi="Times New Roman" w:cs="Times New Roman"/>
          <w:sz w:val="24"/>
          <w:szCs w:val="24"/>
        </w:rPr>
      </w:pPr>
    </w:p>
    <w:p w14:paraId="6FA73463" w14:textId="083CA56F" w:rsidR="007B1AC6" w:rsidRPr="00574A31" w:rsidRDefault="007B1AC6" w:rsidP="007B1AC6">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The increasing security of land tenure will enable the state to improve long-term mapping on land tenure, and thus, will enable them to project a long term improvement on security of land tenure, and on the service they will provide for citizens.</w:t>
      </w:r>
    </w:p>
    <w:p w14:paraId="39831706" w14:textId="77777777" w:rsidR="005111B7" w:rsidRPr="00574A31" w:rsidRDefault="005111B7" w:rsidP="005111B7">
      <w:pPr>
        <w:pStyle w:val="ListParagraph"/>
        <w:spacing w:after="0" w:line="240" w:lineRule="auto"/>
        <w:ind w:left="567"/>
        <w:jc w:val="both"/>
        <w:rPr>
          <w:rFonts w:ascii="Times New Roman" w:hAnsi="Times New Roman" w:cs="Times New Roman"/>
          <w:sz w:val="24"/>
          <w:szCs w:val="24"/>
        </w:rPr>
      </w:pPr>
    </w:p>
    <w:p w14:paraId="16300549" w14:textId="5AC5793F" w:rsidR="007B1AC6" w:rsidRPr="00574A31" w:rsidRDefault="00FD34F1" w:rsidP="005508B9">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Participation</w:t>
      </w:r>
      <w:r w:rsidR="007B1AC6" w:rsidRPr="00574A31">
        <w:rPr>
          <w:rFonts w:ascii="Times New Roman" w:hAnsi="Times New Roman" w:cs="Times New Roman"/>
          <w:sz w:val="24"/>
          <w:szCs w:val="24"/>
        </w:rPr>
        <w:t xml:space="preserve"> and welfare </w:t>
      </w:r>
      <w:r w:rsidRPr="00574A31">
        <w:rPr>
          <w:rFonts w:ascii="Times New Roman" w:hAnsi="Times New Roman" w:cs="Times New Roman"/>
          <w:sz w:val="24"/>
          <w:szCs w:val="24"/>
        </w:rPr>
        <w:t xml:space="preserve"> </w:t>
      </w:r>
    </w:p>
    <w:p w14:paraId="579140D8" w14:textId="12443094" w:rsidR="006A4F10" w:rsidRPr="00574A31" w:rsidRDefault="007B1AC6" w:rsidP="006A4F10">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It is acutely in awareness that fragmentation of land tenure is often the case then an organised one. The linkages of security of land tenure and welfare will serve as a point of negotiation. </w:t>
      </w:r>
      <w:r w:rsidR="006A4F10" w:rsidRPr="00574A31">
        <w:rPr>
          <w:rFonts w:ascii="Times New Roman" w:hAnsi="Times New Roman" w:cs="Times New Roman"/>
          <w:sz w:val="24"/>
          <w:szCs w:val="24"/>
        </w:rPr>
        <w:t xml:space="preserve">The citizen, mainly the holder and the commons will negotiate the type of tenure and the welfare which come out it this tenure. The negotiation will improve this linkage. The holder and the commons are participating directly into the welfare they legitimately need to have. </w:t>
      </w:r>
    </w:p>
    <w:p w14:paraId="26D74DAC" w14:textId="77777777" w:rsidR="007B1AC6" w:rsidRPr="00574A31" w:rsidRDefault="007B1AC6" w:rsidP="005508B9">
      <w:pPr>
        <w:spacing w:after="0" w:line="240" w:lineRule="auto"/>
        <w:jc w:val="both"/>
        <w:rPr>
          <w:rFonts w:ascii="Times New Roman" w:hAnsi="Times New Roman" w:cs="Times New Roman"/>
          <w:sz w:val="24"/>
          <w:szCs w:val="24"/>
        </w:rPr>
      </w:pPr>
    </w:p>
    <w:p w14:paraId="5666B86D" w14:textId="77777777" w:rsidR="007B1AC6" w:rsidRPr="00574A31" w:rsidRDefault="007B1AC6" w:rsidP="005508B9">
      <w:pPr>
        <w:spacing w:after="0" w:line="240" w:lineRule="auto"/>
        <w:jc w:val="both"/>
        <w:rPr>
          <w:rFonts w:ascii="Times New Roman" w:hAnsi="Times New Roman" w:cs="Times New Roman"/>
          <w:sz w:val="24"/>
          <w:szCs w:val="24"/>
        </w:rPr>
      </w:pPr>
    </w:p>
    <w:p w14:paraId="79FD356C" w14:textId="7B71CB4E" w:rsidR="008C556F" w:rsidRPr="00574A31" w:rsidRDefault="00492EA5" w:rsidP="008C556F">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 xml:space="preserve">Archipelago-based </w:t>
      </w:r>
      <w:r w:rsidR="008C556F" w:rsidRPr="00574A31">
        <w:rPr>
          <w:rFonts w:ascii="Times New Roman" w:hAnsi="Times New Roman" w:cs="Times New Roman"/>
          <w:sz w:val="24"/>
          <w:szCs w:val="24"/>
        </w:rPr>
        <w:t>welfare-making</w:t>
      </w:r>
    </w:p>
    <w:p w14:paraId="187C51A5" w14:textId="49E33CB9" w:rsidR="00492EA5" w:rsidRPr="00574A31" w:rsidRDefault="008C556F" w:rsidP="00492EA5">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This input will not go into very vast studies and practices on welfare-making. Yet, </w:t>
      </w:r>
      <w:r w:rsidR="00492EA5" w:rsidRPr="00574A31">
        <w:rPr>
          <w:rFonts w:ascii="Times New Roman" w:hAnsi="Times New Roman" w:cs="Times New Roman"/>
          <w:sz w:val="24"/>
          <w:szCs w:val="24"/>
        </w:rPr>
        <w:t xml:space="preserve">a note </w:t>
      </w:r>
      <w:r w:rsidRPr="00574A31">
        <w:rPr>
          <w:rFonts w:ascii="Times New Roman" w:hAnsi="Times New Roman" w:cs="Times New Roman"/>
          <w:sz w:val="24"/>
          <w:szCs w:val="24"/>
        </w:rPr>
        <w:t xml:space="preserve">will be put just </w:t>
      </w:r>
      <w:r w:rsidR="00492EA5" w:rsidRPr="00574A31">
        <w:rPr>
          <w:rFonts w:ascii="Times New Roman" w:hAnsi="Times New Roman" w:cs="Times New Roman"/>
          <w:sz w:val="24"/>
          <w:szCs w:val="24"/>
        </w:rPr>
        <w:t xml:space="preserve">on the archipelagic </w:t>
      </w:r>
      <w:r w:rsidRPr="00574A31">
        <w:rPr>
          <w:rFonts w:ascii="Times New Roman" w:hAnsi="Times New Roman" w:cs="Times New Roman"/>
          <w:sz w:val="24"/>
          <w:szCs w:val="24"/>
        </w:rPr>
        <w:t xml:space="preserve">context. </w:t>
      </w:r>
    </w:p>
    <w:p w14:paraId="2BEEFCC5" w14:textId="77777777" w:rsidR="00492EA5" w:rsidRPr="00574A31" w:rsidRDefault="00492EA5" w:rsidP="008C556F">
      <w:pPr>
        <w:pStyle w:val="ListParagraph"/>
        <w:spacing w:after="0" w:line="240" w:lineRule="auto"/>
        <w:ind w:left="567"/>
        <w:jc w:val="both"/>
        <w:rPr>
          <w:rFonts w:ascii="Times New Roman" w:hAnsi="Times New Roman" w:cs="Times New Roman"/>
          <w:sz w:val="24"/>
          <w:szCs w:val="24"/>
        </w:rPr>
      </w:pPr>
    </w:p>
    <w:p w14:paraId="28D412A1" w14:textId="4EF11FCD" w:rsidR="00386A98" w:rsidRPr="00574A31" w:rsidRDefault="008C556F" w:rsidP="00386A98">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 xml:space="preserve">For Indonesia, and for archipelagic </w:t>
      </w:r>
      <w:r w:rsidR="00492EA5" w:rsidRPr="00574A31">
        <w:rPr>
          <w:rFonts w:ascii="Times New Roman" w:hAnsi="Times New Roman" w:cs="Times New Roman"/>
          <w:sz w:val="24"/>
          <w:szCs w:val="24"/>
        </w:rPr>
        <w:t>states, the land tenur</w:t>
      </w:r>
      <w:r w:rsidR="00966576">
        <w:rPr>
          <w:rFonts w:ascii="Times New Roman" w:hAnsi="Times New Roman" w:cs="Times New Roman"/>
          <w:sz w:val="24"/>
          <w:szCs w:val="24"/>
        </w:rPr>
        <w:t>e and welfare-making is directly</w:t>
      </w:r>
      <w:r w:rsidR="00492EA5" w:rsidRPr="00574A31">
        <w:rPr>
          <w:rFonts w:ascii="Times New Roman" w:hAnsi="Times New Roman" w:cs="Times New Roman"/>
          <w:sz w:val="24"/>
          <w:szCs w:val="24"/>
        </w:rPr>
        <w:t xml:space="preserve"> linked to the maritime reality. The linkage of security of land tenure and welfare will be developed differently. Some characteristics of maritime communities, such as climate-dependent welfare, higher and farther movement, islands natural resources which mix with tenured-land will be important to be internalised into the linkage. </w:t>
      </w:r>
      <w:r w:rsidR="00386A98" w:rsidRPr="00574A31">
        <w:rPr>
          <w:rFonts w:ascii="Times New Roman" w:hAnsi="Times New Roman" w:cs="Times New Roman"/>
          <w:sz w:val="24"/>
          <w:szCs w:val="24"/>
        </w:rPr>
        <w:t>T</w:t>
      </w:r>
      <w:r w:rsidR="00966576">
        <w:rPr>
          <w:rFonts w:ascii="Times New Roman" w:hAnsi="Times New Roman" w:cs="Times New Roman"/>
          <w:sz w:val="24"/>
          <w:szCs w:val="24"/>
        </w:rPr>
        <w:t>he commons-type welfare, with a</w:t>
      </w:r>
      <w:r w:rsidR="00386A98" w:rsidRPr="00574A31">
        <w:rPr>
          <w:rFonts w:ascii="Times New Roman" w:hAnsi="Times New Roman" w:cs="Times New Roman"/>
          <w:sz w:val="24"/>
          <w:szCs w:val="24"/>
        </w:rPr>
        <w:t xml:space="preserve">symmetric components between one </w:t>
      </w:r>
      <w:r w:rsidR="00966576">
        <w:rPr>
          <w:rFonts w:ascii="Times New Roman" w:hAnsi="Times New Roman" w:cs="Times New Roman"/>
          <w:sz w:val="24"/>
          <w:szCs w:val="24"/>
        </w:rPr>
        <w:t>to the other</w:t>
      </w:r>
      <w:r w:rsidR="00386A98" w:rsidRPr="00574A31">
        <w:rPr>
          <w:rFonts w:ascii="Times New Roman" w:hAnsi="Times New Roman" w:cs="Times New Roman"/>
          <w:sz w:val="24"/>
          <w:szCs w:val="24"/>
        </w:rPr>
        <w:t xml:space="preserve">, is worth to be developed.  </w:t>
      </w:r>
    </w:p>
    <w:p w14:paraId="403B4DD3" w14:textId="77777777" w:rsidR="007B1AC6" w:rsidRPr="00574A31" w:rsidRDefault="007B1AC6" w:rsidP="007B1AC6">
      <w:pPr>
        <w:spacing w:after="0" w:line="240" w:lineRule="auto"/>
        <w:jc w:val="both"/>
        <w:rPr>
          <w:rFonts w:ascii="Times New Roman" w:hAnsi="Times New Roman" w:cs="Times New Roman"/>
          <w:sz w:val="24"/>
          <w:szCs w:val="24"/>
        </w:rPr>
      </w:pPr>
    </w:p>
    <w:p w14:paraId="67736E77" w14:textId="77777777" w:rsidR="00492EA5" w:rsidRPr="00574A31" w:rsidRDefault="00492EA5" w:rsidP="007B1AC6">
      <w:pPr>
        <w:spacing w:after="0" w:line="240" w:lineRule="auto"/>
        <w:jc w:val="both"/>
        <w:rPr>
          <w:rFonts w:ascii="Times New Roman" w:hAnsi="Times New Roman" w:cs="Times New Roman"/>
          <w:sz w:val="24"/>
          <w:szCs w:val="24"/>
        </w:rPr>
      </w:pPr>
    </w:p>
    <w:p w14:paraId="7AFFAB42" w14:textId="51ADDC39" w:rsidR="00492EA5" w:rsidRPr="00574A31" w:rsidRDefault="00FA2963" w:rsidP="007B1AC6">
      <w:pPr>
        <w:spacing w:after="0" w:line="240" w:lineRule="auto"/>
        <w:jc w:val="both"/>
        <w:rPr>
          <w:rFonts w:ascii="Times New Roman" w:hAnsi="Times New Roman" w:cs="Times New Roman"/>
          <w:sz w:val="24"/>
          <w:szCs w:val="24"/>
        </w:rPr>
      </w:pPr>
      <w:r w:rsidRPr="00574A31">
        <w:rPr>
          <w:rFonts w:ascii="Times New Roman" w:hAnsi="Times New Roman" w:cs="Times New Roman"/>
          <w:sz w:val="24"/>
          <w:szCs w:val="24"/>
        </w:rPr>
        <w:t>Concluding n</w:t>
      </w:r>
      <w:r w:rsidR="00492EA5" w:rsidRPr="00574A31">
        <w:rPr>
          <w:rFonts w:ascii="Times New Roman" w:hAnsi="Times New Roman" w:cs="Times New Roman"/>
          <w:sz w:val="24"/>
          <w:szCs w:val="24"/>
        </w:rPr>
        <w:t xml:space="preserve">otes </w:t>
      </w:r>
    </w:p>
    <w:p w14:paraId="5C7DFCE0" w14:textId="676932B6" w:rsidR="00FA2963" w:rsidRPr="00574A31" w:rsidRDefault="00492EA5" w:rsidP="00FA2963">
      <w:pPr>
        <w:pStyle w:val="ListParagraph"/>
        <w:numPr>
          <w:ilvl w:val="0"/>
          <w:numId w:val="2"/>
        </w:numPr>
        <w:spacing w:after="0" w:line="240" w:lineRule="auto"/>
        <w:ind w:left="567" w:hanging="567"/>
        <w:jc w:val="both"/>
        <w:rPr>
          <w:rFonts w:ascii="Times New Roman" w:hAnsi="Times New Roman" w:cs="Times New Roman"/>
          <w:sz w:val="24"/>
          <w:szCs w:val="24"/>
        </w:rPr>
      </w:pPr>
      <w:r w:rsidRPr="00574A31">
        <w:rPr>
          <w:rFonts w:ascii="Times New Roman" w:hAnsi="Times New Roman" w:cs="Times New Roman"/>
          <w:sz w:val="24"/>
          <w:szCs w:val="24"/>
        </w:rPr>
        <w:t xml:space="preserve">As probably the works of Elinor Ostrom and the report of UN Special Rapporteur on Right to Food of “final report: the transformative potential of the right to food” (2014) shows the development of framework of linkage of tenure and welfare is necessary. </w:t>
      </w:r>
      <w:r w:rsidR="00FA2963" w:rsidRPr="00574A31">
        <w:rPr>
          <w:rFonts w:ascii="Times New Roman" w:hAnsi="Times New Roman" w:cs="Times New Roman"/>
          <w:sz w:val="24"/>
          <w:szCs w:val="24"/>
        </w:rPr>
        <w:t xml:space="preserve">Those works repeatedly posited the imperative of this framework as basic component in norm and policy regime. At the same time, a vast references </w:t>
      </w:r>
      <w:r w:rsidR="00FA2963" w:rsidRPr="00574A31">
        <w:rPr>
          <w:rFonts w:ascii="Times New Roman" w:hAnsi="Times New Roman" w:cs="Times New Roman"/>
          <w:sz w:val="24"/>
          <w:szCs w:val="24"/>
        </w:rPr>
        <w:lastRenderedPageBreak/>
        <w:t>and literature on land tenure is not translated into a policy creation pursuing the security of land tenure-based welfare. Conflict involved and fierce competition t</w:t>
      </w:r>
      <w:r w:rsidR="00966576">
        <w:rPr>
          <w:rFonts w:ascii="Times New Roman" w:hAnsi="Times New Roman" w:cs="Times New Roman"/>
          <w:sz w:val="24"/>
          <w:szCs w:val="24"/>
        </w:rPr>
        <w:t>owards land perhaps spooked poli</w:t>
      </w:r>
      <w:r w:rsidR="00FA2963" w:rsidRPr="00574A31">
        <w:rPr>
          <w:rFonts w:ascii="Times New Roman" w:hAnsi="Times New Roman" w:cs="Times New Roman"/>
          <w:sz w:val="24"/>
          <w:szCs w:val="24"/>
        </w:rPr>
        <w:t xml:space="preserve">cy-makers as to where they can keep the consistency between the policy and the outcome they so dearly intend to have. </w:t>
      </w:r>
    </w:p>
    <w:p w14:paraId="6EFF79ED" w14:textId="77777777" w:rsidR="00FA2963" w:rsidRPr="00574A31" w:rsidRDefault="00FA2963" w:rsidP="00FA2963">
      <w:pPr>
        <w:pStyle w:val="ListParagraph"/>
        <w:spacing w:after="0" w:line="240" w:lineRule="auto"/>
        <w:ind w:left="567"/>
        <w:jc w:val="both"/>
        <w:rPr>
          <w:rFonts w:ascii="Times New Roman" w:hAnsi="Times New Roman" w:cs="Times New Roman"/>
          <w:sz w:val="24"/>
          <w:szCs w:val="24"/>
        </w:rPr>
      </w:pPr>
    </w:p>
    <w:p w14:paraId="59F57913" w14:textId="072EDA3A" w:rsidR="00FA2963" w:rsidRPr="00574A31" w:rsidRDefault="00FA2963" w:rsidP="00FA2963">
      <w:pPr>
        <w:pStyle w:val="ListParagraph"/>
        <w:spacing w:after="0" w:line="240" w:lineRule="auto"/>
        <w:ind w:left="567"/>
        <w:jc w:val="both"/>
        <w:rPr>
          <w:rFonts w:ascii="Times New Roman" w:hAnsi="Times New Roman" w:cs="Times New Roman"/>
          <w:sz w:val="24"/>
          <w:szCs w:val="24"/>
        </w:rPr>
      </w:pPr>
      <w:r w:rsidRPr="00574A31">
        <w:rPr>
          <w:rFonts w:ascii="Times New Roman" w:hAnsi="Times New Roman" w:cs="Times New Roman"/>
          <w:sz w:val="24"/>
          <w:szCs w:val="24"/>
        </w:rPr>
        <w:t>The value is this input will not be a proposal for a new framework</w:t>
      </w:r>
      <w:r w:rsidR="001227C6">
        <w:rPr>
          <w:rFonts w:ascii="Times New Roman" w:hAnsi="Times New Roman" w:cs="Times New Roman"/>
          <w:sz w:val="24"/>
          <w:szCs w:val="24"/>
        </w:rPr>
        <w:t xml:space="preserve">, or a derivation of mathematic framework; </w:t>
      </w:r>
      <w:r w:rsidRPr="00574A31">
        <w:rPr>
          <w:rFonts w:ascii="Times New Roman" w:hAnsi="Times New Roman" w:cs="Times New Roman"/>
          <w:sz w:val="24"/>
          <w:szCs w:val="24"/>
        </w:rPr>
        <w:t xml:space="preserve">but, a further effort, both as policy and conceptual exercise, to </w:t>
      </w:r>
      <w:r w:rsidR="00386A98" w:rsidRPr="00574A31">
        <w:rPr>
          <w:rFonts w:ascii="Times New Roman" w:hAnsi="Times New Roman" w:cs="Times New Roman"/>
          <w:sz w:val="24"/>
          <w:szCs w:val="24"/>
        </w:rPr>
        <w:t xml:space="preserve">link and to mutually internalise between security of land tenure and welfare in achieving goals in SDGs and </w:t>
      </w:r>
      <w:r w:rsidR="005C2800" w:rsidRPr="00574A31">
        <w:rPr>
          <w:rFonts w:ascii="Times New Roman" w:hAnsi="Times New Roman" w:cs="Times New Roman"/>
          <w:sz w:val="24"/>
          <w:szCs w:val="24"/>
        </w:rPr>
        <w:t xml:space="preserve">in developing </w:t>
      </w:r>
      <w:r w:rsidR="00386A98" w:rsidRPr="00574A31">
        <w:rPr>
          <w:rFonts w:ascii="Times New Roman" w:hAnsi="Times New Roman" w:cs="Times New Roman"/>
          <w:sz w:val="24"/>
          <w:szCs w:val="24"/>
        </w:rPr>
        <w:t>human rights standard.</w:t>
      </w:r>
      <w:r w:rsidR="004F5EF3">
        <w:rPr>
          <w:rFonts w:ascii="Times New Roman" w:hAnsi="Times New Roman" w:cs="Times New Roman"/>
          <w:sz w:val="24"/>
          <w:szCs w:val="24"/>
        </w:rPr>
        <w:t xml:space="preserve"> The best practices and collaboration among governments, communities, and academia will be important to transform this linkage into achievement in poverty reduction. </w:t>
      </w:r>
    </w:p>
    <w:p w14:paraId="63DA2420" w14:textId="77777777" w:rsidR="00386A98" w:rsidRPr="00574A31" w:rsidRDefault="00386A98" w:rsidP="00386A98">
      <w:pPr>
        <w:spacing w:after="0" w:line="240" w:lineRule="auto"/>
        <w:jc w:val="both"/>
        <w:rPr>
          <w:rFonts w:ascii="Times New Roman" w:hAnsi="Times New Roman" w:cs="Times New Roman"/>
          <w:sz w:val="24"/>
          <w:szCs w:val="24"/>
        </w:rPr>
      </w:pPr>
    </w:p>
    <w:p w14:paraId="6B8D3978" w14:textId="77777777" w:rsidR="005C2800" w:rsidRPr="00574A31" w:rsidRDefault="005C2800" w:rsidP="00386A98">
      <w:pPr>
        <w:spacing w:after="0" w:line="240" w:lineRule="auto"/>
        <w:jc w:val="both"/>
        <w:rPr>
          <w:rFonts w:ascii="Times New Roman" w:hAnsi="Times New Roman" w:cs="Times New Roman"/>
          <w:sz w:val="24"/>
          <w:szCs w:val="24"/>
        </w:rPr>
      </w:pPr>
    </w:p>
    <w:p w14:paraId="0540F3F4" w14:textId="76A8D122" w:rsidR="007039E2" w:rsidRPr="00574A31" w:rsidRDefault="007039E2"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________________________________________________________________</w:t>
      </w:r>
    </w:p>
    <w:p w14:paraId="2B020041" w14:textId="77777777" w:rsidR="007039E2" w:rsidRPr="00574A31" w:rsidRDefault="007039E2" w:rsidP="00EC191D">
      <w:pPr>
        <w:spacing w:after="0" w:line="240" w:lineRule="auto"/>
        <w:rPr>
          <w:rFonts w:ascii="Times New Roman" w:hAnsi="Times New Roman" w:cs="Times New Roman"/>
          <w:sz w:val="24"/>
          <w:szCs w:val="24"/>
        </w:rPr>
      </w:pPr>
    </w:p>
    <w:p w14:paraId="3D993EA6" w14:textId="77777777" w:rsidR="008C556F" w:rsidRPr="00574A31" w:rsidRDefault="008C556F" w:rsidP="00EC191D">
      <w:pPr>
        <w:spacing w:after="0" w:line="240" w:lineRule="auto"/>
        <w:rPr>
          <w:rFonts w:ascii="Times New Roman" w:hAnsi="Times New Roman" w:cs="Times New Roman"/>
          <w:sz w:val="24"/>
          <w:szCs w:val="24"/>
        </w:rPr>
      </w:pPr>
    </w:p>
    <w:p w14:paraId="31B40BB3" w14:textId="104C99FE" w:rsidR="007039E2" w:rsidRPr="00574A31" w:rsidRDefault="007039E2"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 xml:space="preserve">Apintlaw (Associated Program for International law) </w:t>
      </w:r>
    </w:p>
    <w:p w14:paraId="15C68F3B" w14:textId="77777777" w:rsidR="007039E2" w:rsidRPr="00574A31" w:rsidRDefault="007039E2" w:rsidP="00EC191D">
      <w:pPr>
        <w:spacing w:after="0" w:line="240" w:lineRule="auto"/>
        <w:ind w:right="662"/>
        <w:rPr>
          <w:rFonts w:ascii="Times New Roman" w:hAnsi="Times New Roman" w:cs="Times New Roman"/>
          <w:sz w:val="24"/>
          <w:szCs w:val="24"/>
        </w:rPr>
      </w:pPr>
      <w:r w:rsidRPr="00574A31">
        <w:rPr>
          <w:rFonts w:ascii="Times New Roman" w:hAnsi="Times New Roman" w:cs="Times New Roman"/>
          <w:sz w:val="24"/>
          <w:szCs w:val="24"/>
        </w:rPr>
        <w:t xml:space="preserve">https://apintlaw.info </w:t>
      </w:r>
    </w:p>
    <w:p w14:paraId="03E8D1D5" w14:textId="47B925ED" w:rsidR="007039E2" w:rsidRPr="00574A31" w:rsidRDefault="008C556F" w:rsidP="00EC191D">
      <w:pPr>
        <w:spacing w:after="0" w:line="240" w:lineRule="auto"/>
        <w:rPr>
          <w:rFonts w:ascii="Times New Roman" w:hAnsi="Times New Roman" w:cs="Times New Roman"/>
          <w:sz w:val="24"/>
          <w:szCs w:val="24"/>
        </w:rPr>
      </w:pPr>
      <w:r w:rsidRPr="00574A31">
        <w:rPr>
          <w:rFonts w:ascii="Times New Roman" w:hAnsi="Times New Roman" w:cs="Times New Roman"/>
          <w:sz w:val="24"/>
          <w:szCs w:val="24"/>
        </w:rPr>
        <w:t>henrythomas@apintlaw.inifo</w:t>
      </w:r>
    </w:p>
    <w:p w14:paraId="528A2F53" w14:textId="1A4659D9" w:rsidR="004C0FE1" w:rsidRPr="00574A31" w:rsidRDefault="004C0FE1" w:rsidP="00EC191D">
      <w:pPr>
        <w:spacing w:after="0" w:line="240" w:lineRule="auto"/>
        <w:rPr>
          <w:rFonts w:ascii="Times New Roman" w:hAnsi="Times New Roman" w:cs="Times New Roman"/>
          <w:sz w:val="24"/>
          <w:szCs w:val="24"/>
        </w:rPr>
      </w:pPr>
    </w:p>
    <w:p w14:paraId="17F19361" w14:textId="29AFB6E6" w:rsidR="004C0FE1" w:rsidRPr="00574A31" w:rsidRDefault="004C0FE1" w:rsidP="00EC191D">
      <w:pPr>
        <w:spacing w:after="0" w:line="240" w:lineRule="auto"/>
        <w:rPr>
          <w:rFonts w:ascii="Times New Roman" w:hAnsi="Times New Roman" w:cs="Times New Roman"/>
          <w:sz w:val="24"/>
          <w:szCs w:val="24"/>
        </w:rPr>
      </w:pPr>
    </w:p>
    <w:p w14:paraId="5508540B" w14:textId="3B8D1691" w:rsidR="004C0FE1" w:rsidRPr="00574A31" w:rsidRDefault="004C0FE1" w:rsidP="00EC191D">
      <w:pPr>
        <w:spacing w:after="0" w:line="240" w:lineRule="auto"/>
        <w:rPr>
          <w:rFonts w:ascii="Times New Roman" w:hAnsi="Times New Roman" w:cs="Times New Roman"/>
          <w:sz w:val="24"/>
          <w:szCs w:val="24"/>
        </w:rPr>
      </w:pPr>
    </w:p>
    <w:p w14:paraId="2EA79A15" w14:textId="6ECEF68F" w:rsidR="004C0FE1" w:rsidRPr="00574A31" w:rsidRDefault="004C0FE1" w:rsidP="00EC191D">
      <w:pPr>
        <w:spacing w:after="0" w:line="240" w:lineRule="auto"/>
        <w:rPr>
          <w:rFonts w:ascii="Times New Roman" w:hAnsi="Times New Roman" w:cs="Times New Roman"/>
          <w:sz w:val="24"/>
          <w:szCs w:val="24"/>
        </w:rPr>
      </w:pPr>
    </w:p>
    <w:p w14:paraId="14D5D179" w14:textId="69D1DCCE" w:rsidR="004C0FE1" w:rsidRPr="00574A31" w:rsidRDefault="004C0FE1" w:rsidP="00EC191D">
      <w:pPr>
        <w:spacing w:after="0" w:line="240" w:lineRule="auto"/>
        <w:rPr>
          <w:rFonts w:ascii="Times New Roman" w:hAnsi="Times New Roman" w:cs="Times New Roman"/>
          <w:sz w:val="24"/>
          <w:szCs w:val="24"/>
        </w:rPr>
      </w:pPr>
    </w:p>
    <w:p w14:paraId="3310C079" w14:textId="24B4C28B" w:rsidR="004C0FE1" w:rsidRPr="00574A31" w:rsidRDefault="004C0FE1" w:rsidP="00EC191D">
      <w:pPr>
        <w:spacing w:after="0" w:line="240" w:lineRule="auto"/>
        <w:rPr>
          <w:rFonts w:ascii="Times New Roman" w:hAnsi="Times New Roman" w:cs="Times New Roman"/>
          <w:sz w:val="24"/>
          <w:szCs w:val="24"/>
        </w:rPr>
      </w:pPr>
    </w:p>
    <w:p w14:paraId="45980724" w14:textId="7456D634" w:rsidR="004C0FE1" w:rsidRPr="00574A31" w:rsidRDefault="004C0FE1" w:rsidP="00EC191D">
      <w:pPr>
        <w:spacing w:after="0" w:line="240" w:lineRule="auto"/>
        <w:rPr>
          <w:rFonts w:ascii="Times New Roman" w:hAnsi="Times New Roman" w:cs="Times New Roman"/>
          <w:sz w:val="24"/>
          <w:szCs w:val="24"/>
        </w:rPr>
      </w:pPr>
    </w:p>
    <w:p w14:paraId="426478D5" w14:textId="237C6B9B" w:rsidR="004C0FE1" w:rsidRPr="00574A31" w:rsidRDefault="004C0FE1" w:rsidP="00EC191D">
      <w:pPr>
        <w:spacing w:after="0" w:line="240" w:lineRule="auto"/>
        <w:rPr>
          <w:rFonts w:ascii="Times New Roman" w:hAnsi="Times New Roman" w:cs="Times New Roman"/>
          <w:sz w:val="24"/>
          <w:szCs w:val="24"/>
        </w:rPr>
      </w:pPr>
    </w:p>
    <w:p w14:paraId="7738E62F" w14:textId="77777777" w:rsidR="004C0FE1" w:rsidRPr="00574A31" w:rsidRDefault="004C0FE1" w:rsidP="00EC191D">
      <w:pPr>
        <w:spacing w:after="0" w:line="240" w:lineRule="auto"/>
        <w:rPr>
          <w:rFonts w:ascii="Times New Roman" w:hAnsi="Times New Roman" w:cs="Times New Roman"/>
          <w:sz w:val="24"/>
          <w:szCs w:val="24"/>
        </w:rPr>
      </w:pPr>
    </w:p>
    <w:sectPr w:rsidR="004C0FE1" w:rsidRPr="00574A31" w:rsidSect="004761B8">
      <w:footerReference w:type="default" r:id="rId10"/>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ED806" w14:textId="77777777" w:rsidR="001870DD" w:rsidRDefault="001870DD" w:rsidP="00BE16CC">
      <w:pPr>
        <w:spacing w:after="0" w:line="240" w:lineRule="auto"/>
      </w:pPr>
      <w:r>
        <w:separator/>
      </w:r>
    </w:p>
  </w:endnote>
  <w:endnote w:type="continuationSeparator" w:id="0">
    <w:p w14:paraId="6F9B3F89" w14:textId="77777777" w:rsidR="001870DD" w:rsidRDefault="001870DD" w:rsidP="00BE1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8089050"/>
      <w:docPartObj>
        <w:docPartGallery w:val="Page Numbers (Bottom of Page)"/>
        <w:docPartUnique/>
      </w:docPartObj>
    </w:sdtPr>
    <w:sdtEndPr/>
    <w:sdtContent>
      <w:p w14:paraId="161D8759" w14:textId="374952E9" w:rsidR="00BE16CC" w:rsidRDefault="00BE16CC">
        <w:pPr>
          <w:pStyle w:val="Footer"/>
          <w:jc w:val="right"/>
        </w:pPr>
        <w:r>
          <w:fldChar w:fldCharType="begin"/>
        </w:r>
        <w:r>
          <w:instrText xml:space="preserve"> PAGE   \* MERGEFORMAT </w:instrText>
        </w:r>
        <w:r>
          <w:fldChar w:fldCharType="separate"/>
        </w:r>
        <w:r w:rsidR="001870DD">
          <w:t>1</w:t>
        </w:r>
        <w:r>
          <w:fldChar w:fldCharType="end"/>
        </w:r>
      </w:p>
    </w:sdtContent>
  </w:sdt>
  <w:p w14:paraId="441499B3" w14:textId="77777777" w:rsidR="00BE16CC" w:rsidRDefault="00BE1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BDACA" w14:textId="77777777" w:rsidR="001870DD" w:rsidRDefault="001870DD" w:rsidP="00BE16CC">
      <w:pPr>
        <w:spacing w:after="0" w:line="240" w:lineRule="auto"/>
      </w:pPr>
      <w:r>
        <w:separator/>
      </w:r>
    </w:p>
  </w:footnote>
  <w:footnote w:type="continuationSeparator" w:id="0">
    <w:p w14:paraId="782A1C25" w14:textId="77777777" w:rsidR="001870DD" w:rsidRDefault="001870DD" w:rsidP="00BE16CC">
      <w:pPr>
        <w:spacing w:after="0" w:line="240" w:lineRule="auto"/>
      </w:pPr>
      <w:r>
        <w:continuationSeparator/>
      </w:r>
    </w:p>
  </w:footnote>
  <w:footnote w:id="1">
    <w:p w14:paraId="237249AE" w14:textId="09359117" w:rsidR="001F0191" w:rsidRPr="001F0191" w:rsidRDefault="001F0191">
      <w:pPr>
        <w:pStyle w:val="FootnoteText"/>
        <w:rPr>
          <w:lang w:val="en-US"/>
        </w:rPr>
      </w:pPr>
      <w:r>
        <w:rPr>
          <w:rStyle w:val="FootnoteReference"/>
        </w:rPr>
        <w:footnoteRef/>
      </w:r>
      <w:r>
        <w:t xml:space="preserve"> </w:t>
      </w:r>
      <w:r w:rsidRPr="001F0191">
        <w:t>https://www.presidenri.go.id/siaran-pers/presiden-jokowi-serahkan-15-juta-sertifikat-hak-atas-tanah/</w:t>
      </w:r>
    </w:p>
  </w:footnote>
  <w:footnote w:id="2">
    <w:p w14:paraId="69C83C11" w14:textId="7C8A01C2" w:rsidR="001F0191" w:rsidRPr="001F0191" w:rsidRDefault="001F0191">
      <w:pPr>
        <w:pStyle w:val="FootnoteText"/>
        <w:rPr>
          <w:lang w:val="en-US"/>
        </w:rPr>
      </w:pPr>
      <w:r>
        <w:rPr>
          <w:rStyle w:val="FootnoteReference"/>
        </w:rPr>
        <w:footnoteRef/>
      </w:r>
      <w:r>
        <w:t xml:space="preserve"> </w:t>
      </w:r>
      <w:r w:rsidRPr="001F0191">
        <w:t>https://setkab.go.id/presiden-serahkan-155-juta-sertifikat-tanah-untuk-rakyat/</w:t>
      </w:r>
    </w:p>
  </w:footnote>
  <w:footnote w:id="3">
    <w:p w14:paraId="77B2D779" w14:textId="3A50BB2C" w:rsidR="001F0191" w:rsidRPr="001F0191" w:rsidRDefault="001F0191">
      <w:pPr>
        <w:pStyle w:val="FootnoteText"/>
        <w:rPr>
          <w:lang w:val="en-US"/>
        </w:rPr>
      </w:pPr>
      <w:r>
        <w:rPr>
          <w:rStyle w:val="FootnoteReference"/>
        </w:rPr>
        <w:footnoteRef/>
      </w:r>
      <w:r>
        <w:t xml:space="preserve"> </w:t>
      </w:r>
      <w:r w:rsidRPr="001F0191">
        <w:t>https://www.cnbcindonesia.com/news/20231204154602-4-494397/jokowi-sudah-serahkan-109-juta-sertifikat-tanah-ke-masyarakat</w:t>
      </w:r>
    </w:p>
  </w:footnote>
  <w:footnote w:id="4">
    <w:p w14:paraId="349409B4" w14:textId="50298A56" w:rsidR="001F0191" w:rsidRPr="001F0191" w:rsidRDefault="001F0191">
      <w:pPr>
        <w:pStyle w:val="FootnoteText"/>
        <w:rPr>
          <w:lang w:val="en-US"/>
        </w:rPr>
      </w:pPr>
      <w:r>
        <w:rPr>
          <w:rStyle w:val="FootnoteReference"/>
        </w:rPr>
        <w:footnoteRef/>
      </w:r>
      <w:r>
        <w:t xml:space="preserve"> </w:t>
      </w:r>
      <w:r w:rsidRPr="001F0191">
        <w:t>https://ppid.menlhk.go.id/berita/siaran-pers/7048/dari-balikpapan-presiden-serahkan-sk-perhutanan-sosial-dan-sk-tora-untuk-seluruh-indonesia</w:t>
      </w:r>
    </w:p>
  </w:footnote>
  <w:footnote w:id="5">
    <w:p w14:paraId="2E6DB14E" w14:textId="320B4FC4" w:rsidR="00D9680B" w:rsidRPr="00D9680B" w:rsidRDefault="00D9680B">
      <w:pPr>
        <w:pStyle w:val="FootnoteText"/>
        <w:rPr>
          <w:lang w:val="en-US"/>
        </w:rPr>
      </w:pPr>
      <w:r>
        <w:rPr>
          <w:rStyle w:val="FootnoteReference"/>
        </w:rPr>
        <w:footnoteRef/>
      </w:r>
      <w:r>
        <w:t xml:space="preserve"> </w:t>
      </w:r>
      <w:r w:rsidRPr="00D9680B">
        <w:t>https://www.komnasham.go.id/index.php/peraturan/2022/08/05/39/standar-norma-dan-pengaturan-nomor-7-tentang-hak-asasi-manusia-atas-tanah-dan-sumber-daya-alam.html</w:t>
      </w:r>
    </w:p>
  </w:footnote>
  <w:footnote w:id="6">
    <w:p w14:paraId="095F30A4" w14:textId="06D95757" w:rsidR="005111B7" w:rsidRPr="005111B7" w:rsidRDefault="005111B7" w:rsidP="005111B7">
      <w:pPr>
        <w:pStyle w:val="FootnoteText"/>
        <w:jc w:val="both"/>
        <w:rPr>
          <w:lang w:val="en-US"/>
        </w:rPr>
      </w:pPr>
      <w:r>
        <w:rPr>
          <w:rStyle w:val="FootnoteReference"/>
        </w:rPr>
        <w:footnoteRef/>
      </w:r>
      <w:r>
        <w:t xml:space="preserve"> </w:t>
      </w:r>
      <w:r>
        <w:rPr>
          <w:lang w:val="en-US"/>
        </w:rPr>
        <w:t>The works of Elinor Ostrom. 2009 Nobel Laureate in Economic Science, and the report of the UN Special Rapporteur on R</w:t>
      </w:r>
      <w:r w:rsidR="00966576">
        <w:rPr>
          <w:lang w:val="en-US"/>
        </w:rPr>
        <w:t>i</w:t>
      </w:r>
      <w:r>
        <w:rPr>
          <w:lang w:val="en-US"/>
        </w:rPr>
        <w:t xml:space="preserve">ght to Food “Final Report: The Transformative potential of the right to food”  A/HRC/25/57 (24 January 2014) provide a basis and key takes on commons.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353DB"/>
    <w:multiLevelType w:val="hybridMultilevel"/>
    <w:tmpl w:val="92E4C09C"/>
    <w:lvl w:ilvl="0" w:tplc="81C01E8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EB943FA"/>
    <w:multiLevelType w:val="hybridMultilevel"/>
    <w:tmpl w:val="02E675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13A6BE5"/>
    <w:multiLevelType w:val="hybridMultilevel"/>
    <w:tmpl w:val="19BA54BC"/>
    <w:lvl w:ilvl="0" w:tplc="3809000F">
      <w:start w:val="1"/>
      <w:numFmt w:val="decimal"/>
      <w:lvlText w:val="%1."/>
      <w:lvlJc w:val="left"/>
      <w:pPr>
        <w:ind w:left="709" w:hanging="360"/>
      </w:p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3" w15:restartNumberingAfterBreak="0">
    <w:nsid w:val="5C6D18A6"/>
    <w:multiLevelType w:val="hybridMultilevel"/>
    <w:tmpl w:val="D2B630E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F0D0228"/>
    <w:multiLevelType w:val="hybridMultilevel"/>
    <w:tmpl w:val="B67EABD4"/>
    <w:lvl w:ilvl="0" w:tplc="3809000F">
      <w:start w:val="1"/>
      <w:numFmt w:val="decimal"/>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5" w15:restartNumberingAfterBreak="0">
    <w:nsid w:val="7CFC27B5"/>
    <w:multiLevelType w:val="hybridMultilevel"/>
    <w:tmpl w:val="FFE0D1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988393884">
    <w:abstractNumId w:val="5"/>
  </w:num>
  <w:num w:numId="2" w16cid:durableId="1886215128">
    <w:abstractNumId w:val="3"/>
  </w:num>
  <w:num w:numId="3" w16cid:durableId="232619585">
    <w:abstractNumId w:val="1"/>
  </w:num>
  <w:num w:numId="4" w16cid:durableId="175269953">
    <w:abstractNumId w:val="0"/>
  </w:num>
  <w:num w:numId="5" w16cid:durableId="1123690269">
    <w:abstractNumId w:val="4"/>
  </w:num>
  <w:num w:numId="6" w16cid:durableId="765659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A7A"/>
    <w:rsid w:val="00027C32"/>
    <w:rsid w:val="00030990"/>
    <w:rsid w:val="0005429C"/>
    <w:rsid w:val="00057E3B"/>
    <w:rsid w:val="00073671"/>
    <w:rsid w:val="00081039"/>
    <w:rsid w:val="00094C68"/>
    <w:rsid w:val="000B7F4D"/>
    <w:rsid w:val="000F3F1A"/>
    <w:rsid w:val="001227C6"/>
    <w:rsid w:val="00133FC8"/>
    <w:rsid w:val="00152CAE"/>
    <w:rsid w:val="00153C46"/>
    <w:rsid w:val="001870DD"/>
    <w:rsid w:val="00197C0A"/>
    <w:rsid w:val="001E3A81"/>
    <w:rsid w:val="001F0191"/>
    <w:rsid w:val="00203AA2"/>
    <w:rsid w:val="00244EDF"/>
    <w:rsid w:val="00266208"/>
    <w:rsid w:val="00277A89"/>
    <w:rsid w:val="002C3818"/>
    <w:rsid w:val="002D5E38"/>
    <w:rsid w:val="003074D6"/>
    <w:rsid w:val="00332A41"/>
    <w:rsid w:val="003467B4"/>
    <w:rsid w:val="00373A7A"/>
    <w:rsid w:val="00386A98"/>
    <w:rsid w:val="00392562"/>
    <w:rsid w:val="003B13DB"/>
    <w:rsid w:val="003D7E5D"/>
    <w:rsid w:val="0041659A"/>
    <w:rsid w:val="00427067"/>
    <w:rsid w:val="00460687"/>
    <w:rsid w:val="00462B77"/>
    <w:rsid w:val="00464261"/>
    <w:rsid w:val="0047214E"/>
    <w:rsid w:val="004761B8"/>
    <w:rsid w:val="00483BF8"/>
    <w:rsid w:val="00492EA5"/>
    <w:rsid w:val="004B5DF5"/>
    <w:rsid w:val="004C0FE1"/>
    <w:rsid w:val="004E2CFA"/>
    <w:rsid w:val="004E612B"/>
    <w:rsid w:val="004F5EF3"/>
    <w:rsid w:val="005111B7"/>
    <w:rsid w:val="00512C4D"/>
    <w:rsid w:val="005508B9"/>
    <w:rsid w:val="005522E7"/>
    <w:rsid w:val="0056094A"/>
    <w:rsid w:val="00574A31"/>
    <w:rsid w:val="00576EE2"/>
    <w:rsid w:val="00591055"/>
    <w:rsid w:val="00592B17"/>
    <w:rsid w:val="005C2800"/>
    <w:rsid w:val="005C77C4"/>
    <w:rsid w:val="005D3D95"/>
    <w:rsid w:val="005D3E41"/>
    <w:rsid w:val="005E14DC"/>
    <w:rsid w:val="00656D0D"/>
    <w:rsid w:val="00673E52"/>
    <w:rsid w:val="00682BD2"/>
    <w:rsid w:val="006A4F10"/>
    <w:rsid w:val="006A55DE"/>
    <w:rsid w:val="006C41B7"/>
    <w:rsid w:val="006D39B9"/>
    <w:rsid w:val="007039E2"/>
    <w:rsid w:val="00710C9D"/>
    <w:rsid w:val="00715B84"/>
    <w:rsid w:val="00727CE5"/>
    <w:rsid w:val="00733366"/>
    <w:rsid w:val="00760911"/>
    <w:rsid w:val="00761706"/>
    <w:rsid w:val="007B1AC6"/>
    <w:rsid w:val="007E388D"/>
    <w:rsid w:val="00864145"/>
    <w:rsid w:val="00886BF7"/>
    <w:rsid w:val="008C556F"/>
    <w:rsid w:val="008E0B56"/>
    <w:rsid w:val="00914FDB"/>
    <w:rsid w:val="00920D8F"/>
    <w:rsid w:val="00930F48"/>
    <w:rsid w:val="00946609"/>
    <w:rsid w:val="00966576"/>
    <w:rsid w:val="009868C1"/>
    <w:rsid w:val="009A1AD8"/>
    <w:rsid w:val="009A3C8F"/>
    <w:rsid w:val="009B58B6"/>
    <w:rsid w:val="00A064F8"/>
    <w:rsid w:val="00A96DA8"/>
    <w:rsid w:val="00AB042B"/>
    <w:rsid w:val="00AC2638"/>
    <w:rsid w:val="00AE28EE"/>
    <w:rsid w:val="00B23E04"/>
    <w:rsid w:val="00B439ED"/>
    <w:rsid w:val="00B52C04"/>
    <w:rsid w:val="00B76CF7"/>
    <w:rsid w:val="00B962BE"/>
    <w:rsid w:val="00BE16CC"/>
    <w:rsid w:val="00C72B05"/>
    <w:rsid w:val="00C9303A"/>
    <w:rsid w:val="00CA7963"/>
    <w:rsid w:val="00CE4BE2"/>
    <w:rsid w:val="00CF0852"/>
    <w:rsid w:val="00D25557"/>
    <w:rsid w:val="00D3717F"/>
    <w:rsid w:val="00D53A0D"/>
    <w:rsid w:val="00D70AAF"/>
    <w:rsid w:val="00D76CC8"/>
    <w:rsid w:val="00D77A68"/>
    <w:rsid w:val="00D9680B"/>
    <w:rsid w:val="00DD5349"/>
    <w:rsid w:val="00DF7894"/>
    <w:rsid w:val="00E1113E"/>
    <w:rsid w:val="00E25801"/>
    <w:rsid w:val="00E30743"/>
    <w:rsid w:val="00E400E8"/>
    <w:rsid w:val="00E43DF4"/>
    <w:rsid w:val="00E80A65"/>
    <w:rsid w:val="00E81C68"/>
    <w:rsid w:val="00EC191D"/>
    <w:rsid w:val="00EC4F22"/>
    <w:rsid w:val="00ED4672"/>
    <w:rsid w:val="00EE2AA8"/>
    <w:rsid w:val="00F358E9"/>
    <w:rsid w:val="00F65721"/>
    <w:rsid w:val="00F73512"/>
    <w:rsid w:val="00F87152"/>
    <w:rsid w:val="00F87B94"/>
    <w:rsid w:val="00FA1981"/>
    <w:rsid w:val="00FA2963"/>
    <w:rsid w:val="00FD1136"/>
    <w:rsid w:val="00FD34F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4E29"/>
  <w15:chartTrackingRefBased/>
  <w15:docId w15:val="{2A51F4CF-E36D-4680-AEB8-06628F81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8F"/>
    <w:pPr>
      <w:ind w:left="720"/>
      <w:contextualSpacing/>
    </w:pPr>
  </w:style>
  <w:style w:type="character" w:styleId="Hyperlink">
    <w:name w:val="Hyperlink"/>
    <w:basedOn w:val="DefaultParagraphFont"/>
    <w:uiPriority w:val="99"/>
    <w:unhideWhenUsed/>
    <w:rsid w:val="007039E2"/>
    <w:rPr>
      <w:color w:val="0563C1" w:themeColor="hyperlink"/>
      <w:u w:val="single"/>
    </w:rPr>
  </w:style>
  <w:style w:type="character" w:customStyle="1" w:styleId="UnresolvedMention1">
    <w:name w:val="Unresolved Mention1"/>
    <w:basedOn w:val="DefaultParagraphFont"/>
    <w:uiPriority w:val="99"/>
    <w:semiHidden/>
    <w:unhideWhenUsed/>
    <w:rsid w:val="007039E2"/>
    <w:rPr>
      <w:color w:val="605E5C"/>
      <w:shd w:val="clear" w:color="auto" w:fill="E1DFDD"/>
    </w:rPr>
  </w:style>
  <w:style w:type="paragraph" w:styleId="Header">
    <w:name w:val="header"/>
    <w:basedOn w:val="Normal"/>
    <w:link w:val="HeaderChar"/>
    <w:uiPriority w:val="99"/>
    <w:unhideWhenUsed/>
    <w:rsid w:val="00BE16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6CC"/>
    <w:rPr>
      <w:noProof/>
      <w:lang w:val="en-GB"/>
    </w:rPr>
  </w:style>
  <w:style w:type="paragraph" w:styleId="Footer">
    <w:name w:val="footer"/>
    <w:basedOn w:val="Normal"/>
    <w:link w:val="FooterChar"/>
    <w:uiPriority w:val="99"/>
    <w:unhideWhenUsed/>
    <w:rsid w:val="00BE16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6CC"/>
    <w:rPr>
      <w:noProof/>
      <w:lang w:val="en-GB"/>
    </w:rPr>
  </w:style>
  <w:style w:type="paragraph" w:styleId="FootnoteText">
    <w:name w:val="footnote text"/>
    <w:basedOn w:val="Normal"/>
    <w:link w:val="FootnoteTextChar"/>
    <w:uiPriority w:val="99"/>
    <w:semiHidden/>
    <w:unhideWhenUsed/>
    <w:rsid w:val="001F01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F0191"/>
    <w:rPr>
      <w:noProof/>
      <w:sz w:val="20"/>
      <w:szCs w:val="20"/>
      <w:lang w:val="en-GB"/>
    </w:rPr>
  </w:style>
  <w:style w:type="character" w:styleId="FootnoteReference">
    <w:name w:val="footnote reference"/>
    <w:basedOn w:val="DefaultParagraphFont"/>
    <w:uiPriority w:val="99"/>
    <w:semiHidden/>
    <w:unhideWhenUsed/>
    <w:rsid w:val="001F0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1278">
      <w:bodyDiv w:val="1"/>
      <w:marLeft w:val="0"/>
      <w:marRight w:val="0"/>
      <w:marTop w:val="0"/>
      <w:marBottom w:val="0"/>
      <w:divBdr>
        <w:top w:val="none" w:sz="0" w:space="0" w:color="auto"/>
        <w:left w:val="none" w:sz="0" w:space="0" w:color="auto"/>
        <w:bottom w:val="none" w:sz="0" w:space="0" w:color="auto"/>
        <w:right w:val="none" w:sz="0" w:space="0" w:color="auto"/>
      </w:divBdr>
    </w:div>
    <w:div w:id="491264221">
      <w:bodyDiv w:val="1"/>
      <w:marLeft w:val="0"/>
      <w:marRight w:val="0"/>
      <w:marTop w:val="0"/>
      <w:marBottom w:val="0"/>
      <w:divBdr>
        <w:top w:val="none" w:sz="0" w:space="0" w:color="auto"/>
        <w:left w:val="none" w:sz="0" w:space="0" w:color="auto"/>
        <w:bottom w:val="none" w:sz="0" w:space="0" w:color="auto"/>
        <w:right w:val="none" w:sz="0" w:space="0" w:color="auto"/>
      </w:divBdr>
    </w:div>
    <w:div w:id="1469711741">
      <w:bodyDiv w:val="1"/>
      <w:marLeft w:val="0"/>
      <w:marRight w:val="0"/>
      <w:marTop w:val="0"/>
      <w:marBottom w:val="0"/>
      <w:divBdr>
        <w:top w:val="none" w:sz="0" w:space="0" w:color="auto"/>
        <w:left w:val="none" w:sz="0" w:space="0" w:color="auto"/>
        <w:bottom w:val="none" w:sz="0" w:space="0" w:color="auto"/>
        <w:right w:val="none" w:sz="0" w:space="0" w:color="auto"/>
      </w:divBdr>
    </w:div>
    <w:div w:id="1913853859">
      <w:bodyDiv w:val="1"/>
      <w:marLeft w:val="0"/>
      <w:marRight w:val="0"/>
      <w:marTop w:val="0"/>
      <w:marBottom w:val="0"/>
      <w:divBdr>
        <w:top w:val="none" w:sz="0" w:space="0" w:color="auto"/>
        <w:left w:val="none" w:sz="0" w:space="0" w:color="auto"/>
        <w:bottom w:val="none" w:sz="0" w:space="0" w:color="auto"/>
        <w:right w:val="none" w:sz="0" w:space="0" w:color="auto"/>
      </w:divBdr>
    </w:div>
    <w:div w:id="2005549815">
      <w:bodyDiv w:val="1"/>
      <w:marLeft w:val="0"/>
      <w:marRight w:val="0"/>
      <w:marTop w:val="0"/>
      <w:marBottom w:val="0"/>
      <w:divBdr>
        <w:top w:val="none" w:sz="0" w:space="0" w:color="auto"/>
        <w:left w:val="none" w:sz="0" w:space="0" w:color="auto"/>
        <w:bottom w:val="none" w:sz="0" w:space="0" w:color="auto"/>
        <w:right w:val="none" w:sz="0" w:space="0" w:color="auto"/>
      </w:divBdr>
    </w:div>
    <w:div w:id="2113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hchr.org/en/calls-for-input/2021/call-written-contributions-draft-general-comment-no-26-land-and-economic"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APINTLAW</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D3205D28-4BF8-4DF6-B332-95360EC41436}">
  <ds:schemaRefs>
    <ds:schemaRef ds:uri="http://schemas.openxmlformats.org/officeDocument/2006/bibliography"/>
  </ds:schemaRefs>
</ds:datastoreItem>
</file>

<file path=customXml/itemProps2.xml><?xml version="1.0" encoding="utf-8"?>
<ds:datastoreItem xmlns:ds="http://schemas.openxmlformats.org/officeDocument/2006/customXml" ds:itemID="{DB853F3A-79E4-4AF2-9662-3B0893D29520}"/>
</file>

<file path=customXml/itemProps3.xml><?xml version="1.0" encoding="utf-8"?>
<ds:datastoreItem xmlns:ds="http://schemas.openxmlformats.org/officeDocument/2006/customXml" ds:itemID="{44B38E5B-7E67-4FA3-B4B4-6E7AA76638E1}"/>
</file>

<file path=customXml/itemProps4.xml><?xml version="1.0" encoding="utf-8"?>
<ds:datastoreItem xmlns:ds="http://schemas.openxmlformats.org/officeDocument/2006/customXml" ds:itemID="{1C197668-9E8C-4434-9355-93480B2265A7}"/>
</file>

<file path=docProps/app.xml><?xml version="1.0" encoding="utf-8"?>
<Properties xmlns="http://schemas.openxmlformats.org/officeDocument/2006/extended-properties" xmlns:vt="http://schemas.openxmlformats.org/officeDocument/2006/docPropsVTypes">
  <Template>Normal.dotm</Template>
  <TotalTime>3</TotalTime>
  <Pages>5</Pages>
  <Words>1738</Words>
  <Characters>9912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apintlaw</dc:creator>
  <cp:keywords/>
  <dc:description/>
  <cp:lastModifiedBy>Patricia Varela Benzo</cp:lastModifiedBy>
  <cp:revision>2</cp:revision>
  <dcterms:created xsi:type="dcterms:W3CDTF">2024-01-17T15:26:00Z</dcterms:created>
  <dcterms:modified xsi:type="dcterms:W3CDTF">2024-01-17T15:26:00Z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