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E7FFEE" w14:textId="035EFE38" w:rsidR="00083BF2" w:rsidRPr="004935F0" w:rsidRDefault="00083BF2" w:rsidP="00083BF2">
      <w:pPr>
        <w:spacing w:after="0" w:line="240" w:lineRule="auto"/>
        <w:jc w:val="center"/>
        <w:rPr>
          <w:rFonts w:ascii="Calibri" w:eastAsia="Times New Roman" w:hAnsi="Calibri" w:cs="Calibri"/>
          <w:b/>
          <w:bCs/>
          <w:sz w:val="24"/>
          <w:szCs w:val="24"/>
          <w:lang w:eastAsia="es-ES"/>
        </w:rPr>
      </w:pPr>
      <w:r w:rsidRPr="004935F0">
        <w:rPr>
          <w:rFonts w:ascii="Calibri" w:eastAsia="Times New Roman" w:hAnsi="Calibri" w:cs="Calibri"/>
          <w:b/>
          <w:bCs/>
          <w:sz w:val="24"/>
          <w:szCs w:val="24"/>
          <w:lang w:eastAsia="es-ES"/>
        </w:rPr>
        <w:t>APORTE DE CÁRITA</w:t>
      </w:r>
      <w:r w:rsidR="006F2E8B">
        <w:rPr>
          <w:rFonts w:ascii="Calibri" w:eastAsia="Times New Roman" w:hAnsi="Calibri" w:cs="Calibri"/>
          <w:b/>
          <w:bCs/>
          <w:sz w:val="24"/>
          <w:szCs w:val="24"/>
          <w:lang w:eastAsia="es-ES"/>
        </w:rPr>
        <w:t>S ESPAÑOLA AL INFORME ANUAL 2024</w:t>
      </w:r>
      <w:r w:rsidRPr="004935F0">
        <w:rPr>
          <w:rFonts w:ascii="Calibri" w:eastAsia="Times New Roman" w:hAnsi="Calibri" w:cs="Calibri"/>
          <w:b/>
          <w:bCs/>
          <w:sz w:val="24"/>
          <w:szCs w:val="24"/>
          <w:lang w:eastAsia="es-ES"/>
        </w:rPr>
        <w:t xml:space="preserve"> RELATORÍA ESPECIAL DE NACIONES UNIDAS </w:t>
      </w:r>
      <w:r w:rsidR="006F2E8B">
        <w:rPr>
          <w:rFonts w:ascii="Calibri" w:eastAsia="Times New Roman" w:hAnsi="Calibri" w:cs="Calibri"/>
          <w:b/>
          <w:bCs/>
          <w:sz w:val="24"/>
          <w:szCs w:val="24"/>
          <w:lang w:eastAsia="es-ES"/>
        </w:rPr>
        <w:t>SOBRE LA POBREZA Y LOS DERECHOS HUMANOS</w:t>
      </w:r>
    </w:p>
    <w:p w14:paraId="3F32EA31" w14:textId="4CB8F8B4" w:rsidR="00083BF2" w:rsidRDefault="00EC1DD9" w:rsidP="00EC1DD9">
      <w:pPr>
        <w:spacing w:after="0" w:line="240" w:lineRule="auto"/>
        <w:jc w:val="center"/>
        <w:rPr>
          <w:rFonts w:ascii="Calibri" w:eastAsia="Times New Roman" w:hAnsi="Calibri" w:cs="Calibri"/>
          <w:b/>
          <w:bCs/>
          <w:color w:val="385623" w:themeColor="accent6" w:themeShade="80"/>
          <w:lang w:eastAsia="es-ES"/>
        </w:rPr>
      </w:pPr>
      <w:r w:rsidRPr="00EC1DD9">
        <w:rPr>
          <w:rFonts w:ascii="Calibri" w:eastAsia="Times New Roman" w:hAnsi="Calibri" w:cs="Calibri"/>
          <w:b/>
          <w:bCs/>
          <w:color w:val="385623" w:themeColor="accent6" w:themeShade="80"/>
          <w:lang w:eastAsia="es-ES"/>
        </w:rPr>
        <w:t>"ERRADICAR LA POBREZA EN UN CONTEXTO DE POST-CRECIMIENTO: PREPARANDO LOS PRÓXIMOS OBJETIVOS DE DESARROLLO"</w:t>
      </w:r>
    </w:p>
    <w:p w14:paraId="6F2A01B5" w14:textId="77777777" w:rsidR="00EC1DD9" w:rsidRDefault="00EC1DD9" w:rsidP="00EC1DD9">
      <w:pPr>
        <w:spacing w:after="0" w:line="240" w:lineRule="auto"/>
        <w:jc w:val="center"/>
        <w:rPr>
          <w:rFonts w:ascii="Calibri" w:eastAsia="Times New Roman" w:hAnsi="Calibri" w:cs="Calibri"/>
          <w:b/>
          <w:bCs/>
          <w:lang w:eastAsia="es-ES"/>
        </w:rPr>
      </w:pPr>
    </w:p>
    <w:p w14:paraId="4A934AB1" w14:textId="7E087B9B" w:rsidR="00083BF2" w:rsidRPr="00EC1DD9" w:rsidRDefault="00083BF2" w:rsidP="00EC1DD9">
      <w:pPr>
        <w:shd w:val="clear" w:color="auto" w:fill="385623" w:themeFill="accent6" w:themeFillShade="80"/>
        <w:spacing w:after="0" w:line="240" w:lineRule="auto"/>
        <w:rPr>
          <w:rFonts w:ascii="Calibri" w:eastAsia="Times New Roman" w:hAnsi="Calibri" w:cs="Calibri"/>
          <w:b/>
          <w:bCs/>
          <w:color w:val="FFFFFF" w:themeColor="background1"/>
          <w:lang w:eastAsia="es-ES"/>
        </w:rPr>
      </w:pPr>
      <w:r w:rsidRPr="00EC1DD9">
        <w:rPr>
          <w:rFonts w:ascii="Calibri" w:eastAsia="Times New Roman" w:hAnsi="Calibri" w:cs="Calibri"/>
          <w:b/>
          <w:bCs/>
          <w:color w:val="FFFFFF" w:themeColor="background1"/>
          <w:lang w:eastAsia="es-ES"/>
        </w:rPr>
        <w:t>1.</w:t>
      </w:r>
      <w:r w:rsidR="006F2E8B" w:rsidRPr="00EC1DD9">
        <w:rPr>
          <w:rFonts w:ascii="Calibri" w:eastAsia="Times New Roman" w:hAnsi="Calibri" w:cs="Calibri"/>
          <w:b/>
          <w:bCs/>
          <w:color w:val="FFFFFF" w:themeColor="background1"/>
          <w:lang w:eastAsia="es-ES"/>
        </w:rPr>
        <w:t>INTRODUCCIÓN</w:t>
      </w:r>
    </w:p>
    <w:p w14:paraId="082580A5" w14:textId="77777777" w:rsidR="007F7DD9" w:rsidRPr="00BE7812" w:rsidRDefault="007F7DD9" w:rsidP="00BE7812">
      <w:pPr>
        <w:spacing w:after="0" w:line="240" w:lineRule="auto"/>
        <w:rPr>
          <w:rFonts w:ascii="Calibri" w:eastAsia="Times New Roman" w:hAnsi="Calibri" w:cs="Calibri"/>
          <w:bCs/>
          <w:u w:val="single"/>
          <w:lang w:eastAsia="es-ES"/>
        </w:rPr>
      </w:pPr>
    </w:p>
    <w:p w14:paraId="08F5910E" w14:textId="3DFABE71" w:rsidR="006A4AF0" w:rsidRDefault="006A4AF0" w:rsidP="00BE7812">
      <w:pPr>
        <w:spacing w:after="0" w:line="240" w:lineRule="auto"/>
        <w:jc w:val="both"/>
        <w:rPr>
          <w:rFonts w:ascii="Calibri" w:hAnsi="Calibri" w:cs="Calibri"/>
        </w:rPr>
      </w:pPr>
      <w:r w:rsidRPr="00BE7812">
        <w:rPr>
          <w:rFonts w:ascii="Calibri" w:eastAsia="Times New Roman" w:hAnsi="Calibri" w:cs="Calibri"/>
          <w:bCs/>
          <w:lang w:eastAsia="es-ES"/>
        </w:rPr>
        <w:t>L</w:t>
      </w:r>
      <w:r w:rsidRPr="00BE7812">
        <w:rPr>
          <w:rFonts w:ascii="Calibri" w:hAnsi="Calibri" w:cs="Calibri"/>
        </w:rPr>
        <w:t>a caída de la actividad económica provocada</w:t>
      </w:r>
      <w:r w:rsidR="00EB5F6C" w:rsidRPr="00BE7812">
        <w:rPr>
          <w:rFonts w:ascii="Calibri" w:hAnsi="Calibri" w:cs="Calibri"/>
        </w:rPr>
        <w:t xml:space="preserve"> por la pandemia, seguida de los estragos de la </w:t>
      </w:r>
      <w:r w:rsidRPr="00BE7812">
        <w:rPr>
          <w:rFonts w:ascii="Calibri" w:hAnsi="Calibri" w:cs="Calibri"/>
        </w:rPr>
        <w:t xml:space="preserve">crisis inflacionaria, han mostrado visiblemente la inestabilidad </w:t>
      </w:r>
      <w:r w:rsidR="00E770AE" w:rsidRPr="00BE7812">
        <w:rPr>
          <w:rFonts w:ascii="Calibri" w:hAnsi="Calibri" w:cs="Calibri"/>
        </w:rPr>
        <w:t xml:space="preserve">e insuficiencia </w:t>
      </w:r>
      <w:r w:rsidRPr="00BE7812">
        <w:rPr>
          <w:rFonts w:ascii="Calibri" w:hAnsi="Calibri" w:cs="Calibri"/>
        </w:rPr>
        <w:t xml:space="preserve">de las rentas de </w:t>
      </w:r>
      <w:r w:rsidR="00EB5F6C" w:rsidRPr="00BE7812">
        <w:rPr>
          <w:rFonts w:ascii="Calibri" w:hAnsi="Calibri" w:cs="Calibri"/>
        </w:rPr>
        <w:t xml:space="preserve">muchas </w:t>
      </w:r>
      <w:r w:rsidRPr="00BE7812">
        <w:rPr>
          <w:rFonts w:ascii="Calibri" w:hAnsi="Calibri" w:cs="Calibri"/>
        </w:rPr>
        <w:t xml:space="preserve">personas </w:t>
      </w:r>
      <w:r w:rsidR="00EB5F6C" w:rsidRPr="00BE7812">
        <w:rPr>
          <w:rFonts w:ascii="Calibri" w:hAnsi="Calibri" w:cs="Calibri"/>
        </w:rPr>
        <w:t>y familias</w:t>
      </w:r>
      <w:r w:rsidR="00E770AE" w:rsidRPr="00BE7812">
        <w:rPr>
          <w:rFonts w:ascii="Calibri" w:hAnsi="Calibri" w:cs="Calibri"/>
        </w:rPr>
        <w:t xml:space="preserve"> en España</w:t>
      </w:r>
      <w:r w:rsidR="00EB5F6C" w:rsidRPr="00BE7812">
        <w:rPr>
          <w:rFonts w:ascii="Calibri" w:hAnsi="Calibri" w:cs="Calibri"/>
        </w:rPr>
        <w:t xml:space="preserve">. Sin embargo, esta tendencia se muestra especialmente aguda en el caso de las personas </w:t>
      </w:r>
      <w:r w:rsidRPr="00BE7812">
        <w:rPr>
          <w:rFonts w:ascii="Calibri" w:hAnsi="Calibri" w:cs="Calibri"/>
        </w:rPr>
        <w:t xml:space="preserve">que acceden al mercado de trabajo sin contrato formal o de muy corta duración, con bajos salarios y acceso limitado a las prestaciones sociales. </w:t>
      </w:r>
      <w:r w:rsidR="00EB5F6C" w:rsidRPr="00BE7812">
        <w:rPr>
          <w:rFonts w:ascii="Calibri" w:hAnsi="Calibri" w:cs="Calibri"/>
        </w:rPr>
        <w:t>Así, u</w:t>
      </w:r>
      <w:r w:rsidRPr="00BE7812">
        <w:rPr>
          <w:rFonts w:ascii="Calibri" w:hAnsi="Calibri" w:cs="Calibri"/>
        </w:rPr>
        <w:t>na elevada proporción de personas trabajadoras vive al día, con grandes dificultades ante gastos imprevistos y con severos problemas para hacer frente a los gastos relacionados con la vivienda</w:t>
      </w:r>
      <w:r w:rsidR="006F2E8B">
        <w:rPr>
          <w:rFonts w:ascii="Calibri" w:hAnsi="Calibri" w:cs="Calibri"/>
        </w:rPr>
        <w:t>, la alimentación, la energía, el agua, los medicamentos..</w:t>
      </w:r>
      <w:r w:rsidR="00EB5F6C" w:rsidRPr="00BE7812">
        <w:rPr>
          <w:rFonts w:ascii="Calibri" w:hAnsi="Calibri" w:cs="Calibri"/>
        </w:rPr>
        <w:t>.</w:t>
      </w:r>
    </w:p>
    <w:p w14:paraId="5768CE11" w14:textId="58C1F4DF" w:rsidR="00EC1DD9" w:rsidRDefault="00EC1DD9" w:rsidP="00BE7812">
      <w:pPr>
        <w:spacing w:after="0" w:line="240" w:lineRule="auto"/>
        <w:jc w:val="both"/>
        <w:rPr>
          <w:rFonts w:ascii="Calibri" w:hAnsi="Calibri" w:cs="Calibri"/>
        </w:rPr>
      </w:pPr>
    </w:p>
    <w:p w14:paraId="23DC03D4" w14:textId="65FA8273" w:rsidR="00EC1DD9" w:rsidRDefault="00EC1DD9" w:rsidP="00BE7812">
      <w:pPr>
        <w:spacing w:after="0" w:line="240" w:lineRule="auto"/>
        <w:jc w:val="both"/>
        <w:rPr>
          <w:rFonts w:ascii="Calibri" w:hAnsi="Calibri" w:cs="Calibri"/>
        </w:rPr>
      </w:pPr>
      <w:r>
        <w:rPr>
          <w:rFonts w:ascii="Calibri" w:hAnsi="Calibri" w:cs="Calibri"/>
        </w:rPr>
        <w:t>Desde 2020 y hasta el día de hoy (la última normativa ha sido publicada el 27 de diciembre de 2023 con vigencia intercalada durante todo 2024</w:t>
      </w:r>
      <w:r w:rsidR="008A7545">
        <w:rPr>
          <w:rStyle w:val="FootnoteReference"/>
          <w:rFonts w:ascii="Calibri" w:hAnsi="Calibri" w:cs="Calibri"/>
        </w:rPr>
        <w:footnoteReference w:id="1"/>
      </w:r>
      <w:r>
        <w:rPr>
          <w:rFonts w:ascii="Calibri" w:hAnsi="Calibri" w:cs="Calibri"/>
        </w:rPr>
        <w:t>) se han sucedido diversas medidas sociales de emergencia en políticas públicas y legislativas en referencia al acceso a una vivienda adecuada, suspensión de desahucios y prohibición de cortes de energía y agua, alimentos, transporte, prestaciones sociales, empleo y otros</w:t>
      </w:r>
      <w:r w:rsidR="008A7545">
        <w:rPr>
          <w:rStyle w:val="FootnoteReference"/>
          <w:rFonts w:ascii="Calibri" w:hAnsi="Calibri" w:cs="Calibri"/>
        </w:rPr>
        <w:footnoteReference w:id="2"/>
      </w:r>
      <w:r>
        <w:rPr>
          <w:rFonts w:ascii="Calibri" w:hAnsi="Calibri" w:cs="Calibri"/>
        </w:rPr>
        <w:t>.</w:t>
      </w:r>
    </w:p>
    <w:p w14:paraId="765FFE62" w14:textId="7032D02E" w:rsidR="00EC1DD9" w:rsidRDefault="00EC1DD9" w:rsidP="00BE7812">
      <w:pPr>
        <w:spacing w:after="0" w:line="240" w:lineRule="auto"/>
        <w:jc w:val="both"/>
        <w:rPr>
          <w:rFonts w:ascii="Calibri" w:hAnsi="Calibri" w:cs="Calibri"/>
        </w:rPr>
      </w:pPr>
    </w:p>
    <w:p w14:paraId="686960C1" w14:textId="084B5033" w:rsidR="00EC1DD9" w:rsidRPr="00BE7812" w:rsidRDefault="00EC1DD9" w:rsidP="00BE7812">
      <w:pPr>
        <w:spacing w:after="0" w:line="240" w:lineRule="auto"/>
        <w:jc w:val="both"/>
        <w:rPr>
          <w:rFonts w:ascii="Calibri" w:eastAsia="Times New Roman" w:hAnsi="Calibri" w:cs="Calibri"/>
          <w:bCs/>
          <w:lang w:eastAsia="es-ES"/>
        </w:rPr>
      </w:pPr>
      <w:r>
        <w:rPr>
          <w:rFonts w:ascii="Calibri" w:hAnsi="Calibri" w:cs="Calibri"/>
        </w:rPr>
        <w:t>Estas medidas han resultado insuficientes para las personas y familias en situación de exclusión, desigualdad y vulneración que viven en nuestro Estado. En los siguientes apartados compartiremos una sistematización de esta realidad</w:t>
      </w:r>
      <w:r w:rsidR="00742DDD">
        <w:rPr>
          <w:rFonts w:ascii="Calibri" w:hAnsi="Calibri" w:cs="Calibri"/>
        </w:rPr>
        <w:t xml:space="preserve"> de vulneración de derechos humanos</w:t>
      </w:r>
      <w:r>
        <w:rPr>
          <w:rFonts w:ascii="Calibri" w:hAnsi="Calibri" w:cs="Calibri"/>
        </w:rPr>
        <w:t xml:space="preserve">, pudiendo encontrarlos de forma ampliada en </w:t>
      </w:r>
      <w:r w:rsidR="00DA4F77">
        <w:rPr>
          <w:rFonts w:ascii="Calibri" w:hAnsi="Calibri" w:cs="Calibri"/>
        </w:rPr>
        <w:t xml:space="preserve">la publicación de </w:t>
      </w:r>
      <w:r w:rsidR="00DA4F77" w:rsidRPr="00DA4F77">
        <w:rPr>
          <w:rFonts w:ascii="Calibri" w:hAnsi="Calibri" w:cs="Calibri"/>
          <w:b/>
        </w:rPr>
        <w:t xml:space="preserve">FOESSA “Ingresos y gastos: una ecuación que condiciona nuestra calidad de vida” </w:t>
      </w:r>
      <w:r w:rsidR="00DA4F77">
        <w:rPr>
          <w:rStyle w:val="FootnoteReference"/>
          <w:rFonts w:ascii="Calibri" w:hAnsi="Calibri" w:cs="Calibri"/>
        </w:rPr>
        <w:footnoteReference w:id="3"/>
      </w:r>
      <w:r w:rsidR="00DA4F77">
        <w:rPr>
          <w:rFonts w:ascii="Calibri" w:hAnsi="Calibri" w:cs="Calibri"/>
        </w:rPr>
        <w:t>(Análisis y Perspectivas 2023).</w:t>
      </w:r>
    </w:p>
    <w:p w14:paraId="4F247072" w14:textId="1ADFC473" w:rsidR="006A4AF0" w:rsidRDefault="006A4AF0" w:rsidP="00BE7812">
      <w:pPr>
        <w:spacing w:after="0" w:line="240" w:lineRule="auto"/>
        <w:rPr>
          <w:rFonts w:ascii="Calibri" w:eastAsia="Times New Roman" w:hAnsi="Calibri" w:cs="Calibri"/>
          <w:bCs/>
          <w:lang w:eastAsia="es-ES"/>
        </w:rPr>
      </w:pPr>
    </w:p>
    <w:p w14:paraId="15803F21" w14:textId="7402962C" w:rsidR="00C30E37" w:rsidRDefault="00C30E37" w:rsidP="00BE7812">
      <w:pPr>
        <w:spacing w:after="0" w:line="240" w:lineRule="auto"/>
        <w:rPr>
          <w:rFonts w:ascii="Calibri" w:eastAsia="Times New Roman" w:hAnsi="Calibri" w:cs="Calibri"/>
          <w:bCs/>
          <w:lang w:eastAsia="es-ES"/>
        </w:rPr>
      </w:pPr>
    </w:p>
    <w:p w14:paraId="4FA641C3" w14:textId="77777777" w:rsidR="00C30E37" w:rsidRPr="00BE7812" w:rsidRDefault="00C30E37" w:rsidP="00BE7812">
      <w:pPr>
        <w:spacing w:after="0" w:line="240" w:lineRule="auto"/>
        <w:rPr>
          <w:rFonts w:ascii="Calibri" w:eastAsia="Times New Roman" w:hAnsi="Calibri" w:cs="Calibri"/>
          <w:bCs/>
          <w:lang w:eastAsia="es-ES"/>
        </w:rPr>
      </w:pPr>
    </w:p>
    <w:p w14:paraId="6A7A44E5" w14:textId="77777777" w:rsidR="00EC380F" w:rsidRPr="00BE7812" w:rsidRDefault="00EC380F" w:rsidP="00BE7812">
      <w:pPr>
        <w:spacing w:after="0" w:line="240" w:lineRule="auto"/>
        <w:jc w:val="both"/>
        <w:rPr>
          <w:rFonts w:ascii="Calibri" w:hAnsi="Calibri" w:cs="Calibri"/>
        </w:rPr>
      </w:pPr>
    </w:p>
    <w:p w14:paraId="0EDF4A62" w14:textId="70D3B2DE" w:rsidR="00083BF2" w:rsidRPr="00083BF2" w:rsidRDefault="00083BF2" w:rsidP="00EC1DD9">
      <w:pPr>
        <w:shd w:val="clear" w:color="auto" w:fill="385623" w:themeFill="accent6" w:themeFillShade="80"/>
        <w:spacing w:after="0" w:line="240" w:lineRule="auto"/>
        <w:rPr>
          <w:rFonts w:ascii="Calibri" w:eastAsia="Times New Roman" w:hAnsi="Calibri" w:cs="Calibri"/>
          <w:b/>
          <w:bCs/>
          <w:color w:val="FFFFFF" w:themeColor="background1"/>
          <w:lang w:eastAsia="es-ES"/>
        </w:rPr>
      </w:pPr>
      <w:r>
        <w:rPr>
          <w:rFonts w:ascii="Calibri" w:eastAsia="Times New Roman" w:hAnsi="Calibri" w:cs="Calibri"/>
          <w:b/>
          <w:bCs/>
          <w:color w:val="FFFFFF" w:themeColor="background1"/>
          <w:lang w:eastAsia="es-ES"/>
        </w:rPr>
        <w:t xml:space="preserve">2. </w:t>
      </w:r>
      <w:r w:rsidR="00742DDD">
        <w:rPr>
          <w:rFonts w:ascii="Calibri" w:eastAsia="Times New Roman" w:hAnsi="Calibri" w:cs="Calibri"/>
          <w:b/>
          <w:bCs/>
          <w:color w:val="FFFFFF" w:themeColor="background1"/>
          <w:lang w:eastAsia="es-ES"/>
        </w:rPr>
        <w:t>ACCESO A TRABAJO DECENTE, PROTECCIÓN SOCIAL, ALIMENTOS Y VIVIENDA</w:t>
      </w:r>
    </w:p>
    <w:p w14:paraId="5BC18961" w14:textId="77777777" w:rsidR="000E5171" w:rsidRPr="00BE7812" w:rsidRDefault="000E5171" w:rsidP="00BE7812">
      <w:pPr>
        <w:spacing w:after="0" w:line="240" w:lineRule="auto"/>
        <w:rPr>
          <w:rFonts w:ascii="Calibri" w:eastAsia="Times New Roman" w:hAnsi="Calibri" w:cs="Calibri"/>
          <w:bCs/>
          <w:u w:val="single"/>
          <w:lang w:eastAsia="es-ES"/>
        </w:rPr>
      </w:pPr>
    </w:p>
    <w:p w14:paraId="59F840E8" w14:textId="77777777" w:rsidR="005E338D" w:rsidRDefault="005E338D" w:rsidP="00742DDD">
      <w:pPr>
        <w:spacing w:after="0" w:line="240" w:lineRule="auto"/>
        <w:jc w:val="both"/>
      </w:pPr>
      <w:r>
        <w:t xml:space="preserve">Ante la realidad de que los ingresos en España han experimentado un incremento del 11% desde 2008, se sitúa en paralelo el contexto inflacionario de los últimos meses que ha provocado que </w:t>
      </w:r>
      <w:r w:rsidRPr="005E338D">
        <w:rPr>
          <w:b/>
        </w:rPr>
        <w:t>los gastos familiares hayan aumentado en un 30%.</w:t>
      </w:r>
      <w:r>
        <w:t xml:space="preserve"> Esta disparidad es aún más acusada entre los hogares más humildes, ya que el incremento de ingresos en estas familias ha sido prácticamente inexistente (0,5%). </w:t>
      </w:r>
    </w:p>
    <w:p w14:paraId="29DFC113" w14:textId="77777777" w:rsidR="005E338D" w:rsidRDefault="005E338D" w:rsidP="00742DDD">
      <w:pPr>
        <w:spacing w:after="0" w:line="240" w:lineRule="auto"/>
        <w:jc w:val="both"/>
      </w:pPr>
    </w:p>
    <w:p w14:paraId="0CA2AD2F" w14:textId="378CF77A" w:rsidR="009A4092" w:rsidRPr="005E338D" w:rsidRDefault="005E338D" w:rsidP="00742DDD">
      <w:pPr>
        <w:spacing w:after="0" w:line="240" w:lineRule="auto"/>
        <w:jc w:val="both"/>
      </w:pPr>
      <w:r>
        <w:t xml:space="preserve">Esta disonancia entre el crecimiento de los ingresos y el aumento de los gastos -unido al elevado porcentaje de trabajadores pobres (11,7%), y la baja cobertura e intensidad protectora de los ingresos mínimos (solo lo perciben el 44% de la población en pobreza severa)- está provocando que se desborde la capacidad de muchas familias que ya se encontraban en situación de vulnerabilidad. De hecho, </w:t>
      </w:r>
      <w:r w:rsidRPr="005E338D">
        <w:rPr>
          <w:b/>
        </w:rPr>
        <w:t>el porcentaje de hogares en pobreza material severa se sitúa ya en el 8,1% de la población (3,8 millones de personas).</w:t>
      </w:r>
    </w:p>
    <w:p w14:paraId="6195A739" w14:textId="1EAFF745" w:rsidR="009A4092" w:rsidRDefault="009A4092" w:rsidP="00BE7812">
      <w:pPr>
        <w:spacing w:after="0" w:line="240" w:lineRule="auto"/>
        <w:rPr>
          <w:rFonts w:ascii="Calibri" w:eastAsia="Times New Roman" w:hAnsi="Calibri" w:cs="Calibri"/>
          <w:bCs/>
          <w:u w:val="single"/>
          <w:lang w:eastAsia="es-ES"/>
        </w:rPr>
      </w:pPr>
    </w:p>
    <w:p w14:paraId="5FADE7C8" w14:textId="1711E58C" w:rsidR="005E338D" w:rsidRDefault="00C37DB0" w:rsidP="00BE7812">
      <w:pPr>
        <w:spacing w:after="0" w:line="240" w:lineRule="auto"/>
        <w:rPr>
          <w:rFonts w:ascii="Calibri" w:eastAsia="Times New Roman" w:hAnsi="Calibri" w:cs="Calibri"/>
          <w:bCs/>
          <w:lang w:eastAsia="es-ES"/>
        </w:rPr>
      </w:pPr>
      <w:r>
        <w:rPr>
          <w:rFonts w:ascii="Calibri" w:eastAsia="Times New Roman" w:hAnsi="Calibri" w:cs="Calibri"/>
          <w:bCs/>
          <w:lang w:eastAsia="es-ES"/>
        </w:rPr>
        <w:t>Tres datos claramente significativos:</w:t>
      </w:r>
    </w:p>
    <w:p w14:paraId="732272F7" w14:textId="77777777" w:rsidR="00C37DB0" w:rsidRDefault="00C37DB0" w:rsidP="00C37DB0">
      <w:pPr>
        <w:pStyle w:val="ListParagraph"/>
        <w:numPr>
          <w:ilvl w:val="0"/>
          <w:numId w:val="12"/>
        </w:numPr>
        <w:spacing w:after="0" w:line="240" w:lineRule="auto"/>
        <w:jc w:val="both"/>
      </w:pPr>
      <w:r>
        <w:t xml:space="preserve">El 16,8% de las familias quedan por debajo del umbral de la pobreza severa una vez pagada la vivienda y los suministros básicos </w:t>
      </w:r>
    </w:p>
    <w:p w14:paraId="3485E4B9" w14:textId="77777777" w:rsidR="0034052A" w:rsidRPr="0034052A" w:rsidRDefault="0034052A" w:rsidP="0034052A">
      <w:pPr>
        <w:pStyle w:val="ListParagraph"/>
        <w:numPr>
          <w:ilvl w:val="0"/>
          <w:numId w:val="12"/>
        </w:numPr>
        <w:spacing w:after="0" w:line="240" w:lineRule="auto"/>
        <w:jc w:val="both"/>
        <w:rPr>
          <w:rFonts w:ascii="Calibri" w:eastAsia="Times New Roman" w:hAnsi="Calibri" w:cs="Calibri"/>
          <w:bCs/>
          <w:lang w:eastAsia="es-ES"/>
        </w:rPr>
      </w:pPr>
      <w:r w:rsidRPr="0034052A">
        <w:rPr>
          <w:rFonts w:ascii="Calibri" w:eastAsia="Times New Roman" w:hAnsi="Calibri" w:cs="Calibri"/>
          <w:bCs/>
          <w:lang w:eastAsia="es-ES"/>
        </w:rPr>
        <w:t>Si en 2006 las familias dedicaban casi el 54% de sus gastos a bienes esenciales, en 2022 invierten más del 60% de los mismos a sufragar vivienda y suministros, alimentación y transporte, acortándose el margen para afrontar el resto de las necesidades y bienes.</w:t>
      </w:r>
    </w:p>
    <w:p w14:paraId="18CAFA8F" w14:textId="0FA451C5" w:rsidR="00C37DB0" w:rsidRDefault="0034052A" w:rsidP="0034052A">
      <w:pPr>
        <w:pStyle w:val="ListParagraph"/>
        <w:numPr>
          <w:ilvl w:val="0"/>
          <w:numId w:val="12"/>
        </w:numPr>
        <w:spacing w:after="0" w:line="240" w:lineRule="auto"/>
        <w:jc w:val="both"/>
      </w:pPr>
      <w:r>
        <w:t xml:space="preserve"> </w:t>
      </w:r>
      <w:r w:rsidR="00C37DB0">
        <w:t xml:space="preserve">Los hogares con menos ingresos invierten más de 6 de cada 10 euros en vivienda y alimentación </w:t>
      </w:r>
    </w:p>
    <w:p w14:paraId="249FF5E5" w14:textId="09732337" w:rsidR="00C37DB0" w:rsidRPr="0034052A" w:rsidRDefault="00C37DB0" w:rsidP="00C37DB0">
      <w:pPr>
        <w:pStyle w:val="ListParagraph"/>
        <w:numPr>
          <w:ilvl w:val="0"/>
          <w:numId w:val="12"/>
        </w:numPr>
        <w:spacing w:after="0" w:line="240" w:lineRule="auto"/>
        <w:jc w:val="both"/>
        <w:rPr>
          <w:rFonts w:ascii="Calibri" w:eastAsia="Times New Roman" w:hAnsi="Calibri" w:cs="Calibri"/>
          <w:bCs/>
          <w:u w:val="single"/>
          <w:lang w:eastAsia="es-ES"/>
        </w:rPr>
      </w:pPr>
      <w:r>
        <w:t>El 16% de la población en alquiler experimenta un nivel extremo de estrés financiero, es decir, destinan más del 60% de sus ingresos al pago del alquiler</w:t>
      </w:r>
    </w:p>
    <w:p w14:paraId="067BDAF1" w14:textId="77777777" w:rsidR="009A4092" w:rsidRDefault="009A4092" w:rsidP="00BE7812">
      <w:pPr>
        <w:spacing w:after="0" w:line="240" w:lineRule="auto"/>
        <w:rPr>
          <w:rFonts w:ascii="Calibri" w:eastAsia="Times New Roman" w:hAnsi="Calibri" w:cs="Calibri"/>
          <w:bCs/>
          <w:u w:val="single"/>
          <w:lang w:eastAsia="es-ES"/>
        </w:rPr>
      </w:pPr>
    </w:p>
    <w:p w14:paraId="55806526" w14:textId="0E8044C3" w:rsidR="00742DDD" w:rsidRPr="00C37DB0" w:rsidRDefault="00C37DB0" w:rsidP="00095525">
      <w:pPr>
        <w:pStyle w:val="xmsolistparagraph"/>
        <w:jc w:val="both"/>
        <w:rPr>
          <w:rFonts w:asciiTheme="minorHAnsi" w:hAnsiTheme="minorHAnsi" w:cstheme="minorHAnsi"/>
          <w:b/>
          <w:iCs/>
          <w:color w:val="000000"/>
          <w:sz w:val="22"/>
          <w:szCs w:val="22"/>
        </w:rPr>
      </w:pPr>
      <w:r w:rsidRPr="00C37DB0">
        <w:rPr>
          <w:rFonts w:asciiTheme="minorHAnsi" w:hAnsiTheme="minorHAnsi" w:cstheme="minorHAnsi"/>
          <w:b/>
          <w:iCs/>
          <w:color w:val="000000"/>
          <w:sz w:val="22"/>
          <w:szCs w:val="22"/>
        </w:rPr>
        <w:t>Respecto al acceso a un trabajo decente:</w:t>
      </w:r>
    </w:p>
    <w:p w14:paraId="69DAB538" w14:textId="715DEF50" w:rsidR="00C37DB0" w:rsidRDefault="00041D81" w:rsidP="00C37DB0">
      <w:pPr>
        <w:pStyle w:val="xmsolistparagraph"/>
        <w:numPr>
          <w:ilvl w:val="0"/>
          <w:numId w:val="11"/>
        </w:numPr>
        <w:jc w:val="both"/>
        <w:rPr>
          <w:rFonts w:asciiTheme="minorHAnsi" w:hAnsiTheme="minorHAnsi" w:cstheme="minorHAnsi"/>
          <w:iCs/>
          <w:color w:val="000000"/>
          <w:sz w:val="22"/>
          <w:szCs w:val="22"/>
        </w:rPr>
      </w:pPr>
      <w:r>
        <w:rPr>
          <w:rFonts w:asciiTheme="minorHAnsi" w:hAnsiTheme="minorHAnsi" w:cstheme="minorHAnsi"/>
          <w:iCs/>
          <w:color w:val="000000"/>
          <w:sz w:val="22"/>
          <w:szCs w:val="22"/>
        </w:rPr>
        <w:t>L</w:t>
      </w:r>
      <w:r w:rsidR="00C37DB0" w:rsidRPr="00C37DB0">
        <w:rPr>
          <w:rFonts w:asciiTheme="minorHAnsi" w:hAnsiTheme="minorHAnsi" w:cstheme="minorHAnsi"/>
          <w:iCs/>
          <w:color w:val="000000"/>
          <w:sz w:val="22"/>
          <w:szCs w:val="22"/>
        </w:rPr>
        <w:t>a tasa de contratos temporales se empieza a reducir desde el inicio de 2022 hasta situarse en un 17,3% en el primer trimestre de 2023, la tasa de temporalidad más baja de toda la serie y que en términos absolutos significa que hay 1.311.000 contratos temporales menos desde 2021 (un 32% menos que a finales de 2021).</w:t>
      </w:r>
    </w:p>
    <w:p w14:paraId="229F0640" w14:textId="545744C2" w:rsidR="00C37DB0" w:rsidRDefault="00041D81" w:rsidP="00C37DB0">
      <w:pPr>
        <w:pStyle w:val="xmsolistparagraph"/>
        <w:numPr>
          <w:ilvl w:val="0"/>
          <w:numId w:val="11"/>
        </w:numPr>
        <w:jc w:val="both"/>
        <w:rPr>
          <w:rFonts w:asciiTheme="minorHAnsi" w:hAnsiTheme="minorHAnsi" w:cstheme="minorHAnsi"/>
          <w:iCs/>
          <w:color w:val="000000"/>
          <w:sz w:val="22"/>
          <w:szCs w:val="22"/>
        </w:rPr>
      </w:pPr>
      <w:r>
        <w:rPr>
          <w:rFonts w:asciiTheme="minorHAnsi" w:hAnsiTheme="minorHAnsi" w:cstheme="minorHAnsi"/>
          <w:iCs/>
          <w:color w:val="000000"/>
          <w:sz w:val="22"/>
          <w:szCs w:val="22"/>
        </w:rPr>
        <w:t>E</w:t>
      </w:r>
      <w:r w:rsidR="00C37DB0" w:rsidRPr="00C37DB0">
        <w:rPr>
          <w:rFonts w:asciiTheme="minorHAnsi" w:hAnsiTheme="minorHAnsi" w:cstheme="minorHAnsi"/>
          <w:iCs/>
          <w:color w:val="000000"/>
          <w:sz w:val="22"/>
          <w:szCs w:val="22"/>
        </w:rPr>
        <w:t xml:space="preserve">n los últimos 18 años entre un 20% y un 25% de las mujeres trabajan a tiempo parcial, mientras que la tasa de los hombres oscila entre el 5% y el 8%. Algo que, por otro lado, explica en buena medida la brecha salarial entre ambos colectivos.  </w:t>
      </w:r>
    </w:p>
    <w:p w14:paraId="46A989FB" w14:textId="16F1141F" w:rsidR="00C37DB0" w:rsidRDefault="00041D81" w:rsidP="00C37DB0">
      <w:pPr>
        <w:pStyle w:val="xmsolistparagraph"/>
        <w:numPr>
          <w:ilvl w:val="0"/>
          <w:numId w:val="11"/>
        </w:numPr>
        <w:jc w:val="both"/>
        <w:rPr>
          <w:rFonts w:asciiTheme="minorHAnsi" w:hAnsiTheme="minorHAnsi" w:cstheme="minorHAnsi"/>
          <w:iCs/>
          <w:color w:val="000000"/>
          <w:sz w:val="22"/>
          <w:szCs w:val="22"/>
        </w:rPr>
      </w:pPr>
      <w:r>
        <w:rPr>
          <w:rFonts w:asciiTheme="minorHAnsi" w:hAnsiTheme="minorHAnsi" w:cstheme="minorHAnsi"/>
          <w:iCs/>
          <w:color w:val="000000"/>
          <w:sz w:val="22"/>
          <w:szCs w:val="22"/>
        </w:rPr>
        <w:t>E</w:t>
      </w:r>
      <w:r w:rsidR="00C37DB0">
        <w:rPr>
          <w:rFonts w:asciiTheme="minorHAnsi" w:hAnsiTheme="minorHAnsi" w:cstheme="minorHAnsi"/>
          <w:iCs/>
          <w:color w:val="000000"/>
          <w:sz w:val="22"/>
          <w:szCs w:val="22"/>
        </w:rPr>
        <w:t xml:space="preserve">l </w:t>
      </w:r>
      <w:r w:rsidR="00C37DB0" w:rsidRPr="00C37DB0">
        <w:rPr>
          <w:rFonts w:asciiTheme="minorHAnsi" w:hAnsiTheme="minorHAnsi" w:cstheme="minorHAnsi"/>
          <w:iCs/>
          <w:color w:val="000000"/>
          <w:sz w:val="22"/>
          <w:szCs w:val="22"/>
        </w:rPr>
        <w:t>15% de las personas asalariadas tienen salarios bajos, es decir, por debajo de 11 € la hora. Esta proporción es más elevada entre las mujeres que entre los hombres, con una brecha que se mantiene en torno a los diez puntos porcentuales. Además, se concentra especialmente entre las personas ocupadas menores de 25 años, como consecuencia del periodo de trayectoria laboral en el que se encuentran</w:t>
      </w:r>
    </w:p>
    <w:p w14:paraId="6761BBA0" w14:textId="3A9ECFF6" w:rsidR="004E3057" w:rsidRDefault="004E3057" w:rsidP="004E3057">
      <w:pPr>
        <w:pStyle w:val="xmsolistparagraph"/>
        <w:numPr>
          <w:ilvl w:val="0"/>
          <w:numId w:val="11"/>
        </w:numPr>
        <w:jc w:val="both"/>
        <w:rPr>
          <w:rFonts w:asciiTheme="minorHAnsi" w:hAnsiTheme="minorHAnsi" w:cstheme="minorHAnsi"/>
          <w:iCs/>
          <w:color w:val="000000"/>
          <w:sz w:val="22"/>
          <w:szCs w:val="22"/>
        </w:rPr>
      </w:pPr>
      <w:r w:rsidRPr="004E3057">
        <w:rPr>
          <w:rFonts w:asciiTheme="minorHAnsi" w:hAnsiTheme="minorHAnsi" w:cstheme="minorHAnsi"/>
          <w:iCs/>
          <w:color w:val="000000"/>
          <w:sz w:val="22"/>
          <w:szCs w:val="22"/>
        </w:rPr>
        <w:t>España destaca por ser uno de los países con mayor tasa de pobreza laboral: durante el periodo 2004-2022 ha oscilado entre el valor mínimo de 10,1% en 2006 y el valor máximo de 13,1% en 2015. Desde entonces, la evolución indica una reducción paulatina de la pobreza laboral hasta 2022 (11,7%). Sin embargo, la media de la UE27 no ha alcanzado nunca el 10% (el pico máximo se produce en 2016 con un 9,8%) y el último dato publicado indica una incidencia de 8,5% en 2022.</w:t>
      </w:r>
    </w:p>
    <w:p w14:paraId="799CEE06" w14:textId="71FF88E3" w:rsidR="004E3057" w:rsidRDefault="00041D81" w:rsidP="004E3057">
      <w:pPr>
        <w:pStyle w:val="xmsolistparagraph"/>
        <w:numPr>
          <w:ilvl w:val="0"/>
          <w:numId w:val="11"/>
        </w:numPr>
        <w:jc w:val="both"/>
        <w:rPr>
          <w:rFonts w:asciiTheme="minorHAnsi" w:hAnsiTheme="minorHAnsi" w:cstheme="minorHAnsi"/>
          <w:iCs/>
          <w:color w:val="000000"/>
          <w:sz w:val="22"/>
          <w:szCs w:val="22"/>
        </w:rPr>
      </w:pPr>
      <w:r>
        <w:rPr>
          <w:rFonts w:asciiTheme="minorHAnsi" w:hAnsiTheme="minorHAnsi" w:cstheme="minorHAnsi"/>
          <w:iCs/>
          <w:color w:val="000000"/>
          <w:sz w:val="22"/>
          <w:szCs w:val="22"/>
        </w:rPr>
        <w:t>L</w:t>
      </w:r>
      <w:r w:rsidR="004E3057" w:rsidRPr="004E3057">
        <w:rPr>
          <w:rFonts w:asciiTheme="minorHAnsi" w:hAnsiTheme="minorHAnsi" w:cstheme="minorHAnsi"/>
          <w:iCs/>
          <w:color w:val="000000"/>
          <w:sz w:val="22"/>
          <w:szCs w:val="22"/>
        </w:rPr>
        <w:t>os hogares con menores de edad a cargo tienen un mayor riesgo de pobreza laboral (15% en 2022) que los hogares compuestos solo por adultos (8%).</w:t>
      </w:r>
    </w:p>
    <w:p w14:paraId="7436AB77" w14:textId="6EA86ACA" w:rsidR="00C37DB0" w:rsidRDefault="00C37DB0" w:rsidP="00095525">
      <w:pPr>
        <w:pStyle w:val="xmsolistparagraph"/>
        <w:jc w:val="both"/>
        <w:rPr>
          <w:rFonts w:asciiTheme="minorHAnsi" w:hAnsiTheme="minorHAnsi" w:cstheme="minorHAnsi"/>
          <w:iCs/>
          <w:color w:val="000000"/>
          <w:sz w:val="22"/>
          <w:szCs w:val="22"/>
        </w:rPr>
      </w:pPr>
    </w:p>
    <w:p w14:paraId="00599DF1" w14:textId="22E869AF" w:rsidR="004E3057" w:rsidRDefault="004E3057" w:rsidP="004E3057">
      <w:pPr>
        <w:pStyle w:val="xmsolistparagraph"/>
        <w:jc w:val="both"/>
        <w:rPr>
          <w:rFonts w:asciiTheme="minorHAnsi" w:hAnsiTheme="minorHAnsi" w:cstheme="minorHAnsi"/>
          <w:b/>
          <w:iCs/>
          <w:color w:val="000000"/>
          <w:sz w:val="22"/>
          <w:szCs w:val="22"/>
        </w:rPr>
      </w:pPr>
      <w:r w:rsidRPr="00C37DB0">
        <w:rPr>
          <w:rFonts w:asciiTheme="minorHAnsi" w:hAnsiTheme="minorHAnsi" w:cstheme="minorHAnsi"/>
          <w:b/>
          <w:iCs/>
          <w:color w:val="000000"/>
          <w:sz w:val="22"/>
          <w:szCs w:val="22"/>
        </w:rPr>
        <w:lastRenderedPageBreak/>
        <w:t>Respecto al acceso a protección social:</w:t>
      </w:r>
    </w:p>
    <w:p w14:paraId="492B2F92" w14:textId="1267814A" w:rsidR="004E3057" w:rsidRDefault="00041D81" w:rsidP="004E3057">
      <w:pPr>
        <w:pStyle w:val="xmsolistparagraph"/>
        <w:numPr>
          <w:ilvl w:val="0"/>
          <w:numId w:val="13"/>
        </w:numPr>
        <w:jc w:val="both"/>
        <w:rPr>
          <w:rFonts w:asciiTheme="minorHAnsi" w:hAnsiTheme="minorHAnsi" w:cstheme="minorHAnsi"/>
          <w:iCs/>
          <w:color w:val="000000"/>
          <w:sz w:val="22"/>
          <w:szCs w:val="22"/>
        </w:rPr>
      </w:pPr>
      <w:r>
        <w:rPr>
          <w:rFonts w:asciiTheme="minorHAnsi" w:hAnsiTheme="minorHAnsi" w:cstheme="minorHAnsi"/>
          <w:iCs/>
          <w:color w:val="000000"/>
          <w:sz w:val="22"/>
          <w:szCs w:val="22"/>
        </w:rPr>
        <w:t>D</w:t>
      </w:r>
      <w:r w:rsidR="004E3057" w:rsidRPr="004E3057">
        <w:rPr>
          <w:rFonts w:asciiTheme="minorHAnsi" w:hAnsiTheme="minorHAnsi" w:cstheme="minorHAnsi"/>
          <w:iCs/>
          <w:color w:val="000000"/>
          <w:sz w:val="22"/>
          <w:szCs w:val="22"/>
        </w:rPr>
        <w:t>esde 2008 observamos que, tras años de aumento leve pero constante, el monto total ejecutado en materia de RMI descendió en un 1,7% en el año 2018. Y si bien en los años 19 y 20 volvió a repuntar, el descenso en 2021 ha sido tan marcado, sobre todo en número de perceptores, que 2021 ha registrado la cifra más baja de receptores desde 2014.</w:t>
      </w:r>
    </w:p>
    <w:p w14:paraId="05DEB629" w14:textId="173C4619" w:rsidR="00F86382" w:rsidRPr="00F86382" w:rsidRDefault="00041D81" w:rsidP="00F86382">
      <w:pPr>
        <w:pStyle w:val="xmsolistparagraph"/>
        <w:numPr>
          <w:ilvl w:val="0"/>
          <w:numId w:val="13"/>
        </w:numPr>
        <w:jc w:val="both"/>
        <w:rPr>
          <w:rFonts w:asciiTheme="minorHAnsi" w:hAnsiTheme="minorHAnsi" w:cstheme="minorHAnsi"/>
          <w:iCs/>
          <w:color w:val="000000"/>
          <w:sz w:val="22"/>
          <w:szCs w:val="22"/>
        </w:rPr>
      </w:pPr>
      <w:r>
        <w:rPr>
          <w:rFonts w:asciiTheme="minorHAnsi" w:hAnsiTheme="minorHAnsi" w:cstheme="minorHAnsi"/>
          <w:iCs/>
          <w:color w:val="000000"/>
          <w:sz w:val="22"/>
          <w:szCs w:val="22"/>
        </w:rPr>
        <w:t>D</w:t>
      </w:r>
      <w:r w:rsidR="00C63AC9" w:rsidRPr="00C63AC9">
        <w:rPr>
          <w:rFonts w:asciiTheme="minorHAnsi" w:hAnsiTheme="minorHAnsi" w:cstheme="minorHAnsi"/>
          <w:iCs/>
          <w:color w:val="000000"/>
          <w:sz w:val="22"/>
          <w:szCs w:val="22"/>
        </w:rPr>
        <w:t>ado que en España hay más de 4,8 millones de personas que viven bajo el umbral de la pobreza severa (40% de la mediana de ingresos según ECV 2021, INE), las algo más de 600.000 personas que percibieron la RMI representa una tasa de cobertura del 13%. Es decir, el 87% de las personas en situación de pobreza severa no han podido acceder a las RMI del sistema de garantía de ingresos lo que corrobora la escasa cobertura de la medida.</w:t>
      </w:r>
    </w:p>
    <w:p w14:paraId="37CC2917" w14:textId="1D6935CE" w:rsidR="00F86382" w:rsidRPr="00F86382" w:rsidRDefault="00CC0C13" w:rsidP="00F86382">
      <w:pPr>
        <w:pStyle w:val="xmsolistparagraph"/>
        <w:numPr>
          <w:ilvl w:val="0"/>
          <w:numId w:val="13"/>
        </w:numPr>
        <w:jc w:val="both"/>
        <w:rPr>
          <w:rFonts w:asciiTheme="minorHAnsi" w:hAnsiTheme="minorHAnsi" w:cstheme="minorHAnsi"/>
          <w:iCs/>
          <w:color w:val="000000"/>
          <w:sz w:val="22"/>
          <w:szCs w:val="22"/>
        </w:rPr>
      </w:pPr>
      <w:r w:rsidRPr="00CC0C13">
        <w:rPr>
          <w:rFonts w:asciiTheme="minorHAnsi" w:hAnsiTheme="minorHAnsi" w:cstheme="minorHAnsi"/>
          <w:iCs/>
          <w:color w:val="000000"/>
          <w:sz w:val="22"/>
          <w:szCs w:val="22"/>
        </w:rPr>
        <w:t>La Autoridad Independiente de Responsabilidad Fiscal</w:t>
      </w:r>
      <w:r>
        <w:rPr>
          <w:rStyle w:val="FootnoteReference"/>
          <w:rFonts w:asciiTheme="minorHAnsi" w:hAnsiTheme="minorHAnsi" w:cstheme="minorHAnsi"/>
          <w:iCs/>
          <w:color w:val="000000"/>
          <w:sz w:val="22"/>
          <w:szCs w:val="22"/>
        </w:rPr>
        <w:t xml:space="preserve"> </w:t>
      </w:r>
      <w:r>
        <w:rPr>
          <w:rFonts w:asciiTheme="minorHAnsi" w:hAnsiTheme="minorHAnsi" w:cstheme="minorHAnsi"/>
          <w:iCs/>
          <w:color w:val="000000"/>
          <w:sz w:val="22"/>
          <w:szCs w:val="22"/>
        </w:rPr>
        <w:t>ha hecho varios informes</w:t>
      </w:r>
      <w:r>
        <w:rPr>
          <w:rStyle w:val="FootnoteReference"/>
          <w:rFonts w:asciiTheme="minorHAnsi" w:hAnsiTheme="minorHAnsi" w:cstheme="minorHAnsi"/>
          <w:iCs/>
          <w:color w:val="000000"/>
          <w:sz w:val="22"/>
          <w:szCs w:val="22"/>
        </w:rPr>
        <w:footnoteReference w:id="4"/>
      </w:r>
      <w:r w:rsidR="00F86382">
        <w:rPr>
          <w:rFonts w:asciiTheme="minorHAnsi" w:hAnsiTheme="minorHAnsi" w:cstheme="minorHAnsi"/>
          <w:iCs/>
          <w:color w:val="000000"/>
          <w:sz w:val="22"/>
          <w:szCs w:val="22"/>
        </w:rPr>
        <w:t>, y a diciembre de 2022 establecía que de 808.000 hogares que pueden ser beneficiarios, sólo lo era e</w:t>
      </w:r>
      <w:r w:rsidR="00041D81">
        <w:rPr>
          <w:rFonts w:asciiTheme="minorHAnsi" w:hAnsiTheme="minorHAnsi" w:cstheme="minorHAnsi"/>
          <w:iCs/>
          <w:color w:val="000000"/>
          <w:sz w:val="22"/>
          <w:szCs w:val="22"/>
        </w:rPr>
        <w:t>l</w:t>
      </w:r>
      <w:r w:rsidR="00F86382">
        <w:rPr>
          <w:rFonts w:asciiTheme="minorHAnsi" w:hAnsiTheme="minorHAnsi" w:cstheme="minorHAnsi"/>
          <w:iCs/>
          <w:color w:val="000000"/>
          <w:sz w:val="22"/>
          <w:szCs w:val="22"/>
        </w:rPr>
        <w:t xml:space="preserve"> 35% del total. Que el coste de esta medida estaba siendo del 47% del total planificado. Además, el plazo de tramitación estaba en 120 días (con aumento de las solicitudes respecto a 2021 del 60%), y la tasa de denegación en un 69%. Un 58% de los hogares que serían beneficiarios no lo habían solicitado en diciembre de 2022 (</w:t>
      </w:r>
      <w:r w:rsidR="00F86382" w:rsidRPr="00F86382">
        <w:rPr>
          <w:rFonts w:asciiTheme="minorHAnsi" w:hAnsiTheme="minorHAnsi" w:cstheme="minorHAnsi"/>
          <w:i/>
          <w:iCs/>
          <w:color w:val="000000"/>
          <w:sz w:val="22"/>
          <w:szCs w:val="22"/>
        </w:rPr>
        <w:t>non take-up</w:t>
      </w:r>
      <w:r w:rsidR="00F86382">
        <w:rPr>
          <w:rFonts w:asciiTheme="minorHAnsi" w:hAnsiTheme="minorHAnsi" w:cstheme="minorHAnsi"/>
          <w:iCs/>
          <w:color w:val="000000"/>
          <w:sz w:val="22"/>
          <w:szCs w:val="22"/>
        </w:rPr>
        <w:t>)</w:t>
      </w:r>
    </w:p>
    <w:p w14:paraId="1B793569" w14:textId="58F76065" w:rsidR="00C63AC9" w:rsidRDefault="00041D81" w:rsidP="00C63AC9">
      <w:pPr>
        <w:pStyle w:val="xmsolistparagraph"/>
        <w:numPr>
          <w:ilvl w:val="0"/>
          <w:numId w:val="13"/>
        </w:numPr>
        <w:jc w:val="both"/>
        <w:rPr>
          <w:rFonts w:asciiTheme="minorHAnsi" w:hAnsiTheme="minorHAnsi" w:cstheme="minorHAnsi"/>
          <w:iCs/>
          <w:color w:val="000000"/>
          <w:sz w:val="22"/>
          <w:szCs w:val="22"/>
        </w:rPr>
      </w:pPr>
      <w:r>
        <w:rPr>
          <w:rFonts w:asciiTheme="minorHAnsi" w:hAnsiTheme="minorHAnsi" w:cstheme="minorHAnsi"/>
          <w:iCs/>
          <w:color w:val="000000"/>
          <w:sz w:val="22"/>
          <w:szCs w:val="22"/>
        </w:rPr>
        <w:t>E</w:t>
      </w:r>
      <w:r w:rsidR="00C63AC9" w:rsidRPr="00C63AC9">
        <w:rPr>
          <w:rFonts w:asciiTheme="minorHAnsi" w:hAnsiTheme="minorHAnsi" w:cstheme="minorHAnsi"/>
          <w:iCs/>
          <w:color w:val="000000"/>
          <w:sz w:val="22"/>
          <w:szCs w:val="22"/>
        </w:rPr>
        <w:t>n junio de 2023 se contabilizaban 1.868.172 personas beneficiarias (desde la fecha de la aprobación del IMV hasta ese momento) lo que implica una tasa de cobertura del 44% de la población en pobreza severa.</w:t>
      </w:r>
    </w:p>
    <w:p w14:paraId="42282A9F" w14:textId="3B71752D" w:rsidR="00C63AC9" w:rsidRPr="004E3057" w:rsidRDefault="00041D81" w:rsidP="00C63AC9">
      <w:pPr>
        <w:pStyle w:val="xmsolistparagraph"/>
        <w:numPr>
          <w:ilvl w:val="0"/>
          <w:numId w:val="13"/>
        </w:numPr>
        <w:jc w:val="both"/>
        <w:rPr>
          <w:rFonts w:asciiTheme="minorHAnsi" w:hAnsiTheme="minorHAnsi" w:cstheme="minorHAnsi"/>
          <w:iCs/>
          <w:color w:val="000000"/>
          <w:sz w:val="22"/>
          <w:szCs w:val="22"/>
        </w:rPr>
      </w:pPr>
      <w:r>
        <w:rPr>
          <w:rFonts w:asciiTheme="minorHAnsi" w:hAnsiTheme="minorHAnsi" w:cstheme="minorHAnsi"/>
          <w:iCs/>
          <w:color w:val="000000"/>
          <w:sz w:val="22"/>
          <w:szCs w:val="22"/>
        </w:rPr>
        <w:t>E</w:t>
      </w:r>
      <w:r w:rsidR="00C63AC9" w:rsidRPr="00C63AC9">
        <w:rPr>
          <w:rFonts w:asciiTheme="minorHAnsi" w:hAnsiTheme="minorHAnsi" w:cstheme="minorHAnsi"/>
          <w:iCs/>
          <w:color w:val="000000"/>
          <w:sz w:val="22"/>
          <w:szCs w:val="22"/>
        </w:rPr>
        <w:t>n el año 2021, el Salario Mínimo Interprofesional (SMI) se estableció en 965,00€, mientras que el Indicador Público de Renta de Efectos Múltiples (IPREM) alcanzó los 564,90€. En este contexto, la cuantía media de la prestación por titular, que ascendía a 490,81€ al mes, representaba tan solo un 50,9% del SMI y un 86,9% del IPREM. Estas cifras subrayan la limitada capacidad de estas prestaciones para proporcionar un apoyo económico significativo a las personas y familias en situación de necesidad, lo que pone de manifiesto la necesidad de reconsiderar su diseño y alcance.</w:t>
      </w:r>
    </w:p>
    <w:p w14:paraId="4E15CB42" w14:textId="77777777" w:rsidR="00C37DB0" w:rsidRDefault="00C37DB0" w:rsidP="00095525">
      <w:pPr>
        <w:pStyle w:val="xmsolistparagraph"/>
        <w:jc w:val="both"/>
        <w:rPr>
          <w:rFonts w:asciiTheme="minorHAnsi" w:hAnsiTheme="minorHAnsi" w:cstheme="minorHAnsi"/>
          <w:iCs/>
          <w:color w:val="000000"/>
          <w:sz w:val="22"/>
          <w:szCs w:val="22"/>
        </w:rPr>
      </w:pPr>
    </w:p>
    <w:p w14:paraId="4615A294" w14:textId="0CA1BA98" w:rsidR="00C37DB0" w:rsidRPr="00C37DB0" w:rsidRDefault="00C37DB0" w:rsidP="00095525">
      <w:pPr>
        <w:pStyle w:val="xmsolistparagraph"/>
        <w:jc w:val="both"/>
        <w:rPr>
          <w:rFonts w:asciiTheme="minorHAnsi" w:hAnsiTheme="minorHAnsi" w:cstheme="minorHAnsi"/>
          <w:b/>
          <w:iCs/>
          <w:color w:val="000000"/>
          <w:sz w:val="22"/>
          <w:szCs w:val="22"/>
        </w:rPr>
      </w:pPr>
      <w:r w:rsidRPr="00C37DB0">
        <w:rPr>
          <w:rFonts w:asciiTheme="minorHAnsi" w:hAnsiTheme="minorHAnsi" w:cstheme="minorHAnsi"/>
          <w:b/>
          <w:iCs/>
          <w:color w:val="000000"/>
          <w:sz w:val="22"/>
          <w:szCs w:val="22"/>
        </w:rPr>
        <w:t>Respecto al acceso a una vivienda adecuada:</w:t>
      </w:r>
    </w:p>
    <w:p w14:paraId="33800B46" w14:textId="1A8BF202" w:rsidR="00C37DB0" w:rsidRDefault="00C63AC9" w:rsidP="00C63AC9">
      <w:pPr>
        <w:pStyle w:val="xmsolistparagraph"/>
        <w:numPr>
          <w:ilvl w:val="0"/>
          <w:numId w:val="14"/>
        </w:numPr>
        <w:jc w:val="both"/>
        <w:rPr>
          <w:rFonts w:asciiTheme="minorHAnsi" w:hAnsiTheme="minorHAnsi" w:cstheme="minorHAnsi"/>
          <w:iCs/>
          <w:color w:val="000000"/>
          <w:sz w:val="22"/>
          <w:szCs w:val="22"/>
        </w:rPr>
      </w:pPr>
      <w:r w:rsidRPr="00C63AC9">
        <w:rPr>
          <w:rFonts w:asciiTheme="minorHAnsi" w:hAnsiTheme="minorHAnsi" w:cstheme="minorHAnsi"/>
          <w:iCs/>
          <w:color w:val="000000"/>
          <w:sz w:val="22"/>
          <w:szCs w:val="22"/>
        </w:rPr>
        <w:t>Según la última Encuesta de Presupuestos Familiares</w:t>
      </w:r>
      <w:r>
        <w:rPr>
          <w:rStyle w:val="FootnoteReference"/>
          <w:rFonts w:asciiTheme="minorHAnsi" w:hAnsiTheme="minorHAnsi" w:cstheme="minorHAnsi"/>
          <w:iCs/>
          <w:color w:val="000000"/>
          <w:sz w:val="22"/>
          <w:szCs w:val="22"/>
        </w:rPr>
        <w:footnoteReference w:id="5"/>
      </w:r>
      <w:r w:rsidRPr="00C63AC9">
        <w:rPr>
          <w:rFonts w:asciiTheme="minorHAnsi" w:hAnsiTheme="minorHAnsi" w:cstheme="minorHAnsi"/>
          <w:iCs/>
          <w:color w:val="000000"/>
          <w:sz w:val="22"/>
          <w:szCs w:val="22"/>
        </w:rPr>
        <w:t xml:space="preserve"> (2022) las familias en España dedicaron de media en 2021 casi un tercio de sus recursos a proveerse una vivienda y afrontar los suministros</w:t>
      </w:r>
      <w:r w:rsidR="00817715">
        <w:rPr>
          <w:rFonts w:asciiTheme="minorHAnsi" w:hAnsiTheme="minorHAnsi" w:cstheme="minorHAnsi"/>
          <w:iCs/>
          <w:color w:val="000000"/>
          <w:sz w:val="22"/>
          <w:szCs w:val="22"/>
        </w:rPr>
        <w:t>.</w:t>
      </w:r>
    </w:p>
    <w:p w14:paraId="27D1DF42" w14:textId="39BD3E33" w:rsidR="00817715" w:rsidRDefault="00817715" w:rsidP="00817715">
      <w:pPr>
        <w:pStyle w:val="xmsolistparagraph"/>
        <w:numPr>
          <w:ilvl w:val="0"/>
          <w:numId w:val="14"/>
        </w:numPr>
        <w:jc w:val="both"/>
        <w:rPr>
          <w:rFonts w:asciiTheme="minorHAnsi" w:hAnsiTheme="minorHAnsi" w:cstheme="minorHAnsi"/>
          <w:iCs/>
          <w:color w:val="000000"/>
          <w:sz w:val="22"/>
          <w:szCs w:val="22"/>
        </w:rPr>
      </w:pPr>
      <w:r w:rsidRPr="00817715">
        <w:rPr>
          <w:rFonts w:asciiTheme="minorHAnsi" w:hAnsiTheme="minorHAnsi" w:cstheme="minorHAnsi"/>
          <w:iCs/>
          <w:color w:val="000000"/>
          <w:sz w:val="22"/>
          <w:szCs w:val="22"/>
        </w:rPr>
        <w:t>Hoy son necesarios 7,7 años de renta bruta anual para comprar una vivienda contra los 2,9 años que eran necesarios en 1987</w:t>
      </w:r>
      <w:r>
        <w:rPr>
          <w:rFonts w:asciiTheme="minorHAnsi" w:hAnsiTheme="minorHAnsi" w:cstheme="minorHAnsi"/>
          <w:iCs/>
          <w:color w:val="000000"/>
          <w:sz w:val="22"/>
          <w:szCs w:val="22"/>
        </w:rPr>
        <w:t>.</w:t>
      </w:r>
    </w:p>
    <w:p w14:paraId="35E0F37E" w14:textId="77777777" w:rsidR="0034052A" w:rsidRPr="0034052A" w:rsidRDefault="00B459EA" w:rsidP="00817715">
      <w:pPr>
        <w:pStyle w:val="xmsolistparagraph"/>
        <w:numPr>
          <w:ilvl w:val="0"/>
          <w:numId w:val="14"/>
        </w:numPr>
        <w:jc w:val="both"/>
        <w:rPr>
          <w:rFonts w:asciiTheme="minorHAnsi" w:hAnsiTheme="minorHAnsi" w:cstheme="minorHAnsi"/>
          <w:iCs/>
          <w:color w:val="000000"/>
          <w:sz w:val="22"/>
          <w:szCs w:val="22"/>
        </w:rPr>
      </w:pPr>
      <w:r w:rsidRPr="0034052A">
        <w:rPr>
          <w:rFonts w:asciiTheme="minorHAnsi" w:hAnsiTheme="minorHAnsi" w:cstheme="minorHAnsi"/>
          <w:sz w:val="22"/>
          <w:szCs w:val="22"/>
        </w:rPr>
        <w:t xml:space="preserve">En apenas cinco años, el porcentaje de familias </w:t>
      </w:r>
      <w:r w:rsidR="0034052A" w:rsidRPr="0034052A">
        <w:rPr>
          <w:rFonts w:asciiTheme="minorHAnsi" w:hAnsiTheme="minorHAnsi" w:cstheme="minorHAnsi"/>
          <w:sz w:val="22"/>
          <w:szCs w:val="22"/>
        </w:rPr>
        <w:t>que alquila su vivienda</w:t>
      </w:r>
      <w:r w:rsidRPr="0034052A">
        <w:rPr>
          <w:rFonts w:asciiTheme="minorHAnsi" w:hAnsiTheme="minorHAnsi" w:cstheme="minorHAnsi"/>
          <w:sz w:val="22"/>
          <w:szCs w:val="22"/>
        </w:rPr>
        <w:t xml:space="preserve"> ha experimentado un notorio aumento, llegando al 6,6% en 2022 (más de 1,2 millones de hogares). </w:t>
      </w:r>
    </w:p>
    <w:p w14:paraId="00A54EB5" w14:textId="77777777" w:rsidR="0034052A" w:rsidRPr="0034052A" w:rsidRDefault="00B459EA" w:rsidP="00817715">
      <w:pPr>
        <w:pStyle w:val="xmsolistparagraph"/>
        <w:numPr>
          <w:ilvl w:val="0"/>
          <w:numId w:val="14"/>
        </w:numPr>
        <w:jc w:val="both"/>
        <w:rPr>
          <w:rFonts w:asciiTheme="minorHAnsi" w:hAnsiTheme="minorHAnsi" w:cstheme="minorHAnsi"/>
          <w:iCs/>
          <w:color w:val="000000"/>
          <w:sz w:val="22"/>
          <w:szCs w:val="22"/>
        </w:rPr>
      </w:pPr>
      <w:r w:rsidRPr="0034052A">
        <w:rPr>
          <w:rFonts w:asciiTheme="minorHAnsi" w:hAnsiTheme="minorHAnsi" w:cstheme="minorHAnsi"/>
          <w:sz w:val="22"/>
          <w:szCs w:val="22"/>
        </w:rPr>
        <w:t xml:space="preserve">También se está registrando un incremento notorio en el número de familias que residen en viviendas inseguras, llegando al 23,2% en 2021, lo que implica que más de 4,2 millones de hogares viven en pisos compartidos o cedidos sin contrato en vigor o en situación de desahucio. </w:t>
      </w:r>
    </w:p>
    <w:p w14:paraId="2C080FD5" w14:textId="7B2CCC44" w:rsidR="00817715" w:rsidRPr="0034052A" w:rsidRDefault="00B459EA" w:rsidP="00817715">
      <w:pPr>
        <w:pStyle w:val="xmsolistparagraph"/>
        <w:numPr>
          <w:ilvl w:val="0"/>
          <w:numId w:val="14"/>
        </w:numPr>
        <w:jc w:val="both"/>
        <w:rPr>
          <w:rFonts w:asciiTheme="minorHAnsi" w:hAnsiTheme="minorHAnsi" w:cstheme="minorHAnsi"/>
          <w:iCs/>
          <w:color w:val="000000"/>
          <w:sz w:val="22"/>
          <w:szCs w:val="22"/>
        </w:rPr>
      </w:pPr>
      <w:r w:rsidRPr="0034052A">
        <w:rPr>
          <w:rFonts w:asciiTheme="minorHAnsi" w:hAnsiTheme="minorHAnsi" w:cstheme="minorHAnsi"/>
          <w:sz w:val="22"/>
          <w:szCs w:val="22"/>
        </w:rPr>
        <w:t>De manera paralela, la cifra de familias que habitan viviendas inadecuadas, aquellas que no cumplen con las condiciones mínimas dignas para la vida cotidiana, también ha experimentado un preocupante aumento pasando del 25% en 2018 al 30% en 2021 (5,6 millones de familias).</w:t>
      </w:r>
    </w:p>
    <w:p w14:paraId="596ADA8F" w14:textId="731106F3" w:rsidR="00C37DB0" w:rsidRDefault="00C37DB0" w:rsidP="00095525">
      <w:pPr>
        <w:pStyle w:val="xmsolistparagraph"/>
        <w:jc w:val="both"/>
        <w:rPr>
          <w:rFonts w:asciiTheme="minorHAnsi" w:hAnsiTheme="minorHAnsi" w:cstheme="minorHAnsi"/>
          <w:iCs/>
          <w:color w:val="000000"/>
          <w:sz w:val="22"/>
          <w:szCs w:val="22"/>
        </w:rPr>
      </w:pPr>
    </w:p>
    <w:p w14:paraId="4EDC7B4F" w14:textId="0E58B261" w:rsidR="00C37DB0" w:rsidRPr="00C37DB0" w:rsidRDefault="00C37DB0" w:rsidP="00095525">
      <w:pPr>
        <w:pStyle w:val="xmsolistparagraph"/>
        <w:jc w:val="both"/>
        <w:rPr>
          <w:rFonts w:asciiTheme="minorHAnsi" w:hAnsiTheme="minorHAnsi" w:cstheme="minorHAnsi"/>
          <w:b/>
          <w:iCs/>
          <w:color w:val="000000"/>
          <w:sz w:val="22"/>
          <w:szCs w:val="22"/>
        </w:rPr>
      </w:pPr>
      <w:r w:rsidRPr="00C37DB0">
        <w:rPr>
          <w:rFonts w:asciiTheme="minorHAnsi" w:hAnsiTheme="minorHAnsi" w:cstheme="minorHAnsi"/>
          <w:b/>
          <w:iCs/>
          <w:color w:val="000000"/>
          <w:sz w:val="22"/>
          <w:szCs w:val="22"/>
        </w:rPr>
        <w:t>Respecto al acceso a energía y agua:</w:t>
      </w:r>
    </w:p>
    <w:p w14:paraId="7BBFE5E4" w14:textId="15464BF5" w:rsidR="00C37DB0" w:rsidRPr="00817715" w:rsidRDefault="00041D81" w:rsidP="00817715">
      <w:pPr>
        <w:pStyle w:val="xmsolistparagraph"/>
        <w:numPr>
          <w:ilvl w:val="0"/>
          <w:numId w:val="14"/>
        </w:numPr>
        <w:jc w:val="both"/>
        <w:rPr>
          <w:rFonts w:asciiTheme="minorHAnsi" w:hAnsiTheme="minorHAnsi" w:cstheme="minorHAnsi"/>
          <w:iCs/>
          <w:color w:val="000000"/>
          <w:sz w:val="22"/>
          <w:szCs w:val="22"/>
        </w:rPr>
      </w:pPr>
      <w:r>
        <w:rPr>
          <w:rFonts w:asciiTheme="minorHAnsi" w:hAnsiTheme="minorHAnsi" w:cstheme="minorHAnsi"/>
          <w:sz w:val="22"/>
          <w:szCs w:val="22"/>
        </w:rPr>
        <w:t>E</w:t>
      </w:r>
      <w:r w:rsidR="00817715" w:rsidRPr="00817715">
        <w:rPr>
          <w:rFonts w:asciiTheme="minorHAnsi" w:hAnsiTheme="minorHAnsi" w:cstheme="minorHAnsi"/>
          <w:sz w:val="22"/>
          <w:szCs w:val="22"/>
        </w:rPr>
        <w:t>l número de familias</w:t>
      </w:r>
      <w:r w:rsidR="00817715">
        <w:rPr>
          <w:rStyle w:val="FootnoteReference"/>
          <w:rFonts w:asciiTheme="minorHAnsi" w:hAnsiTheme="minorHAnsi" w:cstheme="minorHAnsi"/>
          <w:sz w:val="22"/>
          <w:szCs w:val="22"/>
        </w:rPr>
        <w:footnoteReference w:id="6"/>
      </w:r>
      <w:r w:rsidR="00817715" w:rsidRPr="00817715">
        <w:rPr>
          <w:rFonts w:asciiTheme="minorHAnsi" w:hAnsiTheme="minorHAnsi" w:cstheme="minorHAnsi"/>
          <w:sz w:val="22"/>
          <w:szCs w:val="22"/>
        </w:rPr>
        <w:t xml:space="preserve"> que no pudieron mantener su vivienda a una temperatura adecuada aumentó un 189% con respecto a 2008. En concreto, el gasto en electricidad aumentó un 82%, mientras que en el caso de los combustibles líquidos para el suministro de calefacciones fue del 180%.</w:t>
      </w:r>
    </w:p>
    <w:p w14:paraId="3798A3B0" w14:textId="3FC2170E" w:rsidR="00C37DB0" w:rsidRDefault="00C37DB0" w:rsidP="00095525">
      <w:pPr>
        <w:pStyle w:val="xmsolistparagraph"/>
        <w:jc w:val="both"/>
        <w:rPr>
          <w:rFonts w:asciiTheme="minorHAnsi" w:hAnsiTheme="minorHAnsi" w:cstheme="minorHAnsi"/>
          <w:iCs/>
          <w:color w:val="000000"/>
          <w:sz w:val="22"/>
          <w:szCs w:val="22"/>
        </w:rPr>
      </w:pPr>
    </w:p>
    <w:p w14:paraId="06566B8F" w14:textId="401EB6E2" w:rsidR="00C37DB0" w:rsidRPr="00C37DB0" w:rsidRDefault="00C37DB0" w:rsidP="00095525">
      <w:pPr>
        <w:pStyle w:val="xmsolistparagraph"/>
        <w:jc w:val="both"/>
        <w:rPr>
          <w:rFonts w:asciiTheme="minorHAnsi" w:hAnsiTheme="minorHAnsi" w:cstheme="minorHAnsi"/>
          <w:b/>
          <w:iCs/>
          <w:color w:val="000000"/>
          <w:sz w:val="22"/>
          <w:szCs w:val="22"/>
        </w:rPr>
      </w:pPr>
      <w:r w:rsidRPr="00C37DB0">
        <w:rPr>
          <w:rFonts w:asciiTheme="minorHAnsi" w:hAnsiTheme="minorHAnsi" w:cstheme="minorHAnsi"/>
          <w:b/>
          <w:iCs/>
          <w:color w:val="000000"/>
          <w:sz w:val="22"/>
          <w:szCs w:val="22"/>
        </w:rPr>
        <w:t xml:space="preserve">Respecto al acceso a una alimentación adecuada: </w:t>
      </w:r>
    </w:p>
    <w:p w14:paraId="6D9590BC" w14:textId="5FBDAC99" w:rsidR="00742DDD" w:rsidRDefault="00041D81" w:rsidP="00817715">
      <w:pPr>
        <w:pStyle w:val="xmsolistparagraph"/>
        <w:numPr>
          <w:ilvl w:val="0"/>
          <w:numId w:val="14"/>
        </w:numPr>
        <w:jc w:val="both"/>
        <w:rPr>
          <w:rFonts w:asciiTheme="minorHAnsi" w:hAnsiTheme="minorHAnsi" w:cstheme="minorHAnsi"/>
          <w:iCs/>
          <w:color w:val="000000"/>
          <w:sz w:val="22"/>
          <w:szCs w:val="22"/>
        </w:rPr>
      </w:pPr>
      <w:r>
        <w:rPr>
          <w:rFonts w:asciiTheme="minorHAnsi" w:hAnsiTheme="minorHAnsi" w:cstheme="minorHAnsi"/>
          <w:iCs/>
          <w:color w:val="000000"/>
          <w:sz w:val="22"/>
          <w:szCs w:val="22"/>
        </w:rPr>
        <w:t>D</w:t>
      </w:r>
      <w:r w:rsidR="00817715" w:rsidRPr="00817715">
        <w:rPr>
          <w:rFonts w:asciiTheme="minorHAnsi" w:hAnsiTheme="minorHAnsi" w:cstheme="minorHAnsi"/>
          <w:iCs/>
          <w:color w:val="000000"/>
          <w:sz w:val="22"/>
          <w:szCs w:val="22"/>
        </w:rPr>
        <w:t>e media, un 16% de los gastos se destinan a la compra de alimentos para el consumo diario.</w:t>
      </w:r>
    </w:p>
    <w:p w14:paraId="24FE3BB8" w14:textId="4E9417A6" w:rsidR="00E3640C" w:rsidRDefault="00041D81" w:rsidP="00E3640C">
      <w:pPr>
        <w:pStyle w:val="xmsolistparagraph"/>
        <w:numPr>
          <w:ilvl w:val="0"/>
          <w:numId w:val="14"/>
        </w:numPr>
        <w:jc w:val="both"/>
        <w:rPr>
          <w:rFonts w:asciiTheme="minorHAnsi" w:hAnsiTheme="minorHAnsi" w:cstheme="minorHAnsi"/>
          <w:iCs/>
          <w:color w:val="000000"/>
          <w:sz w:val="22"/>
          <w:szCs w:val="22"/>
        </w:rPr>
      </w:pPr>
      <w:r>
        <w:rPr>
          <w:rFonts w:asciiTheme="minorHAnsi" w:hAnsiTheme="minorHAnsi" w:cstheme="minorHAnsi"/>
          <w:iCs/>
          <w:color w:val="000000"/>
          <w:sz w:val="22"/>
          <w:szCs w:val="22"/>
        </w:rPr>
        <w:t>E</w:t>
      </w:r>
      <w:r w:rsidR="00E3640C">
        <w:rPr>
          <w:rFonts w:asciiTheme="minorHAnsi" w:hAnsiTheme="minorHAnsi" w:cstheme="minorHAnsi"/>
          <w:iCs/>
          <w:color w:val="000000"/>
          <w:sz w:val="22"/>
          <w:szCs w:val="22"/>
        </w:rPr>
        <w:t>l 20% de la población con menores ingresos ha reducido su gasto en alimentación un 6% pudiendo tener</w:t>
      </w:r>
      <w:r w:rsidR="00E3640C" w:rsidRPr="00E3640C">
        <w:rPr>
          <w:rFonts w:asciiTheme="minorHAnsi" w:hAnsiTheme="minorHAnsi" w:cstheme="minorHAnsi"/>
          <w:iCs/>
          <w:color w:val="000000"/>
          <w:sz w:val="22"/>
          <w:szCs w:val="22"/>
        </w:rPr>
        <w:t xml:space="preserve"> un impacto significativo en el bienestar y la seguridad alimentaria de las familias a largo plazo, así como en su propia salud.</w:t>
      </w:r>
    </w:p>
    <w:p w14:paraId="3F36D6BB" w14:textId="40568D1E" w:rsidR="00787854" w:rsidRPr="00787854" w:rsidRDefault="00041D81" w:rsidP="00B62007">
      <w:pPr>
        <w:pStyle w:val="xmsolistparagraph"/>
        <w:numPr>
          <w:ilvl w:val="0"/>
          <w:numId w:val="14"/>
        </w:numPr>
        <w:jc w:val="both"/>
        <w:rPr>
          <w:rFonts w:asciiTheme="minorHAnsi" w:hAnsiTheme="minorHAnsi" w:cstheme="minorHAnsi"/>
          <w:iCs/>
          <w:color w:val="000000"/>
          <w:sz w:val="22"/>
          <w:szCs w:val="22"/>
        </w:rPr>
      </w:pPr>
      <w:r>
        <w:rPr>
          <w:rFonts w:asciiTheme="minorHAnsi" w:hAnsiTheme="minorHAnsi" w:cstheme="minorHAnsi"/>
          <w:iCs/>
          <w:color w:val="000000"/>
          <w:sz w:val="22"/>
          <w:szCs w:val="22"/>
        </w:rPr>
        <w:t>E</w:t>
      </w:r>
      <w:r w:rsidR="00787854">
        <w:rPr>
          <w:rFonts w:asciiTheme="minorHAnsi" w:hAnsiTheme="minorHAnsi" w:cstheme="minorHAnsi"/>
          <w:iCs/>
          <w:color w:val="000000"/>
          <w:sz w:val="22"/>
          <w:szCs w:val="22"/>
        </w:rPr>
        <w:t xml:space="preserve">l </w:t>
      </w:r>
      <w:r w:rsidR="00787854" w:rsidRPr="00787854">
        <w:rPr>
          <w:rFonts w:asciiTheme="minorHAnsi" w:hAnsiTheme="minorHAnsi" w:cstheme="minorHAnsi"/>
          <w:sz w:val="22"/>
          <w:szCs w:val="22"/>
        </w:rPr>
        <w:t>aumento del índice general del IPC en un 24% entre 2021 y 2023 en el rubro de alimentos ha añadido aún más presión en la economía doméstica.</w:t>
      </w:r>
      <w:r w:rsidR="00B62007" w:rsidRPr="00B62007">
        <w:t xml:space="preserve"> </w:t>
      </w:r>
      <w:r w:rsidR="00B62007" w:rsidRPr="00B62007">
        <w:rPr>
          <w:rFonts w:asciiTheme="minorHAnsi" w:hAnsiTheme="minorHAnsi" w:cstheme="minorHAnsi"/>
          <w:sz w:val="22"/>
          <w:szCs w:val="22"/>
        </w:rPr>
        <w:t>Específicamente, tanto el pan como la fruta fresca ha experimentado un alza superior al 20%. Por otro lado, el café, cacao e infusiones (34%) y las legumbres (36%) han aumentado más de un tercio.  Asimismo, los huevos y las patatas y la leche han experimentado un significativo incremento superior al 40%, mientras que el azúcar y los aceites y grasas han sufrido un notable incremento superior al 60%.</w:t>
      </w:r>
    </w:p>
    <w:p w14:paraId="403AEDD1" w14:textId="4A7C5DAB" w:rsidR="00C37DB0" w:rsidRDefault="00C37DB0" w:rsidP="00095525">
      <w:pPr>
        <w:pStyle w:val="xmsolistparagraph"/>
        <w:jc w:val="both"/>
        <w:rPr>
          <w:rFonts w:asciiTheme="minorHAnsi" w:hAnsiTheme="minorHAnsi" w:cstheme="minorHAnsi"/>
          <w:iCs/>
          <w:color w:val="000000"/>
          <w:sz w:val="22"/>
          <w:szCs w:val="22"/>
        </w:rPr>
      </w:pPr>
    </w:p>
    <w:p w14:paraId="202243B6" w14:textId="77777777" w:rsidR="00787854" w:rsidRDefault="00787854" w:rsidP="00095525">
      <w:pPr>
        <w:pStyle w:val="xmsolistparagraph"/>
        <w:jc w:val="both"/>
        <w:rPr>
          <w:rFonts w:asciiTheme="minorHAnsi" w:hAnsiTheme="minorHAnsi" w:cstheme="minorHAnsi"/>
          <w:iCs/>
          <w:color w:val="000000"/>
          <w:sz w:val="22"/>
          <w:szCs w:val="22"/>
        </w:rPr>
      </w:pPr>
    </w:p>
    <w:p w14:paraId="70F8D755" w14:textId="6540169E" w:rsidR="00742DDD" w:rsidRPr="00083BF2" w:rsidRDefault="00C37DB0" w:rsidP="00742DDD">
      <w:pPr>
        <w:shd w:val="clear" w:color="auto" w:fill="385623" w:themeFill="accent6" w:themeFillShade="80"/>
        <w:spacing w:after="0" w:line="240" w:lineRule="auto"/>
        <w:jc w:val="both"/>
        <w:rPr>
          <w:rFonts w:ascii="Calibri" w:eastAsia="Times New Roman" w:hAnsi="Calibri" w:cs="Calibri"/>
          <w:b/>
          <w:bCs/>
          <w:color w:val="FFFFFF" w:themeColor="background1"/>
          <w:lang w:eastAsia="es-ES"/>
        </w:rPr>
      </w:pPr>
      <w:r>
        <w:rPr>
          <w:rFonts w:ascii="Calibri" w:eastAsia="Times New Roman" w:hAnsi="Calibri" w:cs="Calibri"/>
          <w:b/>
          <w:bCs/>
          <w:color w:val="FFFFFF" w:themeColor="background1"/>
          <w:lang w:eastAsia="es-ES"/>
        </w:rPr>
        <w:t>3</w:t>
      </w:r>
      <w:r w:rsidR="00742DDD">
        <w:rPr>
          <w:rFonts w:ascii="Calibri" w:eastAsia="Times New Roman" w:hAnsi="Calibri" w:cs="Calibri"/>
          <w:b/>
          <w:bCs/>
          <w:color w:val="FFFFFF" w:themeColor="background1"/>
          <w:lang w:eastAsia="es-ES"/>
        </w:rPr>
        <w:t xml:space="preserve">. </w:t>
      </w:r>
      <w:r w:rsidR="006D420F">
        <w:rPr>
          <w:rFonts w:ascii="Calibri" w:eastAsia="Times New Roman" w:hAnsi="Calibri" w:cs="Calibri"/>
          <w:b/>
          <w:bCs/>
          <w:color w:val="FFFFFF" w:themeColor="background1"/>
          <w:lang w:eastAsia="es-ES"/>
        </w:rPr>
        <w:t>LA REALIDAD PARTICULAR DE</w:t>
      </w:r>
      <w:r w:rsidR="00742DDD">
        <w:rPr>
          <w:rFonts w:ascii="Calibri" w:eastAsia="Times New Roman" w:hAnsi="Calibri" w:cs="Calibri"/>
          <w:b/>
          <w:bCs/>
          <w:color w:val="FFFFFF" w:themeColor="background1"/>
          <w:lang w:eastAsia="es-ES"/>
        </w:rPr>
        <w:t xml:space="preserve"> PERSONAS Y FAMILIAS MIGRANTES </w:t>
      </w:r>
    </w:p>
    <w:p w14:paraId="287E0F64" w14:textId="77777777" w:rsidR="00742DDD" w:rsidRDefault="00742DDD" w:rsidP="00095525">
      <w:pPr>
        <w:pStyle w:val="xmsolistparagraph"/>
        <w:jc w:val="both"/>
        <w:rPr>
          <w:rFonts w:asciiTheme="minorHAnsi" w:hAnsiTheme="minorHAnsi" w:cstheme="minorHAnsi"/>
          <w:iCs/>
          <w:color w:val="000000"/>
          <w:sz w:val="22"/>
          <w:szCs w:val="22"/>
        </w:rPr>
      </w:pPr>
    </w:p>
    <w:p w14:paraId="7559E327" w14:textId="56495565" w:rsidR="002E32FE" w:rsidRDefault="005C5177" w:rsidP="002E32FE">
      <w:pPr>
        <w:pStyle w:val="xmsolistparagraph"/>
        <w:jc w:val="both"/>
        <w:rPr>
          <w:rFonts w:asciiTheme="minorHAnsi" w:hAnsiTheme="minorHAnsi" w:cstheme="minorHAnsi"/>
          <w:iCs/>
          <w:color w:val="000000"/>
          <w:sz w:val="22"/>
          <w:szCs w:val="22"/>
        </w:rPr>
      </w:pPr>
      <w:r>
        <w:rPr>
          <w:rFonts w:asciiTheme="minorHAnsi" w:hAnsiTheme="minorHAnsi" w:cstheme="minorHAnsi"/>
          <w:iCs/>
          <w:color w:val="000000"/>
          <w:sz w:val="22"/>
          <w:szCs w:val="22"/>
        </w:rPr>
        <w:t>L</w:t>
      </w:r>
      <w:r w:rsidRPr="005C5177">
        <w:rPr>
          <w:rFonts w:asciiTheme="minorHAnsi" w:hAnsiTheme="minorHAnsi" w:cstheme="minorHAnsi"/>
          <w:iCs/>
          <w:color w:val="000000"/>
          <w:sz w:val="22"/>
          <w:szCs w:val="22"/>
        </w:rPr>
        <w:t>as personas de origen inmigrante con nacionalidad extracomunitaria</w:t>
      </w:r>
      <w:r>
        <w:rPr>
          <w:rFonts w:asciiTheme="minorHAnsi" w:hAnsiTheme="minorHAnsi" w:cstheme="minorHAnsi"/>
          <w:iCs/>
          <w:color w:val="000000"/>
          <w:sz w:val="22"/>
          <w:szCs w:val="22"/>
        </w:rPr>
        <w:t xml:space="preserve"> continúan estando </w:t>
      </w:r>
      <w:r w:rsidRPr="005C5177">
        <w:rPr>
          <w:rFonts w:asciiTheme="minorHAnsi" w:hAnsiTheme="minorHAnsi" w:cstheme="minorHAnsi"/>
          <w:iCs/>
          <w:color w:val="000000"/>
          <w:sz w:val="22"/>
          <w:szCs w:val="22"/>
        </w:rPr>
        <w:t xml:space="preserve">sobrerrepresentadas entre la población en situación de exclusión social en España, pues </w:t>
      </w:r>
      <w:r w:rsidRPr="00197AA4">
        <w:rPr>
          <w:rFonts w:asciiTheme="minorHAnsi" w:hAnsiTheme="minorHAnsi" w:cstheme="minorHAnsi"/>
          <w:b/>
          <w:iCs/>
          <w:color w:val="000000"/>
          <w:sz w:val="22"/>
          <w:szCs w:val="22"/>
        </w:rPr>
        <w:t>si bien representan el 15% del total de la población, son el 25% de la población en dicha situación de exclusión social</w:t>
      </w:r>
      <w:r>
        <w:rPr>
          <w:rFonts w:asciiTheme="minorHAnsi" w:hAnsiTheme="minorHAnsi" w:cstheme="minorHAnsi"/>
          <w:iCs/>
          <w:color w:val="000000"/>
          <w:sz w:val="22"/>
          <w:szCs w:val="22"/>
        </w:rPr>
        <w:t>.</w:t>
      </w:r>
      <w:r w:rsidR="002E32FE">
        <w:rPr>
          <w:rFonts w:asciiTheme="minorHAnsi" w:hAnsiTheme="minorHAnsi" w:cstheme="minorHAnsi"/>
          <w:iCs/>
          <w:color w:val="000000"/>
          <w:sz w:val="22"/>
          <w:szCs w:val="22"/>
        </w:rPr>
        <w:t xml:space="preserve"> </w:t>
      </w:r>
    </w:p>
    <w:p w14:paraId="1776208F" w14:textId="77777777" w:rsidR="002E32FE" w:rsidRDefault="002E32FE" w:rsidP="002E32FE">
      <w:pPr>
        <w:pStyle w:val="xmsolistparagraph"/>
        <w:jc w:val="both"/>
        <w:rPr>
          <w:rFonts w:asciiTheme="minorHAnsi" w:hAnsiTheme="minorHAnsi" w:cstheme="minorHAnsi"/>
          <w:iCs/>
          <w:color w:val="000000"/>
          <w:sz w:val="22"/>
          <w:szCs w:val="22"/>
        </w:rPr>
      </w:pPr>
    </w:p>
    <w:p w14:paraId="58F6A32E" w14:textId="2046C2C0" w:rsidR="006D420F" w:rsidRDefault="002E32FE" w:rsidP="00CE1ABF">
      <w:pPr>
        <w:pStyle w:val="xmsolistparagraph"/>
        <w:jc w:val="both"/>
        <w:rPr>
          <w:rFonts w:asciiTheme="minorHAnsi" w:hAnsiTheme="minorHAnsi" w:cstheme="minorHAnsi"/>
          <w:iCs/>
          <w:color w:val="000000"/>
          <w:sz w:val="22"/>
          <w:szCs w:val="22"/>
        </w:rPr>
      </w:pPr>
      <w:r>
        <w:rPr>
          <w:rFonts w:asciiTheme="minorHAnsi" w:hAnsiTheme="minorHAnsi" w:cstheme="minorHAnsi"/>
          <w:iCs/>
          <w:color w:val="000000"/>
          <w:sz w:val="22"/>
          <w:szCs w:val="22"/>
        </w:rPr>
        <w:t>Además del</w:t>
      </w:r>
      <w:r w:rsidR="005C5177">
        <w:rPr>
          <w:rFonts w:asciiTheme="minorHAnsi" w:hAnsiTheme="minorHAnsi" w:cstheme="minorHAnsi"/>
          <w:iCs/>
          <w:color w:val="000000"/>
          <w:sz w:val="22"/>
          <w:szCs w:val="22"/>
        </w:rPr>
        <w:t xml:space="preserve"> componente</w:t>
      </w:r>
      <w:r>
        <w:rPr>
          <w:rFonts w:asciiTheme="minorHAnsi" w:hAnsiTheme="minorHAnsi" w:cstheme="minorHAnsi"/>
          <w:iCs/>
          <w:color w:val="000000"/>
          <w:sz w:val="22"/>
          <w:szCs w:val="22"/>
        </w:rPr>
        <w:t xml:space="preserve"> de origen</w:t>
      </w:r>
      <w:r w:rsidR="00CE1ABF">
        <w:rPr>
          <w:rFonts w:asciiTheme="minorHAnsi" w:hAnsiTheme="minorHAnsi" w:cstheme="minorHAnsi"/>
          <w:iCs/>
          <w:color w:val="000000"/>
          <w:sz w:val="22"/>
          <w:szCs w:val="22"/>
        </w:rPr>
        <w:t xml:space="preserve"> inmigrante</w:t>
      </w:r>
      <w:r>
        <w:rPr>
          <w:rFonts w:asciiTheme="minorHAnsi" w:hAnsiTheme="minorHAnsi" w:cstheme="minorHAnsi"/>
          <w:iCs/>
          <w:color w:val="000000"/>
          <w:sz w:val="22"/>
          <w:szCs w:val="22"/>
        </w:rPr>
        <w:t>, la situación</w:t>
      </w:r>
      <w:r w:rsidR="005C5177">
        <w:rPr>
          <w:rFonts w:asciiTheme="minorHAnsi" w:hAnsiTheme="minorHAnsi" w:cstheme="minorHAnsi"/>
          <w:iCs/>
          <w:color w:val="000000"/>
          <w:sz w:val="22"/>
          <w:szCs w:val="22"/>
        </w:rPr>
        <w:t xml:space="preserve"> de irregularidad administrativa</w:t>
      </w:r>
      <w:r>
        <w:rPr>
          <w:rFonts w:asciiTheme="minorHAnsi" w:hAnsiTheme="minorHAnsi" w:cstheme="minorHAnsi"/>
          <w:iCs/>
          <w:color w:val="000000"/>
          <w:sz w:val="22"/>
          <w:szCs w:val="22"/>
        </w:rPr>
        <w:t xml:space="preserve"> – personas de nacionalidad extracomunitaria que no cuenta</w:t>
      </w:r>
      <w:r w:rsidR="006D420F">
        <w:rPr>
          <w:rFonts w:asciiTheme="minorHAnsi" w:hAnsiTheme="minorHAnsi" w:cstheme="minorHAnsi"/>
          <w:iCs/>
          <w:color w:val="000000"/>
          <w:sz w:val="22"/>
          <w:szCs w:val="22"/>
        </w:rPr>
        <w:t>n</w:t>
      </w:r>
      <w:r>
        <w:rPr>
          <w:rFonts w:asciiTheme="minorHAnsi" w:hAnsiTheme="minorHAnsi" w:cstheme="minorHAnsi"/>
          <w:iCs/>
          <w:color w:val="000000"/>
          <w:sz w:val="22"/>
          <w:szCs w:val="22"/>
        </w:rPr>
        <w:t xml:space="preserve"> con una autorización para residir en España </w:t>
      </w:r>
      <w:r w:rsidR="00CE1ABF">
        <w:rPr>
          <w:rFonts w:asciiTheme="minorHAnsi" w:hAnsiTheme="minorHAnsi" w:cstheme="minorHAnsi"/>
          <w:iCs/>
          <w:color w:val="000000"/>
          <w:sz w:val="22"/>
          <w:szCs w:val="22"/>
        </w:rPr>
        <w:t>–</w:t>
      </w:r>
      <w:r>
        <w:rPr>
          <w:rFonts w:asciiTheme="minorHAnsi" w:hAnsiTheme="minorHAnsi" w:cstheme="minorHAnsi"/>
          <w:iCs/>
          <w:color w:val="000000"/>
          <w:sz w:val="22"/>
          <w:szCs w:val="22"/>
        </w:rPr>
        <w:t xml:space="preserve"> </w:t>
      </w:r>
      <w:r w:rsidR="006D420F">
        <w:rPr>
          <w:rFonts w:asciiTheme="minorHAnsi" w:hAnsiTheme="minorHAnsi" w:cstheme="minorHAnsi"/>
          <w:iCs/>
          <w:color w:val="000000"/>
          <w:sz w:val="22"/>
          <w:szCs w:val="22"/>
        </w:rPr>
        <w:t xml:space="preserve">tiene un impacto </w:t>
      </w:r>
      <w:r w:rsidR="00A5778E">
        <w:rPr>
          <w:rFonts w:asciiTheme="minorHAnsi" w:hAnsiTheme="minorHAnsi" w:cstheme="minorHAnsi"/>
          <w:iCs/>
          <w:color w:val="000000"/>
          <w:sz w:val="22"/>
          <w:szCs w:val="22"/>
        </w:rPr>
        <w:t xml:space="preserve">relevante en sus índices de pobreza y exclusión </w:t>
      </w:r>
      <w:r w:rsidR="00A5778E" w:rsidRPr="00A5778E">
        <w:rPr>
          <w:rFonts w:asciiTheme="minorHAnsi" w:hAnsiTheme="minorHAnsi" w:cstheme="minorHAnsi"/>
          <w:iCs/>
          <w:sz w:val="22"/>
          <w:szCs w:val="22"/>
        </w:rPr>
        <w:t>social</w:t>
      </w:r>
      <w:r w:rsidR="00CE1ABF" w:rsidRPr="00A5778E">
        <w:rPr>
          <w:rFonts w:asciiTheme="minorHAnsi" w:hAnsiTheme="minorHAnsi" w:cstheme="minorHAnsi"/>
          <w:iCs/>
          <w:sz w:val="22"/>
          <w:szCs w:val="22"/>
        </w:rPr>
        <w:t>, de acuerdo</w:t>
      </w:r>
      <w:r w:rsidR="00A5778E">
        <w:rPr>
          <w:rFonts w:asciiTheme="minorHAnsi" w:hAnsiTheme="minorHAnsi" w:cstheme="minorHAnsi"/>
          <w:iCs/>
          <w:sz w:val="22"/>
          <w:szCs w:val="22"/>
        </w:rPr>
        <w:t xml:space="preserve"> a la publicación de</w:t>
      </w:r>
      <w:r w:rsidR="00CE1ABF" w:rsidRPr="00A5778E">
        <w:rPr>
          <w:rFonts w:asciiTheme="minorHAnsi" w:hAnsiTheme="minorHAnsi" w:cstheme="minorHAnsi"/>
          <w:iCs/>
          <w:sz w:val="22"/>
          <w:szCs w:val="22"/>
        </w:rPr>
        <w:t xml:space="preserve"> </w:t>
      </w:r>
      <w:r w:rsidR="00CE1ABF" w:rsidRPr="00CE1ABF">
        <w:rPr>
          <w:rFonts w:asciiTheme="minorHAnsi" w:hAnsiTheme="minorHAnsi" w:cstheme="minorHAnsi"/>
          <w:b/>
          <w:iCs/>
          <w:color w:val="000000"/>
          <w:sz w:val="22"/>
          <w:szCs w:val="22"/>
        </w:rPr>
        <w:t>FOESSA “Vulneración de derechos: Las personas en situación administrativa irregular”</w:t>
      </w:r>
      <w:r w:rsidR="00CE1ABF">
        <w:rPr>
          <w:rFonts w:asciiTheme="minorHAnsi" w:hAnsiTheme="minorHAnsi" w:cstheme="minorHAnsi"/>
          <w:iCs/>
          <w:color w:val="000000"/>
          <w:sz w:val="22"/>
          <w:szCs w:val="22"/>
        </w:rPr>
        <w:t xml:space="preserve"> (Focus 2023)</w:t>
      </w:r>
      <w:r w:rsidR="00CE1ABF">
        <w:rPr>
          <w:rStyle w:val="FootnoteReference"/>
          <w:rFonts w:asciiTheme="minorHAnsi" w:hAnsiTheme="minorHAnsi" w:cstheme="minorHAnsi"/>
          <w:iCs/>
          <w:color w:val="000000"/>
          <w:sz w:val="22"/>
          <w:szCs w:val="22"/>
        </w:rPr>
        <w:footnoteReference w:id="7"/>
      </w:r>
      <w:r w:rsidR="00A5778E">
        <w:rPr>
          <w:rFonts w:asciiTheme="minorHAnsi" w:hAnsiTheme="minorHAnsi" w:cstheme="minorHAnsi"/>
          <w:iCs/>
          <w:color w:val="000000"/>
          <w:sz w:val="22"/>
          <w:szCs w:val="22"/>
        </w:rPr>
        <w:t xml:space="preserve">. </w:t>
      </w:r>
    </w:p>
    <w:p w14:paraId="700B4B06" w14:textId="77777777" w:rsidR="006D420F" w:rsidRDefault="006D420F" w:rsidP="00CE1ABF">
      <w:pPr>
        <w:pStyle w:val="xmsolistparagraph"/>
        <w:jc w:val="both"/>
        <w:rPr>
          <w:rFonts w:asciiTheme="minorHAnsi" w:hAnsiTheme="minorHAnsi" w:cstheme="minorHAnsi"/>
          <w:iCs/>
          <w:color w:val="000000"/>
          <w:sz w:val="22"/>
          <w:szCs w:val="22"/>
        </w:rPr>
      </w:pPr>
    </w:p>
    <w:p w14:paraId="0F6955A7" w14:textId="1534A243" w:rsidR="006D420F" w:rsidRDefault="006D420F" w:rsidP="00CE1ABF">
      <w:pPr>
        <w:pStyle w:val="xmsolistparagraph"/>
        <w:jc w:val="both"/>
        <w:rPr>
          <w:rFonts w:asciiTheme="minorHAnsi" w:hAnsiTheme="minorHAnsi" w:cstheme="minorHAnsi"/>
          <w:iCs/>
          <w:color w:val="000000"/>
          <w:sz w:val="22"/>
          <w:szCs w:val="22"/>
        </w:rPr>
      </w:pPr>
      <w:r>
        <w:rPr>
          <w:rFonts w:asciiTheme="minorHAnsi" w:hAnsiTheme="minorHAnsi" w:cstheme="minorHAnsi"/>
          <w:iCs/>
          <w:color w:val="000000"/>
          <w:sz w:val="22"/>
          <w:szCs w:val="22"/>
        </w:rPr>
        <w:t xml:space="preserve">Ante la ausencia de cifras oficiales para determinar el número de personas que residen en situación administrativa irregular en España, Cáritas genera un aproximado según el volumen de personas que acompaña. Durante el año 2022, </w:t>
      </w:r>
      <w:r w:rsidRPr="005C5177">
        <w:rPr>
          <w:rFonts w:asciiTheme="minorHAnsi" w:hAnsiTheme="minorHAnsi" w:cstheme="minorHAnsi"/>
          <w:iCs/>
          <w:color w:val="000000"/>
          <w:sz w:val="22"/>
          <w:szCs w:val="22"/>
        </w:rPr>
        <w:t xml:space="preserve">aproximadamente </w:t>
      </w:r>
      <w:r w:rsidRPr="00A5778E">
        <w:rPr>
          <w:rFonts w:asciiTheme="minorHAnsi" w:hAnsiTheme="minorHAnsi" w:cstheme="minorHAnsi"/>
          <w:b/>
          <w:iCs/>
          <w:color w:val="000000"/>
          <w:sz w:val="22"/>
          <w:szCs w:val="22"/>
        </w:rPr>
        <w:t>el 32% de la población acompañada a través de sus programas y recursos se encuentra en situación administrativa irregular (500.000 personas)</w:t>
      </w:r>
      <w:r>
        <w:rPr>
          <w:rFonts w:asciiTheme="minorHAnsi" w:hAnsiTheme="minorHAnsi" w:cstheme="minorHAnsi"/>
          <w:iCs/>
          <w:color w:val="000000"/>
          <w:sz w:val="22"/>
          <w:szCs w:val="22"/>
        </w:rPr>
        <w:t xml:space="preserve"> </w:t>
      </w:r>
      <w:r w:rsidRPr="005C5177">
        <w:rPr>
          <w:rFonts w:asciiTheme="minorHAnsi" w:hAnsiTheme="minorHAnsi" w:cstheme="minorHAnsi"/>
          <w:iCs/>
          <w:color w:val="000000"/>
          <w:sz w:val="22"/>
          <w:szCs w:val="22"/>
        </w:rPr>
        <w:t>un incremento del 43% con respecto del dato estimado en el año 2019</w:t>
      </w:r>
      <w:r>
        <w:rPr>
          <w:rFonts w:asciiTheme="minorHAnsi" w:hAnsiTheme="minorHAnsi" w:cstheme="minorHAnsi"/>
          <w:iCs/>
          <w:color w:val="000000"/>
          <w:sz w:val="22"/>
          <w:szCs w:val="22"/>
        </w:rPr>
        <w:t>.</w:t>
      </w:r>
    </w:p>
    <w:p w14:paraId="1F41A0A9" w14:textId="55AA0BCD" w:rsidR="00197AA4" w:rsidRDefault="00197AA4" w:rsidP="00CE1ABF">
      <w:pPr>
        <w:pStyle w:val="xmsolistparagraph"/>
        <w:jc w:val="both"/>
        <w:rPr>
          <w:rFonts w:asciiTheme="minorHAnsi" w:hAnsiTheme="minorHAnsi" w:cstheme="minorHAnsi"/>
          <w:iCs/>
          <w:color w:val="000000"/>
          <w:sz w:val="22"/>
          <w:szCs w:val="22"/>
        </w:rPr>
      </w:pPr>
    </w:p>
    <w:p w14:paraId="77939F52" w14:textId="3E9EECD7" w:rsidR="005F6EE0" w:rsidRDefault="005F6EE0" w:rsidP="00CE1ABF">
      <w:pPr>
        <w:pStyle w:val="xmsolistparagraph"/>
        <w:jc w:val="both"/>
        <w:rPr>
          <w:rFonts w:asciiTheme="minorHAnsi" w:hAnsiTheme="minorHAnsi" w:cstheme="minorHAnsi"/>
          <w:iCs/>
          <w:color w:val="000000"/>
          <w:sz w:val="22"/>
          <w:szCs w:val="22"/>
        </w:rPr>
      </w:pPr>
      <w:r>
        <w:rPr>
          <w:rFonts w:asciiTheme="minorHAnsi" w:hAnsiTheme="minorHAnsi" w:cstheme="minorHAnsi"/>
          <w:iCs/>
          <w:color w:val="000000"/>
          <w:sz w:val="22"/>
          <w:szCs w:val="22"/>
        </w:rPr>
        <w:t xml:space="preserve">Los siguientes datos tienen como fuente la encuesta sobre integración y necesidades sociales de la fundación Foessa incluida en la publicación </w:t>
      </w:r>
      <w:r w:rsidRPr="00197AA4">
        <w:rPr>
          <w:rFonts w:asciiTheme="minorHAnsi" w:hAnsiTheme="minorHAnsi" w:cstheme="minorHAnsi"/>
          <w:b/>
          <w:iCs/>
          <w:color w:val="000000"/>
          <w:sz w:val="22"/>
          <w:szCs w:val="22"/>
        </w:rPr>
        <w:t>“Sociedad expulsada y derecho a ingresos”</w:t>
      </w:r>
      <w:r w:rsidRPr="005F6EE0">
        <w:rPr>
          <w:rStyle w:val="FootnoteReference"/>
          <w:rFonts w:asciiTheme="minorHAnsi" w:hAnsiTheme="minorHAnsi" w:cstheme="minorHAnsi"/>
          <w:iCs/>
          <w:color w:val="000000"/>
          <w:sz w:val="22"/>
          <w:szCs w:val="22"/>
        </w:rPr>
        <w:t xml:space="preserve"> </w:t>
      </w:r>
      <w:r>
        <w:rPr>
          <w:rStyle w:val="FootnoteReference"/>
          <w:rFonts w:asciiTheme="minorHAnsi" w:hAnsiTheme="minorHAnsi" w:cstheme="minorHAnsi"/>
          <w:iCs/>
          <w:color w:val="000000"/>
          <w:sz w:val="22"/>
          <w:szCs w:val="22"/>
        </w:rPr>
        <w:footnoteReference w:id="8"/>
      </w:r>
      <w:r>
        <w:rPr>
          <w:rFonts w:asciiTheme="minorHAnsi" w:hAnsiTheme="minorHAnsi" w:cstheme="minorHAnsi"/>
          <w:iCs/>
          <w:color w:val="000000"/>
          <w:sz w:val="22"/>
          <w:szCs w:val="22"/>
        </w:rPr>
        <w:t xml:space="preserve"> (Análisis y perspectivas 2021):</w:t>
      </w:r>
    </w:p>
    <w:p w14:paraId="7BCDDC11" w14:textId="77777777" w:rsidR="00197AA4" w:rsidRDefault="00197AA4" w:rsidP="00CE1ABF">
      <w:pPr>
        <w:pStyle w:val="xmsolistparagraph"/>
        <w:jc w:val="both"/>
        <w:rPr>
          <w:rFonts w:asciiTheme="minorHAnsi" w:hAnsiTheme="minorHAnsi" w:cstheme="minorHAnsi"/>
          <w:iCs/>
          <w:color w:val="000000"/>
          <w:sz w:val="22"/>
          <w:szCs w:val="22"/>
        </w:rPr>
      </w:pPr>
    </w:p>
    <w:p w14:paraId="4D3A961C" w14:textId="1E439A15" w:rsidR="005C5177" w:rsidRDefault="005C5177" w:rsidP="005C5177">
      <w:pPr>
        <w:pStyle w:val="xmsolistparagraph"/>
        <w:jc w:val="both"/>
        <w:rPr>
          <w:rFonts w:asciiTheme="minorHAnsi" w:hAnsiTheme="minorHAnsi" w:cstheme="minorHAnsi"/>
          <w:iCs/>
          <w:color w:val="000000"/>
          <w:sz w:val="22"/>
          <w:szCs w:val="22"/>
        </w:rPr>
      </w:pPr>
    </w:p>
    <w:p w14:paraId="0E969B28" w14:textId="70E795A4" w:rsidR="00A5778E" w:rsidRPr="005F6EE0" w:rsidRDefault="005C5177" w:rsidP="00C861B6">
      <w:pPr>
        <w:pStyle w:val="xmsolistparagraph"/>
        <w:numPr>
          <w:ilvl w:val="0"/>
          <w:numId w:val="19"/>
        </w:numPr>
        <w:jc w:val="both"/>
        <w:rPr>
          <w:rFonts w:asciiTheme="minorHAnsi" w:hAnsiTheme="minorHAnsi" w:cstheme="minorHAnsi"/>
          <w:iCs/>
          <w:color w:val="000000"/>
          <w:sz w:val="22"/>
          <w:szCs w:val="22"/>
        </w:rPr>
      </w:pPr>
      <w:r w:rsidRPr="005F6EE0">
        <w:rPr>
          <w:rFonts w:asciiTheme="minorHAnsi" w:hAnsiTheme="minorHAnsi" w:cstheme="minorHAnsi"/>
          <w:iCs/>
          <w:color w:val="000000"/>
          <w:sz w:val="22"/>
          <w:szCs w:val="22"/>
        </w:rPr>
        <w:t xml:space="preserve">Mientras que entre la población española la incidencia de exclusión social es del 26%, para las personas de origen extracomunitario se eleva al 68%, </w:t>
      </w:r>
      <w:r w:rsidR="00197AA4" w:rsidRPr="005F6EE0">
        <w:rPr>
          <w:rFonts w:asciiTheme="minorHAnsi" w:hAnsiTheme="minorHAnsi" w:cstheme="minorHAnsi"/>
          <w:iCs/>
          <w:color w:val="000000"/>
          <w:sz w:val="22"/>
          <w:szCs w:val="22"/>
        </w:rPr>
        <w:t xml:space="preserve">y </w:t>
      </w:r>
      <w:r w:rsidRPr="005F6EE0">
        <w:rPr>
          <w:rFonts w:asciiTheme="minorHAnsi" w:hAnsiTheme="minorHAnsi" w:cstheme="minorHAnsi"/>
          <w:iCs/>
          <w:color w:val="000000"/>
          <w:sz w:val="22"/>
          <w:szCs w:val="22"/>
        </w:rPr>
        <w:t xml:space="preserve">hasta el 81% para las </w:t>
      </w:r>
      <w:r w:rsidR="00A5778E" w:rsidRPr="005F6EE0">
        <w:rPr>
          <w:rFonts w:asciiTheme="minorHAnsi" w:hAnsiTheme="minorHAnsi" w:cstheme="minorHAnsi"/>
          <w:iCs/>
          <w:color w:val="000000"/>
          <w:sz w:val="22"/>
          <w:szCs w:val="22"/>
        </w:rPr>
        <w:t xml:space="preserve">personas en situación administrativa irregular, </w:t>
      </w:r>
      <w:r w:rsidRPr="005F6EE0">
        <w:rPr>
          <w:rFonts w:asciiTheme="minorHAnsi" w:hAnsiTheme="minorHAnsi" w:cstheme="minorHAnsi"/>
          <w:iCs/>
          <w:color w:val="000000"/>
          <w:sz w:val="22"/>
          <w:szCs w:val="22"/>
        </w:rPr>
        <w:t>una incidencia tres veces mayor.</w:t>
      </w:r>
    </w:p>
    <w:p w14:paraId="69D70CE1" w14:textId="678C6558" w:rsidR="00A5778E" w:rsidRPr="005F6EE0" w:rsidRDefault="00A5778E" w:rsidP="00C861B6">
      <w:pPr>
        <w:pStyle w:val="xmsolistparagraph"/>
        <w:numPr>
          <w:ilvl w:val="0"/>
          <w:numId w:val="19"/>
        </w:numPr>
        <w:jc w:val="both"/>
        <w:rPr>
          <w:rFonts w:asciiTheme="minorHAnsi" w:hAnsiTheme="minorHAnsi" w:cstheme="minorHAnsi"/>
          <w:iCs/>
          <w:color w:val="000000"/>
          <w:sz w:val="22"/>
          <w:szCs w:val="22"/>
        </w:rPr>
      </w:pPr>
      <w:r w:rsidRPr="005F6EE0">
        <w:rPr>
          <w:rFonts w:asciiTheme="minorHAnsi" w:hAnsiTheme="minorHAnsi" w:cstheme="minorHAnsi"/>
          <w:iCs/>
          <w:color w:val="000000"/>
          <w:sz w:val="22"/>
          <w:szCs w:val="22"/>
        </w:rPr>
        <w:t xml:space="preserve">Mientras que el 15% de la población de nacionalidad española sufren una situación de pobreza severa, este porcentaje se eleva al 34% entre las personas extracomunitarias y alcanza </w:t>
      </w:r>
      <w:r w:rsidR="00197AA4" w:rsidRPr="005F6EE0">
        <w:rPr>
          <w:rFonts w:asciiTheme="minorHAnsi" w:hAnsiTheme="minorHAnsi" w:cstheme="minorHAnsi"/>
          <w:iCs/>
          <w:color w:val="000000"/>
          <w:sz w:val="22"/>
          <w:szCs w:val="22"/>
        </w:rPr>
        <w:t>el 56%</w:t>
      </w:r>
      <w:r w:rsidRPr="005F6EE0">
        <w:rPr>
          <w:rFonts w:asciiTheme="minorHAnsi" w:hAnsiTheme="minorHAnsi" w:cstheme="minorHAnsi"/>
          <w:iCs/>
          <w:color w:val="000000"/>
          <w:sz w:val="22"/>
          <w:szCs w:val="22"/>
        </w:rPr>
        <w:t xml:space="preserve"> de las </w:t>
      </w:r>
      <w:r w:rsidR="00197AA4" w:rsidRPr="005F6EE0">
        <w:rPr>
          <w:rFonts w:asciiTheme="minorHAnsi" w:hAnsiTheme="minorHAnsi" w:cstheme="minorHAnsi"/>
          <w:iCs/>
          <w:color w:val="000000"/>
          <w:sz w:val="22"/>
          <w:szCs w:val="22"/>
        </w:rPr>
        <w:t>personas en situación irregular</w:t>
      </w:r>
      <w:r w:rsidRPr="005F6EE0">
        <w:rPr>
          <w:rFonts w:asciiTheme="minorHAnsi" w:hAnsiTheme="minorHAnsi" w:cstheme="minorHAnsi"/>
          <w:iCs/>
          <w:color w:val="000000"/>
          <w:sz w:val="22"/>
          <w:szCs w:val="22"/>
        </w:rPr>
        <w:t>.</w:t>
      </w:r>
    </w:p>
    <w:p w14:paraId="469931E8" w14:textId="77777777" w:rsidR="00A5778E" w:rsidRPr="005F6EE0" w:rsidRDefault="00A5778E" w:rsidP="00A5778E">
      <w:pPr>
        <w:pStyle w:val="xmsolistparagraph"/>
        <w:jc w:val="both"/>
        <w:rPr>
          <w:rFonts w:asciiTheme="minorHAnsi" w:hAnsiTheme="minorHAnsi" w:cstheme="minorHAnsi"/>
          <w:iCs/>
          <w:color w:val="000000"/>
          <w:sz w:val="22"/>
          <w:szCs w:val="22"/>
        </w:rPr>
      </w:pPr>
    </w:p>
    <w:p w14:paraId="21AB486E" w14:textId="77777777" w:rsidR="00A5778E" w:rsidRPr="005F6EE0" w:rsidRDefault="00A5778E" w:rsidP="00A5778E">
      <w:pPr>
        <w:pStyle w:val="xmsolistparagraph"/>
        <w:jc w:val="both"/>
        <w:rPr>
          <w:rFonts w:asciiTheme="minorHAnsi" w:hAnsiTheme="minorHAnsi" w:cstheme="minorHAnsi"/>
          <w:iCs/>
          <w:color w:val="000000"/>
          <w:sz w:val="22"/>
          <w:szCs w:val="22"/>
        </w:rPr>
      </w:pPr>
    </w:p>
    <w:p w14:paraId="34C72F8E" w14:textId="77777777" w:rsidR="00A5778E" w:rsidRPr="005F6EE0" w:rsidRDefault="00A5778E" w:rsidP="00A5778E">
      <w:pPr>
        <w:pStyle w:val="xmsolistparagraph"/>
        <w:jc w:val="both"/>
        <w:rPr>
          <w:rFonts w:asciiTheme="minorHAnsi" w:hAnsiTheme="minorHAnsi" w:cstheme="minorHAnsi"/>
          <w:iCs/>
          <w:color w:val="000000"/>
          <w:sz w:val="22"/>
          <w:szCs w:val="22"/>
        </w:rPr>
      </w:pPr>
      <w:r w:rsidRPr="005F6EE0">
        <w:rPr>
          <w:rFonts w:asciiTheme="minorHAnsi" w:hAnsiTheme="minorHAnsi" w:cstheme="minorHAnsi"/>
          <w:b/>
          <w:iCs/>
          <w:color w:val="000000"/>
          <w:sz w:val="22"/>
          <w:szCs w:val="22"/>
        </w:rPr>
        <w:t>Respecto al acceso a una vivienda adecuada</w:t>
      </w:r>
      <w:r w:rsidRPr="005F6EE0">
        <w:rPr>
          <w:rFonts w:asciiTheme="minorHAnsi" w:hAnsiTheme="minorHAnsi" w:cstheme="minorHAnsi"/>
          <w:iCs/>
          <w:color w:val="000000"/>
          <w:sz w:val="22"/>
          <w:szCs w:val="22"/>
        </w:rPr>
        <w:t>:</w:t>
      </w:r>
    </w:p>
    <w:p w14:paraId="675A9E14" w14:textId="77777777" w:rsidR="00A5778E" w:rsidRPr="005F6EE0" w:rsidRDefault="00A5778E" w:rsidP="00A5778E">
      <w:pPr>
        <w:pStyle w:val="xmsolistparagraph"/>
        <w:jc w:val="both"/>
        <w:rPr>
          <w:rFonts w:asciiTheme="minorHAnsi" w:hAnsiTheme="minorHAnsi" w:cstheme="minorHAnsi"/>
          <w:iCs/>
          <w:color w:val="000000"/>
          <w:sz w:val="22"/>
          <w:szCs w:val="22"/>
        </w:rPr>
      </w:pPr>
    </w:p>
    <w:p w14:paraId="0B8D2C8F" w14:textId="77777777" w:rsidR="005F6EE0" w:rsidRPr="005F6EE0" w:rsidRDefault="002E32FE" w:rsidP="00E66F8A">
      <w:pPr>
        <w:pStyle w:val="xmsolistparagraph"/>
        <w:numPr>
          <w:ilvl w:val="0"/>
          <w:numId w:val="18"/>
        </w:numPr>
        <w:jc w:val="both"/>
        <w:rPr>
          <w:rFonts w:asciiTheme="minorHAnsi" w:hAnsiTheme="minorHAnsi" w:cstheme="minorHAnsi"/>
          <w:iCs/>
          <w:color w:val="000000"/>
          <w:sz w:val="22"/>
          <w:szCs w:val="22"/>
        </w:rPr>
      </w:pPr>
      <w:r w:rsidRPr="005F6EE0">
        <w:rPr>
          <w:rFonts w:asciiTheme="minorHAnsi" w:hAnsiTheme="minorHAnsi" w:cstheme="minorHAnsi"/>
          <w:iCs/>
          <w:color w:val="000000"/>
          <w:sz w:val="22"/>
          <w:szCs w:val="22"/>
        </w:rPr>
        <w:t xml:space="preserve">7 de cada 10 </w:t>
      </w:r>
      <w:r w:rsidR="00197AA4" w:rsidRPr="005F6EE0">
        <w:rPr>
          <w:rFonts w:asciiTheme="minorHAnsi" w:hAnsiTheme="minorHAnsi" w:cstheme="minorHAnsi"/>
          <w:iCs/>
          <w:color w:val="000000"/>
          <w:sz w:val="22"/>
          <w:szCs w:val="22"/>
        </w:rPr>
        <w:t>personas en situación irregular</w:t>
      </w:r>
      <w:r w:rsidRPr="005F6EE0">
        <w:rPr>
          <w:rFonts w:asciiTheme="minorHAnsi" w:hAnsiTheme="minorHAnsi" w:cstheme="minorHAnsi"/>
          <w:iCs/>
          <w:color w:val="000000"/>
          <w:sz w:val="22"/>
          <w:szCs w:val="22"/>
        </w:rPr>
        <w:t xml:space="preserve"> tienen que asumir gastos excesivos de la vivienda que les dificulta mucho poder cubrir otros gastos esenciales. </w:t>
      </w:r>
    </w:p>
    <w:p w14:paraId="30551931" w14:textId="5D93D632" w:rsidR="00A5778E" w:rsidRPr="005F6EE0" w:rsidRDefault="002E32FE" w:rsidP="00E66F8A">
      <w:pPr>
        <w:pStyle w:val="xmsolistparagraph"/>
        <w:numPr>
          <w:ilvl w:val="0"/>
          <w:numId w:val="18"/>
        </w:numPr>
        <w:jc w:val="both"/>
        <w:rPr>
          <w:rFonts w:asciiTheme="minorHAnsi" w:hAnsiTheme="minorHAnsi" w:cstheme="minorHAnsi"/>
          <w:iCs/>
          <w:color w:val="000000"/>
          <w:sz w:val="22"/>
          <w:szCs w:val="22"/>
        </w:rPr>
      </w:pPr>
      <w:r w:rsidRPr="005F6EE0">
        <w:rPr>
          <w:rFonts w:asciiTheme="minorHAnsi" w:hAnsiTheme="minorHAnsi" w:cstheme="minorHAnsi"/>
          <w:iCs/>
          <w:color w:val="000000"/>
          <w:sz w:val="22"/>
          <w:szCs w:val="22"/>
        </w:rPr>
        <w:t xml:space="preserve">La falta de ingresos estables y suficientes les obliga muchas veces a vivir en casas con importantes carencias de habitabilidad (el 17% con situaciones de insalubridad) o en hacinamiento grave (el 35%). </w:t>
      </w:r>
    </w:p>
    <w:p w14:paraId="46BFDF29" w14:textId="56D8E340" w:rsidR="002E32FE" w:rsidRDefault="00A5778E" w:rsidP="00E66F8A">
      <w:pPr>
        <w:pStyle w:val="xmsolistparagraph"/>
        <w:numPr>
          <w:ilvl w:val="0"/>
          <w:numId w:val="18"/>
        </w:numPr>
        <w:jc w:val="both"/>
        <w:rPr>
          <w:rFonts w:asciiTheme="minorHAnsi" w:hAnsiTheme="minorHAnsi" w:cstheme="minorHAnsi"/>
          <w:iCs/>
          <w:color w:val="000000"/>
          <w:sz w:val="22"/>
          <w:szCs w:val="22"/>
        </w:rPr>
      </w:pPr>
      <w:r w:rsidRPr="005F6EE0">
        <w:rPr>
          <w:rFonts w:asciiTheme="minorHAnsi" w:hAnsiTheme="minorHAnsi" w:cstheme="minorHAnsi"/>
          <w:iCs/>
          <w:color w:val="000000"/>
          <w:sz w:val="22"/>
          <w:szCs w:val="22"/>
        </w:rPr>
        <w:t>E</w:t>
      </w:r>
      <w:r w:rsidR="002E32FE" w:rsidRPr="005F6EE0">
        <w:rPr>
          <w:rFonts w:asciiTheme="minorHAnsi" w:hAnsiTheme="minorHAnsi" w:cstheme="minorHAnsi"/>
          <w:iCs/>
          <w:color w:val="000000"/>
          <w:sz w:val="22"/>
          <w:szCs w:val="22"/>
        </w:rPr>
        <w:t>l 24%</w:t>
      </w:r>
      <w:r w:rsidR="005F6EE0" w:rsidRPr="005F6EE0">
        <w:rPr>
          <w:rFonts w:asciiTheme="minorHAnsi" w:hAnsiTheme="minorHAnsi" w:cstheme="minorHAnsi"/>
          <w:iCs/>
          <w:color w:val="000000"/>
          <w:sz w:val="22"/>
          <w:szCs w:val="22"/>
        </w:rPr>
        <w:t xml:space="preserve"> de personas en situación irregular</w:t>
      </w:r>
      <w:r w:rsidR="002E32FE" w:rsidRPr="005F6EE0">
        <w:rPr>
          <w:rFonts w:asciiTheme="minorHAnsi" w:hAnsiTheme="minorHAnsi" w:cstheme="minorHAnsi"/>
          <w:iCs/>
          <w:color w:val="000000"/>
          <w:sz w:val="22"/>
          <w:szCs w:val="22"/>
        </w:rPr>
        <w:t xml:space="preserve"> viven en hogares con tenencia de la vivienda en precario</w:t>
      </w:r>
      <w:r w:rsidR="002E32FE" w:rsidRPr="002E32FE">
        <w:rPr>
          <w:rFonts w:asciiTheme="minorHAnsi" w:hAnsiTheme="minorHAnsi" w:cstheme="minorHAnsi"/>
          <w:iCs/>
          <w:color w:val="000000"/>
          <w:sz w:val="22"/>
          <w:szCs w:val="22"/>
        </w:rPr>
        <w:t xml:space="preserve"> (el 11% de personas con origen extracomunitario o el 5% con nacionalidad española).</w:t>
      </w:r>
    </w:p>
    <w:p w14:paraId="7EC50DE3" w14:textId="68B2C3BC" w:rsidR="00A5778E" w:rsidRDefault="00A5778E" w:rsidP="00A5778E">
      <w:pPr>
        <w:pStyle w:val="xmsolistparagraph"/>
        <w:jc w:val="both"/>
        <w:rPr>
          <w:rFonts w:asciiTheme="minorHAnsi" w:hAnsiTheme="minorHAnsi" w:cstheme="minorHAnsi"/>
          <w:iCs/>
          <w:color w:val="000000"/>
          <w:sz w:val="22"/>
          <w:szCs w:val="22"/>
        </w:rPr>
      </w:pPr>
    </w:p>
    <w:p w14:paraId="3E0F3848" w14:textId="6B7D3313" w:rsidR="00A5778E" w:rsidRPr="00C37DB0" w:rsidRDefault="00A5778E" w:rsidP="00A5778E">
      <w:pPr>
        <w:pStyle w:val="xmsolistparagraph"/>
        <w:jc w:val="both"/>
        <w:rPr>
          <w:rFonts w:asciiTheme="minorHAnsi" w:hAnsiTheme="minorHAnsi" w:cstheme="minorHAnsi"/>
          <w:b/>
          <w:iCs/>
          <w:color w:val="000000"/>
          <w:sz w:val="22"/>
          <w:szCs w:val="22"/>
        </w:rPr>
      </w:pPr>
      <w:r w:rsidRPr="00C37DB0">
        <w:rPr>
          <w:rFonts w:asciiTheme="minorHAnsi" w:hAnsiTheme="minorHAnsi" w:cstheme="minorHAnsi"/>
          <w:b/>
          <w:iCs/>
          <w:color w:val="000000"/>
          <w:sz w:val="22"/>
          <w:szCs w:val="22"/>
        </w:rPr>
        <w:t>Respecto al acceso a</w:t>
      </w:r>
      <w:r w:rsidR="00197AA4">
        <w:rPr>
          <w:rFonts w:asciiTheme="minorHAnsi" w:hAnsiTheme="minorHAnsi" w:cstheme="minorHAnsi"/>
          <w:b/>
          <w:iCs/>
          <w:color w:val="000000"/>
          <w:sz w:val="22"/>
          <w:szCs w:val="22"/>
        </w:rPr>
        <w:t xml:space="preserve"> la salud:</w:t>
      </w:r>
    </w:p>
    <w:p w14:paraId="2D0BF052" w14:textId="77777777" w:rsidR="00A5778E" w:rsidRDefault="00A5778E" w:rsidP="00A5778E">
      <w:pPr>
        <w:pStyle w:val="xmsolistparagraph"/>
        <w:jc w:val="both"/>
        <w:rPr>
          <w:rFonts w:asciiTheme="minorHAnsi" w:hAnsiTheme="minorHAnsi" w:cstheme="minorHAnsi"/>
          <w:iCs/>
          <w:color w:val="000000"/>
          <w:sz w:val="22"/>
          <w:szCs w:val="22"/>
        </w:rPr>
      </w:pPr>
    </w:p>
    <w:p w14:paraId="5FD9C917" w14:textId="77777777" w:rsidR="00197AA4" w:rsidRDefault="002E32FE" w:rsidP="00D93078">
      <w:pPr>
        <w:pStyle w:val="xmsolistparagraph"/>
        <w:numPr>
          <w:ilvl w:val="0"/>
          <w:numId w:val="18"/>
        </w:numPr>
        <w:jc w:val="both"/>
        <w:rPr>
          <w:rFonts w:asciiTheme="minorHAnsi" w:hAnsiTheme="minorHAnsi" w:cstheme="minorHAnsi"/>
          <w:iCs/>
          <w:color w:val="000000"/>
          <w:sz w:val="22"/>
          <w:szCs w:val="22"/>
        </w:rPr>
      </w:pPr>
      <w:r w:rsidRPr="002E32FE">
        <w:rPr>
          <w:rFonts w:asciiTheme="minorHAnsi" w:hAnsiTheme="minorHAnsi" w:cstheme="minorHAnsi"/>
          <w:iCs/>
          <w:color w:val="000000"/>
          <w:sz w:val="22"/>
          <w:szCs w:val="22"/>
        </w:rPr>
        <w:t xml:space="preserve">El 12% de las </w:t>
      </w:r>
      <w:r w:rsidR="00197AA4">
        <w:rPr>
          <w:rFonts w:asciiTheme="minorHAnsi" w:hAnsiTheme="minorHAnsi" w:cstheme="minorHAnsi"/>
          <w:iCs/>
          <w:color w:val="000000"/>
          <w:sz w:val="22"/>
          <w:szCs w:val="22"/>
        </w:rPr>
        <w:t>personas en situación irregular</w:t>
      </w:r>
      <w:r w:rsidRPr="002E32FE">
        <w:rPr>
          <w:rFonts w:asciiTheme="minorHAnsi" w:hAnsiTheme="minorHAnsi" w:cstheme="minorHAnsi"/>
          <w:iCs/>
          <w:color w:val="000000"/>
          <w:sz w:val="22"/>
          <w:szCs w:val="22"/>
        </w:rPr>
        <w:t xml:space="preserve"> viven en un hogar con alguna persona sin cobertura sanitaria </w:t>
      </w:r>
      <w:r w:rsidR="00197AA4">
        <w:rPr>
          <w:rFonts w:asciiTheme="minorHAnsi" w:hAnsiTheme="minorHAnsi" w:cstheme="minorHAnsi"/>
          <w:iCs/>
          <w:color w:val="000000"/>
          <w:sz w:val="22"/>
          <w:szCs w:val="22"/>
        </w:rPr>
        <w:t>(</w:t>
      </w:r>
      <w:r w:rsidRPr="002E32FE">
        <w:rPr>
          <w:rFonts w:asciiTheme="minorHAnsi" w:hAnsiTheme="minorHAnsi" w:cstheme="minorHAnsi"/>
          <w:iCs/>
          <w:color w:val="000000"/>
          <w:sz w:val="22"/>
          <w:szCs w:val="22"/>
        </w:rPr>
        <w:t xml:space="preserve">frente al 3% de las personas extracomunitarias). </w:t>
      </w:r>
    </w:p>
    <w:p w14:paraId="157DFE56" w14:textId="60C7965C" w:rsidR="002E32FE" w:rsidRPr="00197AA4" w:rsidRDefault="002E32FE" w:rsidP="00197AA4">
      <w:pPr>
        <w:pStyle w:val="xmsolistparagraph"/>
        <w:numPr>
          <w:ilvl w:val="0"/>
          <w:numId w:val="18"/>
        </w:numPr>
        <w:jc w:val="both"/>
        <w:rPr>
          <w:rFonts w:asciiTheme="minorHAnsi" w:hAnsiTheme="minorHAnsi" w:cstheme="minorHAnsi"/>
          <w:iCs/>
          <w:color w:val="000000"/>
          <w:sz w:val="22"/>
          <w:szCs w:val="22"/>
        </w:rPr>
      </w:pPr>
      <w:r w:rsidRPr="002E32FE">
        <w:rPr>
          <w:rFonts w:asciiTheme="minorHAnsi" w:hAnsiTheme="minorHAnsi" w:cstheme="minorHAnsi"/>
          <w:iCs/>
          <w:color w:val="000000"/>
          <w:sz w:val="22"/>
          <w:szCs w:val="22"/>
        </w:rPr>
        <w:t>El 17% viven en hogares con graves de problemas nutrición: que alguien ha pasado</w:t>
      </w:r>
      <w:r w:rsidR="00197AA4">
        <w:rPr>
          <w:rFonts w:asciiTheme="minorHAnsi" w:hAnsiTheme="minorHAnsi" w:cstheme="minorHAnsi"/>
          <w:iCs/>
          <w:color w:val="000000"/>
          <w:sz w:val="22"/>
          <w:szCs w:val="22"/>
        </w:rPr>
        <w:t xml:space="preserve"> </w:t>
      </w:r>
      <w:r w:rsidRPr="00197AA4">
        <w:rPr>
          <w:rFonts w:asciiTheme="minorHAnsi" w:hAnsiTheme="minorHAnsi" w:cstheme="minorHAnsi"/>
          <w:iCs/>
          <w:color w:val="000000"/>
          <w:sz w:val="22"/>
          <w:szCs w:val="22"/>
        </w:rPr>
        <w:t>hambre en los 10 últimos años con frecuencia o la están pasado ahora.</w:t>
      </w:r>
    </w:p>
    <w:p w14:paraId="57AF546F" w14:textId="63DFDD8F" w:rsidR="002E32FE" w:rsidRPr="00197AA4" w:rsidRDefault="002E32FE" w:rsidP="00197AA4">
      <w:pPr>
        <w:pStyle w:val="xmsolistparagraph"/>
        <w:numPr>
          <w:ilvl w:val="0"/>
          <w:numId w:val="18"/>
        </w:numPr>
        <w:jc w:val="both"/>
        <w:rPr>
          <w:rFonts w:asciiTheme="minorHAnsi" w:hAnsiTheme="minorHAnsi" w:cstheme="minorHAnsi"/>
          <w:iCs/>
          <w:color w:val="000000"/>
          <w:sz w:val="22"/>
          <w:szCs w:val="22"/>
        </w:rPr>
      </w:pPr>
      <w:r w:rsidRPr="002E32FE">
        <w:rPr>
          <w:rFonts w:asciiTheme="minorHAnsi" w:hAnsiTheme="minorHAnsi" w:cstheme="minorHAnsi"/>
          <w:iCs/>
          <w:color w:val="000000"/>
          <w:sz w:val="22"/>
          <w:szCs w:val="22"/>
        </w:rPr>
        <w:t>El 57% viven en hogares con problemas económicos que les obliga a renunciar a la</w:t>
      </w:r>
      <w:r w:rsidR="00197AA4">
        <w:rPr>
          <w:rFonts w:asciiTheme="minorHAnsi" w:hAnsiTheme="minorHAnsi" w:cstheme="minorHAnsi"/>
          <w:iCs/>
          <w:color w:val="000000"/>
          <w:sz w:val="22"/>
          <w:szCs w:val="22"/>
        </w:rPr>
        <w:t xml:space="preserve"> </w:t>
      </w:r>
      <w:r w:rsidRPr="00197AA4">
        <w:rPr>
          <w:rFonts w:asciiTheme="minorHAnsi" w:hAnsiTheme="minorHAnsi" w:cstheme="minorHAnsi"/>
          <w:iCs/>
          <w:color w:val="000000"/>
          <w:sz w:val="22"/>
          <w:szCs w:val="22"/>
        </w:rPr>
        <w:t>compra de ciertos medicamentos, dietas o tratamientos médicos.</w:t>
      </w:r>
    </w:p>
    <w:p w14:paraId="3737E259" w14:textId="5795C825" w:rsidR="00742DDD" w:rsidRDefault="00742DDD" w:rsidP="00095525">
      <w:pPr>
        <w:pStyle w:val="xmsolistparagraph"/>
        <w:jc w:val="both"/>
        <w:rPr>
          <w:rFonts w:asciiTheme="minorHAnsi" w:hAnsiTheme="minorHAnsi" w:cstheme="minorHAnsi"/>
          <w:iCs/>
          <w:color w:val="000000"/>
          <w:sz w:val="22"/>
          <w:szCs w:val="22"/>
        </w:rPr>
      </w:pPr>
    </w:p>
    <w:p w14:paraId="587D6A8F" w14:textId="515946C5" w:rsidR="00197AA4" w:rsidRDefault="00197AA4" w:rsidP="00095525">
      <w:pPr>
        <w:pStyle w:val="xmsolistparagraph"/>
        <w:jc w:val="both"/>
        <w:rPr>
          <w:rFonts w:asciiTheme="minorHAnsi" w:hAnsiTheme="minorHAnsi" w:cstheme="minorHAnsi"/>
          <w:iCs/>
          <w:color w:val="000000"/>
          <w:sz w:val="22"/>
          <w:szCs w:val="22"/>
        </w:rPr>
      </w:pPr>
      <w:r>
        <w:rPr>
          <w:rFonts w:asciiTheme="minorHAnsi" w:hAnsiTheme="minorHAnsi" w:cstheme="minorHAnsi"/>
          <w:iCs/>
          <w:color w:val="000000"/>
          <w:sz w:val="22"/>
          <w:szCs w:val="22"/>
        </w:rPr>
        <w:t xml:space="preserve">Ante este volumen de personas en situación irregular y el impacto que tiene </w:t>
      </w:r>
      <w:r w:rsidR="005F6EE0">
        <w:rPr>
          <w:rFonts w:asciiTheme="minorHAnsi" w:hAnsiTheme="minorHAnsi" w:cstheme="minorHAnsi"/>
          <w:iCs/>
          <w:color w:val="000000"/>
          <w:sz w:val="22"/>
          <w:szCs w:val="22"/>
        </w:rPr>
        <w:t>dicha</w:t>
      </w:r>
      <w:r>
        <w:rPr>
          <w:rFonts w:asciiTheme="minorHAnsi" w:hAnsiTheme="minorHAnsi" w:cstheme="minorHAnsi"/>
          <w:iCs/>
          <w:color w:val="000000"/>
          <w:sz w:val="22"/>
          <w:szCs w:val="22"/>
        </w:rPr>
        <w:t xml:space="preserve"> condición administrativa en sus vidas, se está tramitando actualmente en el Congreso de los Diputados un proyecto de ley para introducir una regularización extraordinaria</w:t>
      </w:r>
      <w:r w:rsidR="005F6EE0">
        <w:rPr>
          <w:rFonts w:asciiTheme="minorHAnsi" w:hAnsiTheme="minorHAnsi" w:cstheme="minorHAnsi"/>
          <w:iCs/>
          <w:color w:val="000000"/>
          <w:sz w:val="22"/>
          <w:szCs w:val="22"/>
        </w:rPr>
        <w:t xml:space="preserve"> para personas extranjeras que acrediten una estancia previa.</w:t>
      </w:r>
      <w:r>
        <w:rPr>
          <w:rFonts w:asciiTheme="minorHAnsi" w:hAnsiTheme="minorHAnsi" w:cstheme="minorHAnsi"/>
          <w:iCs/>
          <w:color w:val="000000"/>
          <w:sz w:val="22"/>
          <w:szCs w:val="22"/>
        </w:rPr>
        <w:t xml:space="preserve"> </w:t>
      </w:r>
      <w:r w:rsidR="005F6EE0">
        <w:rPr>
          <w:rFonts w:asciiTheme="minorHAnsi" w:hAnsiTheme="minorHAnsi" w:cstheme="minorHAnsi"/>
          <w:iCs/>
          <w:color w:val="000000"/>
          <w:sz w:val="22"/>
          <w:szCs w:val="22"/>
        </w:rPr>
        <w:t xml:space="preserve">Esta iniciativa ha sido presentada en sede parlamentaria por el procedimiento de Iniciativa Legislativa Popular, previa recogida de un mínimo de 500,000 avales de ciudadanos.   </w:t>
      </w:r>
    </w:p>
    <w:p w14:paraId="5ADE1731" w14:textId="77777777" w:rsidR="00197AA4" w:rsidRDefault="00197AA4" w:rsidP="00095525">
      <w:pPr>
        <w:pStyle w:val="xmsolistparagraph"/>
        <w:jc w:val="both"/>
        <w:rPr>
          <w:rFonts w:asciiTheme="minorHAnsi" w:hAnsiTheme="minorHAnsi" w:cstheme="minorHAnsi"/>
          <w:iCs/>
          <w:color w:val="000000"/>
          <w:sz w:val="22"/>
          <w:szCs w:val="22"/>
        </w:rPr>
      </w:pPr>
    </w:p>
    <w:p w14:paraId="36C32675" w14:textId="77777777" w:rsidR="00197AA4" w:rsidRDefault="00197AA4" w:rsidP="00095525">
      <w:pPr>
        <w:pStyle w:val="xmsolistparagraph"/>
        <w:jc w:val="both"/>
        <w:rPr>
          <w:rFonts w:asciiTheme="minorHAnsi" w:hAnsiTheme="minorHAnsi" w:cstheme="minorHAnsi"/>
          <w:iCs/>
          <w:color w:val="000000"/>
          <w:sz w:val="22"/>
          <w:szCs w:val="22"/>
        </w:rPr>
      </w:pPr>
    </w:p>
    <w:p w14:paraId="08C444F3" w14:textId="50D81CF9" w:rsidR="00742DDD" w:rsidRPr="00083BF2" w:rsidRDefault="00C37DB0" w:rsidP="00742DDD">
      <w:pPr>
        <w:shd w:val="clear" w:color="auto" w:fill="385623" w:themeFill="accent6" w:themeFillShade="80"/>
        <w:spacing w:after="0" w:line="240" w:lineRule="auto"/>
        <w:jc w:val="both"/>
        <w:rPr>
          <w:rFonts w:ascii="Calibri" w:eastAsia="Times New Roman" w:hAnsi="Calibri" w:cs="Calibri"/>
          <w:b/>
          <w:bCs/>
          <w:color w:val="FFFFFF" w:themeColor="background1"/>
          <w:lang w:eastAsia="es-ES"/>
        </w:rPr>
      </w:pPr>
      <w:r>
        <w:rPr>
          <w:rFonts w:ascii="Calibri" w:eastAsia="Times New Roman" w:hAnsi="Calibri" w:cs="Calibri"/>
          <w:b/>
          <w:bCs/>
          <w:color w:val="FFFFFF" w:themeColor="background1"/>
          <w:lang w:eastAsia="es-ES"/>
        </w:rPr>
        <w:t>4</w:t>
      </w:r>
      <w:r w:rsidR="00742DDD">
        <w:rPr>
          <w:rFonts w:ascii="Calibri" w:eastAsia="Times New Roman" w:hAnsi="Calibri" w:cs="Calibri"/>
          <w:b/>
          <w:bCs/>
          <w:color w:val="FFFFFF" w:themeColor="background1"/>
          <w:lang w:eastAsia="es-ES"/>
        </w:rPr>
        <w:t>. RECOMENDACIONES</w:t>
      </w:r>
    </w:p>
    <w:p w14:paraId="761922BF" w14:textId="606165EB" w:rsidR="00742DDD" w:rsidRDefault="00742DDD" w:rsidP="00095525">
      <w:pPr>
        <w:pStyle w:val="xmsolistparagraph"/>
        <w:jc w:val="both"/>
        <w:rPr>
          <w:rFonts w:asciiTheme="minorHAnsi" w:hAnsiTheme="minorHAnsi" w:cstheme="minorHAnsi"/>
          <w:iCs/>
          <w:color w:val="000000"/>
          <w:sz w:val="22"/>
          <w:szCs w:val="22"/>
        </w:rPr>
      </w:pPr>
    </w:p>
    <w:p w14:paraId="7A549B9A" w14:textId="4562767C" w:rsidR="005E338D" w:rsidRDefault="005E338D" w:rsidP="00095525">
      <w:pPr>
        <w:pStyle w:val="xmsolistparagraph"/>
        <w:jc w:val="both"/>
        <w:rPr>
          <w:rFonts w:asciiTheme="minorHAnsi" w:hAnsiTheme="minorHAnsi" w:cstheme="minorHAnsi"/>
          <w:sz w:val="22"/>
          <w:szCs w:val="22"/>
        </w:rPr>
      </w:pPr>
      <w:r w:rsidRPr="005E338D">
        <w:rPr>
          <w:rFonts w:asciiTheme="minorHAnsi" w:hAnsiTheme="minorHAnsi" w:cstheme="minorHAnsi"/>
          <w:sz w:val="22"/>
          <w:szCs w:val="22"/>
        </w:rPr>
        <w:t xml:space="preserve">1. Acciones concretas y efectivas de intervención para </w:t>
      </w:r>
      <w:r w:rsidRPr="005E338D">
        <w:rPr>
          <w:rFonts w:asciiTheme="minorHAnsi" w:hAnsiTheme="minorHAnsi" w:cstheme="minorHAnsi"/>
          <w:b/>
          <w:sz w:val="22"/>
          <w:szCs w:val="22"/>
        </w:rPr>
        <w:t>garantizar el acceso a una vivienda digna y adecuada</w:t>
      </w:r>
      <w:r w:rsidRPr="005E338D">
        <w:rPr>
          <w:rFonts w:asciiTheme="minorHAnsi" w:hAnsiTheme="minorHAnsi" w:cstheme="minorHAnsi"/>
          <w:sz w:val="22"/>
          <w:szCs w:val="22"/>
        </w:rPr>
        <w:t>. Por un lado, es decisivo ampliar el número de viviendas sociales en alquiler, lo que brindaría a las familias una opción accesible y segura para obtener viviendas de calidad a precios asequibles. Por otro, incrementar el número de viviendas de emergencia, lo que garantizaría un refugio a familias en situaciones de extrema necesidad y, en última instancia, que nadie se quedase sin techo por adversidades econó</w:t>
      </w:r>
      <w:r w:rsidR="00024827">
        <w:rPr>
          <w:rFonts w:asciiTheme="minorHAnsi" w:hAnsiTheme="minorHAnsi" w:cstheme="minorHAnsi"/>
          <w:sz w:val="22"/>
          <w:szCs w:val="22"/>
        </w:rPr>
        <w:t>micas, y, por tanto, en aplicación de la Observación General nº 7 de Naciones Unidas, suspender los desalojos de personas y familias vulnerables en tanto no haya una vivienda alternativa provista por la Administración Pública.</w:t>
      </w:r>
    </w:p>
    <w:p w14:paraId="16154334" w14:textId="2AD4095E" w:rsidR="005E338D" w:rsidRPr="005E338D" w:rsidRDefault="005E338D" w:rsidP="00095525">
      <w:pPr>
        <w:pStyle w:val="xmsolistparagraph"/>
        <w:jc w:val="both"/>
        <w:rPr>
          <w:rFonts w:asciiTheme="minorHAnsi" w:hAnsiTheme="minorHAnsi" w:cstheme="minorHAnsi"/>
          <w:sz w:val="22"/>
          <w:szCs w:val="22"/>
        </w:rPr>
      </w:pPr>
    </w:p>
    <w:p w14:paraId="56D6F363" w14:textId="70D97699" w:rsidR="005E338D" w:rsidRDefault="005E338D" w:rsidP="00095525">
      <w:pPr>
        <w:pStyle w:val="xmsolistparagraph"/>
        <w:jc w:val="both"/>
        <w:rPr>
          <w:rFonts w:asciiTheme="minorHAnsi" w:hAnsiTheme="minorHAnsi" w:cstheme="minorHAnsi"/>
          <w:sz w:val="22"/>
          <w:szCs w:val="22"/>
        </w:rPr>
      </w:pPr>
      <w:r w:rsidRPr="005E338D">
        <w:rPr>
          <w:rFonts w:asciiTheme="minorHAnsi" w:hAnsiTheme="minorHAnsi" w:cstheme="minorHAnsi"/>
          <w:sz w:val="22"/>
          <w:szCs w:val="22"/>
        </w:rPr>
        <w:t xml:space="preserve">2. </w:t>
      </w:r>
      <w:r w:rsidRPr="005E338D">
        <w:rPr>
          <w:rFonts w:asciiTheme="minorHAnsi" w:hAnsiTheme="minorHAnsi" w:cstheme="minorHAnsi"/>
          <w:b/>
          <w:sz w:val="22"/>
          <w:szCs w:val="22"/>
        </w:rPr>
        <w:t>Planificar y coordinar políticas de empleo focalizadas en los colectivos con un acceso más complicado al mercado laboral</w:t>
      </w:r>
      <w:r w:rsidRPr="005E338D">
        <w:rPr>
          <w:rFonts w:asciiTheme="minorHAnsi" w:hAnsiTheme="minorHAnsi" w:cstheme="minorHAnsi"/>
          <w:sz w:val="22"/>
          <w:szCs w:val="22"/>
        </w:rPr>
        <w:t xml:space="preserve"> y que tenga en cuenta la situación personal y familiar de la persona trabajadora, facilitando la conciliación; un acceso a la formación que no sea exclusivamente online para evitar la brecha digital, y programas formativos acompañados de acciones socio educativas para las personas que constituyen colectivos prioritarios. </w:t>
      </w:r>
    </w:p>
    <w:p w14:paraId="61A7B168" w14:textId="77777777" w:rsidR="005E338D" w:rsidRPr="005E338D" w:rsidRDefault="005E338D" w:rsidP="00095525">
      <w:pPr>
        <w:pStyle w:val="xmsolistparagraph"/>
        <w:jc w:val="both"/>
        <w:rPr>
          <w:rFonts w:asciiTheme="minorHAnsi" w:hAnsiTheme="minorHAnsi" w:cstheme="minorHAnsi"/>
          <w:sz w:val="22"/>
          <w:szCs w:val="22"/>
        </w:rPr>
      </w:pPr>
    </w:p>
    <w:p w14:paraId="401BCD49" w14:textId="4FCA0C3C" w:rsidR="005E338D" w:rsidRDefault="005E338D" w:rsidP="00095525">
      <w:pPr>
        <w:pStyle w:val="xmsolistparagraph"/>
        <w:jc w:val="both"/>
        <w:rPr>
          <w:rFonts w:asciiTheme="minorHAnsi" w:hAnsiTheme="minorHAnsi" w:cstheme="minorHAnsi"/>
          <w:sz w:val="22"/>
          <w:szCs w:val="22"/>
        </w:rPr>
      </w:pPr>
      <w:r w:rsidRPr="005E338D">
        <w:rPr>
          <w:rFonts w:asciiTheme="minorHAnsi" w:hAnsiTheme="minorHAnsi" w:cstheme="minorHAnsi"/>
          <w:sz w:val="22"/>
          <w:szCs w:val="22"/>
        </w:rPr>
        <w:t xml:space="preserve">3. </w:t>
      </w:r>
      <w:r w:rsidRPr="005E338D">
        <w:rPr>
          <w:rFonts w:asciiTheme="minorHAnsi" w:hAnsiTheme="minorHAnsi" w:cstheme="minorHAnsi"/>
          <w:b/>
          <w:sz w:val="22"/>
          <w:szCs w:val="22"/>
        </w:rPr>
        <w:t>Abordar la precariedad laboral desde una perspectiva integral</w:t>
      </w:r>
      <w:r w:rsidRPr="005E338D">
        <w:rPr>
          <w:rFonts w:asciiTheme="minorHAnsi" w:hAnsiTheme="minorHAnsi" w:cstheme="minorHAnsi"/>
          <w:sz w:val="22"/>
          <w:szCs w:val="22"/>
        </w:rPr>
        <w:t xml:space="preserve">. Para lograrlo, debemos trazar un camino que continúe en la senda de la reducción de la temporalidad en los contratos y la parcialidad en las jornadas, permitiendo que más personas accedan a empleos a tiempo completo con todos los beneficios que ello conlleva. Y, por último, en esta lucha contra la precariedad, también se deben mejorar los ingresos, garantizando que estos sean justos y reflejen adecuadamente su contribución a la sociedad. </w:t>
      </w:r>
    </w:p>
    <w:p w14:paraId="15443BF5" w14:textId="77777777" w:rsidR="005E338D" w:rsidRPr="005E338D" w:rsidRDefault="005E338D" w:rsidP="00095525">
      <w:pPr>
        <w:pStyle w:val="xmsolistparagraph"/>
        <w:jc w:val="both"/>
        <w:rPr>
          <w:rFonts w:asciiTheme="minorHAnsi" w:hAnsiTheme="minorHAnsi" w:cstheme="minorHAnsi"/>
          <w:sz w:val="22"/>
          <w:szCs w:val="22"/>
        </w:rPr>
      </w:pPr>
    </w:p>
    <w:p w14:paraId="2F79DD17" w14:textId="6108FA33" w:rsidR="005E338D" w:rsidRDefault="005E338D" w:rsidP="00095525">
      <w:pPr>
        <w:pStyle w:val="xmsolistparagraph"/>
        <w:jc w:val="both"/>
        <w:rPr>
          <w:rFonts w:asciiTheme="minorHAnsi" w:hAnsiTheme="minorHAnsi" w:cstheme="minorHAnsi"/>
          <w:sz w:val="22"/>
          <w:szCs w:val="22"/>
        </w:rPr>
      </w:pPr>
      <w:r w:rsidRPr="005E338D">
        <w:rPr>
          <w:rFonts w:asciiTheme="minorHAnsi" w:hAnsiTheme="minorHAnsi" w:cstheme="minorHAnsi"/>
          <w:sz w:val="22"/>
          <w:szCs w:val="22"/>
        </w:rPr>
        <w:t xml:space="preserve">4. </w:t>
      </w:r>
      <w:r w:rsidRPr="005E338D">
        <w:rPr>
          <w:rFonts w:asciiTheme="minorHAnsi" w:hAnsiTheme="minorHAnsi" w:cstheme="minorHAnsi"/>
          <w:b/>
          <w:sz w:val="22"/>
          <w:szCs w:val="22"/>
        </w:rPr>
        <w:t>Realizar los cambios legislativos necesarios para que las trabajadoras del hogar</w:t>
      </w:r>
      <w:r w:rsidRPr="005E338D">
        <w:rPr>
          <w:rFonts w:asciiTheme="minorHAnsi" w:hAnsiTheme="minorHAnsi" w:cstheme="minorHAnsi"/>
          <w:sz w:val="22"/>
          <w:szCs w:val="22"/>
        </w:rPr>
        <w:t xml:space="preserve">, en su gran mayoría, mujeres, </w:t>
      </w:r>
      <w:r w:rsidRPr="005E338D">
        <w:rPr>
          <w:rFonts w:asciiTheme="minorHAnsi" w:hAnsiTheme="minorHAnsi" w:cstheme="minorHAnsi"/>
          <w:b/>
          <w:sz w:val="22"/>
          <w:szCs w:val="22"/>
        </w:rPr>
        <w:t>alcancen una equiparación plena de derechos laborales y de seguridad social</w:t>
      </w:r>
      <w:r w:rsidRPr="005E338D">
        <w:rPr>
          <w:rFonts w:asciiTheme="minorHAnsi" w:hAnsiTheme="minorHAnsi" w:cstheme="minorHAnsi"/>
          <w:sz w:val="22"/>
          <w:szCs w:val="22"/>
        </w:rPr>
        <w:t xml:space="preserve">. </w:t>
      </w:r>
    </w:p>
    <w:p w14:paraId="30736EB7" w14:textId="77777777" w:rsidR="005E338D" w:rsidRPr="005E338D" w:rsidRDefault="005E338D" w:rsidP="00095525">
      <w:pPr>
        <w:pStyle w:val="xmsolistparagraph"/>
        <w:jc w:val="both"/>
        <w:rPr>
          <w:rFonts w:asciiTheme="minorHAnsi" w:hAnsiTheme="minorHAnsi" w:cstheme="minorHAnsi"/>
          <w:sz w:val="22"/>
          <w:szCs w:val="22"/>
        </w:rPr>
      </w:pPr>
    </w:p>
    <w:p w14:paraId="19D37988" w14:textId="77777777" w:rsidR="008A7545" w:rsidRDefault="005E338D" w:rsidP="008A7545">
      <w:pPr>
        <w:pStyle w:val="xmsolistparagraph"/>
        <w:jc w:val="both"/>
        <w:rPr>
          <w:rFonts w:asciiTheme="minorHAnsi" w:hAnsiTheme="minorHAnsi" w:cstheme="minorHAnsi"/>
          <w:sz w:val="22"/>
          <w:szCs w:val="22"/>
        </w:rPr>
      </w:pPr>
      <w:r w:rsidRPr="005E338D">
        <w:rPr>
          <w:rFonts w:asciiTheme="minorHAnsi" w:hAnsiTheme="minorHAnsi" w:cstheme="minorHAnsi"/>
          <w:sz w:val="22"/>
          <w:szCs w:val="22"/>
        </w:rPr>
        <w:t>5.</w:t>
      </w:r>
      <w:r w:rsidR="00A26AA9">
        <w:rPr>
          <w:rFonts w:asciiTheme="minorHAnsi" w:hAnsiTheme="minorHAnsi" w:cstheme="minorHAnsi"/>
          <w:sz w:val="22"/>
          <w:szCs w:val="22"/>
        </w:rPr>
        <w:t xml:space="preserve"> El ingreso mínimo vital requiere </w:t>
      </w:r>
      <w:r w:rsidR="008A7545">
        <w:rPr>
          <w:rFonts w:asciiTheme="minorHAnsi" w:hAnsiTheme="minorHAnsi" w:cstheme="minorHAnsi"/>
          <w:sz w:val="22"/>
          <w:szCs w:val="22"/>
        </w:rPr>
        <w:t>una reforma normativa desde varias perspectivas:</w:t>
      </w:r>
    </w:p>
    <w:p w14:paraId="65453ACC" w14:textId="77777777" w:rsidR="008A7545" w:rsidRDefault="00A26AA9" w:rsidP="008A7545">
      <w:pPr>
        <w:pStyle w:val="xmsolistparagraph"/>
        <w:numPr>
          <w:ilvl w:val="0"/>
          <w:numId w:val="16"/>
        </w:numPr>
        <w:jc w:val="both"/>
        <w:rPr>
          <w:rFonts w:asciiTheme="minorHAnsi" w:hAnsiTheme="minorHAnsi" w:cstheme="minorHAnsi"/>
          <w:sz w:val="22"/>
          <w:szCs w:val="22"/>
        </w:rPr>
      </w:pPr>
      <w:r>
        <w:rPr>
          <w:rFonts w:asciiTheme="minorHAnsi" w:hAnsiTheme="minorHAnsi" w:cstheme="minorHAnsi"/>
          <w:sz w:val="22"/>
          <w:szCs w:val="22"/>
        </w:rPr>
        <w:t xml:space="preserve">Reforma normativa para simplificar los requisitos de acceso y avanzar hacia una concesión de oficio. </w:t>
      </w:r>
    </w:p>
    <w:p w14:paraId="41D179F1" w14:textId="77777777" w:rsidR="008A7545" w:rsidRDefault="008A7545" w:rsidP="00095525">
      <w:pPr>
        <w:pStyle w:val="xmsolistparagraph"/>
        <w:numPr>
          <w:ilvl w:val="0"/>
          <w:numId w:val="16"/>
        </w:numPr>
        <w:jc w:val="both"/>
        <w:rPr>
          <w:rFonts w:asciiTheme="minorHAnsi" w:hAnsiTheme="minorHAnsi" w:cstheme="minorHAnsi"/>
          <w:sz w:val="22"/>
          <w:szCs w:val="22"/>
        </w:rPr>
      </w:pPr>
      <w:r>
        <w:rPr>
          <w:rFonts w:asciiTheme="minorHAnsi" w:hAnsiTheme="minorHAnsi" w:cstheme="minorHAnsi"/>
          <w:sz w:val="22"/>
          <w:szCs w:val="22"/>
        </w:rPr>
        <w:t xml:space="preserve">Reforma para aumentar la cobertura </w:t>
      </w:r>
      <w:r w:rsidRPr="005E338D">
        <w:rPr>
          <w:rFonts w:asciiTheme="minorHAnsi" w:hAnsiTheme="minorHAnsi" w:cstheme="minorHAnsi"/>
          <w:b/>
          <w:sz w:val="22"/>
          <w:szCs w:val="22"/>
        </w:rPr>
        <w:t>alcanzando al conjunto de la población en situación de pobreza severa</w:t>
      </w:r>
      <w:r>
        <w:rPr>
          <w:rFonts w:asciiTheme="minorHAnsi" w:hAnsiTheme="minorHAnsi" w:cstheme="minorHAnsi"/>
          <w:b/>
          <w:sz w:val="22"/>
          <w:szCs w:val="22"/>
        </w:rPr>
        <w:t xml:space="preserve"> (cambios en la unidad de convivencia, en el cómputo de patrimonio, …) incluyendo a</w:t>
      </w:r>
      <w:r w:rsidRPr="005E338D">
        <w:rPr>
          <w:rFonts w:asciiTheme="minorHAnsi" w:hAnsiTheme="minorHAnsi" w:cstheme="minorHAnsi"/>
          <w:b/>
          <w:sz w:val="22"/>
          <w:szCs w:val="22"/>
        </w:rPr>
        <w:t xml:space="preserve"> las personas en situación administrativa irregular</w:t>
      </w:r>
      <w:r>
        <w:rPr>
          <w:rFonts w:asciiTheme="minorHAnsi" w:hAnsiTheme="minorHAnsi" w:cstheme="minorHAnsi"/>
          <w:sz w:val="22"/>
          <w:szCs w:val="22"/>
        </w:rPr>
        <w:t>.</w:t>
      </w:r>
      <w:r w:rsidR="00A26AA9">
        <w:rPr>
          <w:rFonts w:asciiTheme="minorHAnsi" w:hAnsiTheme="minorHAnsi" w:cstheme="minorHAnsi"/>
          <w:sz w:val="22"/>
          <w:szCs w:val="22"/>
        </w:rPr>
        <w:t xml:space="preserve"> </w:t>
      </w:r>
      <w:r w:rsidR="005E338D" w:rsidRPr="005E338D">
        <w:rPr>
          <w:rFonts w:asciiTheme="minorHAnsi" w:hAnsiTheme="minorHAnsi" w:cstheme="minorHAnsi"/>
          <w:sz w:val="22"/>
          <w:szCs w:val="22"/>
        </w:rPr>
        <w:t xml:space="preserve"> </w:t>
      </w:r>
    </w:p>
    <w:p w14:paraId="018572BA" w14:textId="77777777" w:rsidR="008A7545" w:rsidRDefault="005E338D" w:rsidP="00095525">
      <w:pPr>
        <w:pStyle w:val="xmsolistparagraph"/>
        <w:numPr>
          <w:ilvl w:val="0"/>
          <w:numId w:val="16"/>
        </w:numPr>
        <w:jc w:val="both"/>
        <w:rPr>
          <w:rFonts w:asciiTheme="minorHAnsi" w:hAnsiTheme="minorHAnsi" w:cstheme="minorHAnsi"/>
          <w:sz w:val="22"/>
          <w:szCs w:val="22"/>
        </w:rPr>
      </w:pPr>
      <w:r w:rsidRPr="008A7545">
        <w:rPr>
          <w:rFonts w:asciiTheme="minorHAnsi" w:hAnsiTheme="minorHAnsi" w:cstheme="minorHAnsi"/>
          <w:sz w:val="22"/>
          <w:szCs w:val="22"/>
        </w:rPr>
        <w:t xml:space="preserve">El sistema de </w:t>
      </w:r>
      <w:r w:rsidRPr="008A7545">
        <w:rPr>
          <w:rFonts w:asciiTheme="minorHAnsi" w:hAnsiTheme="minorHAnsi" w:cstheme="minorHAnsi"/>
          <w:b/>
          <w:sz w:val="22"/>
          <w:szCs w:val="22"/>
        </w:rPr>
        <w:t>garantía de ingresos mínimos también debe ofrecer suficiencia en l</w:t>
      </w:r>
      <w:r w:rsidR="008A7545">
        <w:rPr>
          <w:rFonts w:asciiTheme="minorHAnsi" w:hAnsiTheme="minorHAnsi" w:cstheme="minorHAnsi"/>
          <w:b/>
          <w:sz w:val="22"/>
          <w:szCs w:val="22"/>
        </w:rPr>
        <w:t>as cuantías de la prestación</w:t>
      </w:r>
      <w:r w:rsidRPr="008A7545">
        <w:rPr>
          <w:rFonts w:asciiTheme="minorHAnsi" w:hAnsiTheme="minorHAnsi" w:cstheme="minorHAnsi"/>
          <w:sz w:val="22"/>
          <w:szCs w:val="22"/>
        </w:rPr>
        <w:t>, es decir, que estén de acuerdo tanto a los precios reales y al coste de la vida</w:t>
      </w:r>
      <w:r w:rsidR="008A7545">
        <w:rPr>
          <w:rFonts w:asciiTheme="minorHAnsi" w:hAnsiTheme="minorHAnsi" w:cstheme="minorHAnsi"/>
          <w:sz w:val="22"/>
          <w:szCs w:val="22"/>
        </w:rPr>
        <w:t>.</w:t>
      </w:r>
      <w:r w:rsidRPr="008A7545">
        <w:rPr>
          <w:rFonts w:asciiTheme="minorHAnsi" w:hAnsiTheme="minorHAnsi" w:cstheme="minorHAnsi"/>
          <w:sz w:val="22"/>
          <w:szCs w:val="22"/>
        </w:rPr>
        <w:t xml:space="preserve"> </w:t>
      </w:r>
    </w:p>
    <w:p w14:paraId="3AB6C84C" w14:textId="2F48C367" w:rsidR="008A7545" w:rsidRDefault="008A7545" w:rsidP="008A7545">
      <w:pPr>
        <w:pStyle w:val="xmsolistparagraph"/>
        <w:ind w:left="360"/>
        <w:jc w:val="both"/>
        <w:rPr>
          <w:rFonts w:asciiTheme="minorHAnsi" w:hAnsiTheme="minorHAnsi" w:cstheme="minorHAnsi"/>
          <w:sz w:val="22"/>
          <w:szCs w:val="22"/>
        </w:rPr>
      </w:pPr>
    </w:p>
    <w:p w14:paraId="157D036A" w14:textId="25487FEA" w:rsidR="008A7545" w:rsidRDefault="008A7545" w:rsidP="008A7545">
      <w:pPr>
        <w:pStyle w:val="xmsolistparagraph"/>
        <w:ind w:left="360"/>
        <w:jc w:val="both"/>
        <w:rPr>
          <w:rFonts w:asciiTheme="minorHAnsi" w:hAnsiTheme="minorHAnsi" w:cstheme="minorHAnsi"/>
          <w:sz w:val="22"/>
          <w:szCs w:val="22"/>
        </w:rPr>
      </w:pPr>
      <w:r>
        <w:rPr>
          <w:rFonts w:asciiTheme="minorHAnsi" w:hAnsiTheme="minorHAnsi" w:cstheme="minorHAnsi"/>
          <w:sz w:val="22"/>
          <w:szCs w:val="22"/>
        </w:rPr>
        <w:t>Debe garantizar la atención presencial, la administración electrónica es una barrera de acceso a los derechos teniendo en cuenta la brecha digital. Las personas más vulnerables no tienen en ocasiones los dispositivos, la conexión o las competencias para poder tramitar estas prestaciones de forma electrónica.</w:t>
      </w:r>
    </w:p>
    <w:p w14:paraId="193C5ACB" w14:textId="77777777" w:rsidR="008A7545" w:rsidRDefault="008A7545" w:rsidP="008A7545">
      <w:pPr>
        <w:pStyle w:val="xmsolistparagraph"/>
        <w:ind w:left="360"/>
        <w:jc w:val="both"/>
        <w:rPr>
          <w:rFonts w:asciiTheme="minorHAnsi" w:hAnsiTheme="minorHAnsi" w:cstheme="minorHAnsi"/>
          <w:sz w:val="22"/>
          <w:szCs w:val="22"/>
        </w:rPr>
      </w:pPr>
    </w:p>
    <w:p w14:paraId="138FD312" w14:textId="2380729C" w:rsidR="005E338D" w:rsidRDefault="008A7545" w:rsidP="008A7545">
      <w:pPr>
        <w:pStyle w:val="xmsolistparagraph"/>
        <w:ind w:left="360"/>
        <w:jc w:val="both"/>
        <w:rPr>
          <w:rFonts w:asciiTheme="minorHAnsi" w:hAnsiTheme="minorHAnsi" w:cstheme="minorHAnsi"/>
          <w:sz w:val="22"/>
          <w:szCs w:val="22"/>
        </w:rPr>
      </w:pPr>
      <w:r>
        <w:rPr>
          <w:rFonts w:asciiTheme="minorHAnsi" w:hAnsiTheme="minorHAnsi" w:cstheme="minorHAnsi"/>
          <w:sz w:val="22"/>
          <w:szCs w:val="22"/>
        </w:rPr>
        <w:t>Por último, es necesario que en el sistema de garantía de ingresos mínimos haya</w:t>
      </w:r>
      <w:r w:rsidR="005E338D" w:rsidRPr="008A7545">
        <w:rPr>
          <w:rFonts w:asciiTheme="minorHAnsi" w:hAnsiTheme="minorHAnsi" w:cstheme="minorHAnsi"/>
          <w:sz w:val="22"/>
          <w:szCs w:val="22"/>
        </w:rPr>
        <w:t xml:space="preserve"> </w:t>
      </w:r>
      <w:r>
        <w:rPr>
          <w:rFonts w:asciiTheme="minorHAnsi" w:hAnsiTheme="minorHAnsi" w:cstheme="minorHAnsi"/>
          <w:sz w:val="22"/>
          <w:szCs w:val="22"/>
        </w:rPr>
        <w:t>un</w:t>
      </w:r>
      <w:r w:rsidR="005E338D" w:rsidRPr="008A7545">
        <w:rPr>
          <w:rFonts w:asciiTheme="minorHAnsi" w:hAnsiTheme="minorHAnsi" w:cstheme="minorHAnsi"/>
          <w:sz w:val="22"/>
          <w:szCs w:val="22"/>
        </w:rPr>
        <w:t xml:space="preserve"> compromiso tanto del Estado central como de las autonomías ofreciendo complementariedad entre las prestaciones brindadas por cada uno de los niveles de la administración pública.</w:t>
      </w:r>
    </w:p>
    <w:p w14:paraId="084711AB" w14:textId="297D75E2" w:rsidR="00197AA4" w:rsidRDefault="00197AA4" w:rsidP="00197AA4">
      <w:pPr>
        <w:pStyle w:val="xmsolistparagraph"/>
        <w:jc w:val="both"/>
        <w:rPr>
          <w:rFonts w:asciiTheme="minorHAnsi" w:hAnsiTheme="minorHAnsi" w:cstheme="minorHAnsi"/>
          <w:sz w:val="22"/>
          <w:szCs w:val="22"/>
        </w:rPr>
      </w:pPr>
    </w:p>
    <w:p w14:paraId="6B1E2561" w14:textId="276BE011" w:rsidR="00905A1D" w:rsidRDefault="00197AA4" w:rsidP="00197AA4">
      <w:pPr>
        <w:pStyle w:val="xmsolistparagraph"/>
        <w:jc w:val="both"/>
        <w:rPr>
          <w:rFonts w:asciiTheme="minorHAnsi" w:hAnsiTheme="minorHAnsi" w:cstheme="minorHAnsi"/>
          <w:sz w:val="22"/>
          <w:szCs w:val="22"/>
        </w:rPr>
      </w:pPr>
      <w:r>
        <w:rPr>
          <w:rFonts w:asciiTheme="minorHAnsi" w:hAnsiTheme="minorHAnsi" w:cstheme="minorHAnsi"/>
          <w:sz w:val="22"/>
          <w:szCs w:val="22"/>
        </w:rPr>
        <w:t xml:space="preserve">6. </w:t>
      </w:r>
      <w:r w:rsidR="00905A1D">
        <w:rPr>
          <w:rFonts w:asciiTheme="minorHAnsi" w:hAnsiTheme="minorHAnsi" w:cstheme="minorHAnsi"/>
          <w:sz w:val="22"/>
          <w:szCs w:val="22"/>
        </w:rPr>
        <w:t>Reducir drásticamente la condición de irregularidad en las personas de origen extranjero que residen en España:</w:t>
      </w:r>
    </w:p>
    <w:p w14:paraId="4D2031BF" w14:textId="6E0D36CF" w:rsidR="00197AA4" w:rsidRDefault="00905A1D" w:rsidP="00905A1D">
      <w:pPr>
        <w:pStyle w:val="xmsolistparagraph"/>
        <w:numPr>
          <w:ilvl w:val="0"/>
          <w:numId w:val="20"/>
        </w:numPr>
        <w:jc w:val="both"/>
        <w:rPr>
          <w:rFonts w:asciiTheme="minorHAnsi" w:hAnsiTheme="minorHAnsi" w:cstheme="minorHAnsi"/>
          <w:sz w:val="22"/>
          <w:szCs w:val="22"/>
        </w:rPr>
      </w:pPr>
      <w:r w:rsidRPr="00905A1D">
        <w:rPr>
          <w:rFonts w:asciiTheme="minorHAnsi" w:hAnsiTheme="minorHAnsi" w:cstheme="minorHAnsi"/>
          <w:b/>
          <w:sz w:val="22"/>
          <w:szCs w:val="22"/>
        </w:rPr>
        <w:t>Aprobando una regularización extraordinaria de personas migrantes</w:t>
      </w:r>
      <w:r>
        <w:rPr>
          <w:rFonts w:asciiTheme="minorHAnsi" w:hAnsiTheme="minorHAnsi" w:cstheme="minorHAnsi"/>
          <w:sz w:val="22"/>
          <w:szCs w:val="22"/>
        </w:rPr>
        <w:t xml:space="preserve">, para aliviar la situación actual de casi 500,000 personas residiendo en situación irregular. </w:t>
      </w:r>
    </w:p>
    <w:p w14:paraId="0025E235" w14:textId="182F80ED" w:rsidR="00905A1D" w:rsidRPr="008A7545" w:rsidRDefault="00905A1D" w:rsidP="00905A1D">
      <w:pPr>
        <w:pStyle w:val="xmsolistparagraph"/>
        <w:numPr>
          <w:ilvl w:val="0"/>
          <w:numId w:val="20"/>
        </w:numPr>
        <w:jc w:val="both"/>
        <w:rPr>
          <w:rFonts w:asciiTheme="minorHAnsi" w:hAnsiTheme="minorHAnsi" w:cstheme="minorHAnsi"/>
          <w:sz w:val="22"/>
          <w:szCs w:val="22"/>
        </w:rPr>
      </w:pPr>
      <w:r>
        <w:rPr>
          <w:rFonts w:asciiTheme="minorHAnsi" w:hAnsiTheme="minorHAnsi" w:cstheme="minorHAnsi"/>
          <w:sz w:val="22"/>
          <w:szCs w:val="22"/>
        </w:rPr>
        <w:t xml:space="preserve">Revisando la política migratoria y las normativas de extranjería para </w:t>
      </w:r>
      <w:r w:rsidRPr="00905A1D">
        <w:rPr>
          <w:rFonts w:asciiTheme="minorHAnsi" w:hAnsiTheme="minorHAnsi" w:cstheme="minorHAnsi"/>
          <w:b/>
          <w:sz w:val="22"/>
          <w:szCs w:val="22"/>
        </w:rPr>
        <w:t>promover posibilidades de migración y accesos a autorizaciones de residencia</w:t>
      </w:r>
      <w:r>
        <w:rPr>
          <w:rFonts w:asciiTheme="minorHAnsi" w:hAnsiTheme="minorHAnsi" w:cstheme="minorHAnsi"/>
          <w:sz w:val="22"/>
          <w:szCs w:val="22"/>
        </w:rPr>
        <w:t xml:space="preserve"> que contemplen oportunidades más allá del mercado laboral. </w:t>
      </w:r>
    </w:p>
    <w:sectPr w:rsidR="00905A1D" w:rsidRPr="008A7545">
      <w:headerReference w:type="default" r:id="rId11"/>
      <w:footerReference w:type="default" r:id="rId12"/>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556DE0" w14:textId="77777777" w:rsidR="0065176D" w:rsidRDefault="0065176D" w:rsidP="0065176D">
      <w:pPr>
        <w:spacing w:after="0" w:line="240" w:lineRule="auto"/>
      </w:pPr>
      <w:r>
        <w:separator/>
      </w:r>
    </w:p>
  </w:endnote>
  <w:endnote w:type="continuationSeparator" w:id="0">
    <w:p w14:paraId="15812ACC" w14:textId="77777777" w:rsidR="0065176D" w:rsidRDefault="0065176D" w:rsidP="006517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Bahnschrift SemiBold">
    <w:panose1 w:val="020B0502040204020203"/>
    <w:charset w:val="00"/>
    <w:family w:val="swiss"/>
    <w:pitch w:val="variable"/>
    <w:sig w:usb0="A00002C7" w:usb1="00000002"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eutra Text TF">
    <w:altName w:val="Neutra Text TF"/>
    <w:panose1 w:val="00000000000000000000"/>
    <w:charset w:val="00"/>
    <w:family w:val="swiss"/>
    <w:notTrueType/>
    <w:pitch w:val="default"/>
    <w:sig w:usb0="00000003" w:usb1="00000000" w:usb2="00000000" w:usb3="00000000" w:csb0="00000001" w:csb1="00000000"/>
  </w:font>
  <w:font w:name="Gill Sans Nova Medium">
    <w:altName w:val="Gill Sans Nova Medium"/>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10508418"/>
      <w:docPartObj>
        <w:docPartGallery w:val="Page Numbers (Bottom of Page)"/>
        <w:docPartUnique/>
      </w:docPartObj>
    </w:sdtPr>
    <w:sdtEndPr/>
    <w:sdtContent>
      <w:p w14:paraId="3CAE7195" w14:textId="494BA4DE" w:rsidR="00083BF2" w:rsidRDefault="00083BF2">
        <w:pPr>
          <w:pStyle w:val="Footer"/>
          <w:jc w:val="right"/>
        </w:pPr>
        <w:r>
          <w:fldChar w:fldCharType="begin"/>
        </w:r>
        <w:r>
          <w:instrText>PAGE   \* MERGEFORMAT</w:instrText>
        </w:r>
        <w:r>
          <w:fldChar w:fldCharType="separate"/>
        </w:r>
        <w:r w:rsidR="00B62007">
          <w:rPr>
            <w:noProof/>
          </w:rPr>
          <w:t>4</w:t>
        </w:r>
        <w:r>
          <w:fldChar w:fldCharType="end"/>
        </w:r>
      </w:p>
    </w:sdtContent>
  </w:sdt>
  <w:p w14:paraId="14670662" w14:textId="77777777" w:rsidR="00083BF2" w:rsidRDefault="00083B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2CA0F4" w14:textId="77777777" w:rsidR="0065176D" w:rsidRDefault="0065176D" w:rsidP="0065176D">
      <w:pPr>
        <w:spacing w:after="0" w:line="240" w:lineRule="auto"/>
      </w:pPr>
      <w:r>
        <w:separator/>
      </w:r>
    </w:p>
  </w:footnote>
  <w:footnote w:type="continuationSeparator" w:id="0">
    <w:p w14:paraId="3AC6072C" w14:textId="77777777" w:rsidR="0065176D" w:rsidRDefault="0065176D" w:rsidP="0065176D">
      <w:pPr>
        <w:spacing w:after="0" w:line="240" w:lineRule="auto"/>
      </w:pPr>
      <w:r>
        <w:continuationSeparator/>
      </w:r>
    </w:p>
  </w:footnote>
  <w:footnote w:id="1">
    <w:p w14:paraId="4F567817" w14:textId="166A6885" w:rsidR="00C30E37" w:rsidRDefault="008A7545">
      <w:pPr>
        <w:pStyle w:val="FootnoteText"/>
        <w:rPr>
          <w:rFonts w:eastAsia="Bahnschrift SemiBold" w:cstheme="minorHAnsi"/>
          <w:color w:val="000000"/>
          <w:sz w:val="18"/>
        </w:rPr>
      </w:pPr>
      <w:r>
        <w:rPr>
          <w:rStyle w:val="FootnoteReference"/>
        </w:rPr>
        <w:footnoteRef/>
      </w:r>
      <w:r>
        <w:t xml:space="preserve"> </w:t>
      </w:r>
      <w:r w:rsidRPr="008A7545">
        <w:rPr>
          <w:rFonts w:eastAsia="Bahnschrift SemiBold" w:cstheme="minorHAnsi"/>
          <w:color w:val="000000"/>
          <w:sz w:val="18"/>
        </w:rPr>
        <w:t>Real Decreto-ley 8/2023, de 27 de diciembre, por el que se adoptan medidas para afrontar las consecuencias económicas y sociales derivadas de los conflictos en Ucrania y Oriente Próximo, así como para paliar los efectos de la sequía.</w:t>
      </w:r>
      <w:r w:rsidR="00C30E37">
        <w:rPr>
          <w:rFonts w:eastAsia="Bahnschrift SemiBold" w:cstheme="minorHAnsi"/>
          <w:color w:val="000000"/>
          <w:sz w:val="18"/>
        </w:rPr>
        <w:t xml:space="preserve"> </w:t>
      </w:r>
      <w:hyperlink r:id="rId1" w:history="1">
        <w:r w:rsidR="00C30E37" w:rsidRPr="008E2083">
          <w:rPr>
            <w:rStyle w:val="Hyperlink"/>
            <w:rFonts w:eastAsia="Bahnschrift SemiBold" w:cstheme="minorHAnsi"/>
            <w:sz w:val="18"/>
          </w:rPr>
          <w:t>https://www.boe.es/diario_boe/txt.php?id=BOE-A-2023-26452</w:t>
        </w:r>
      </w:hyperlink>
    </w:p>
    <w:p w14:paraId="4220CC75" w14:textId="77777777" w:rsidR="00C30E37" w:rsidRPr="00C30E37" w:rsidRDefault="00C30E37">
      <w:pPr>
        <w:pStyle w:val="FootnoteText"/>
        <w:rPr>
          <w:rFonts w:eastAsia="Bahnschrift SemiBold" w:cstheme="minorHAnsi"/>
          <w:color w:val="000000"/>
          <w:sz w:val="18"/>
        </w:rPr>
      </w:pPr>
    </w:p>
  </w:footnote>
  <w:footnote w:id="2">
    <w:p w14:paraId="1CCDC9F8" w14:textId="31C441BF" w:rsidR="008A7545" w:rsidRDefault="008A7545" w:rsidP="008A7545">
      <w:pPr>
        <w:spacing w:after="0" w:line="258" w:lineRule="auto"/>
        <w:jc w:val="both"/>
        <w:textDirection w:val="btLr"/>
        <w:rPr>
          <w:rFonts w:eastAsia="Bahnschrift SemiBold" w:cstheme="minorHAnsi"/>
          <w:color w:val="000000"/>
          <w:sz w:val="18"/>
          <w:szCs w:val="20"/>
        </w:rPr>
      </w:pPr>
      <w:r>
        <w:rPr>
          <w:rStyle w:val="FootnoteReference"/>
        </w:rPr>
        <w:footnoteRef/>
      </w:r>
      <w:r>
        <w:t xml:space="preserve"> </w:t>
      </w:r>
      <w:r w:rsidRPr="008A7545">
        <w:rPr>
          <w:rFonts w:eastAsia="Bahnschrift SemiBold" w:cstheme="minorHAnsi"/>
          <w:color w:val="000000"/>
          <w:sz w:val="18"/>
          <w:szCs w:val="20"/>
        </w:rPr>
        <w:t>Real Decreto-Ley 6/2022, de 29 de marzo (orientación enviada el 31 de marzo de 2022) por el que se adoptaban medidas urgentes en el marco del Plan Nacional de respuesta a las consecuencias económicas y sociales de la guerra en Ucrania</w:t>
      </w:r>
      <w:r w:rsidR="00C30E37">
        <w:rPr>
          <w:rFonts w:eastAsia="Bahnschrift SemiBold" w:cstheme="minorHAnsi"/>
          <w:color w:val="000000"/>
          <w:sz w:val="18"/>
          <w:szCs w:val="20"/>
        </w:rPr>
        <w:t xml:space="preserve"> </w:t>
      </w:r>
      <w:hyperlink r:id="rId2" w:history="1">
        <w:r w:rsidR="00C30E37" w:rsidRPr="008E2083">
          <w:rPr>
            <w:rStyle w:val="Hyperlink"/>
            <w:rFonts w:eastAsia="Bahnschrift SemiBold" w:cstheme="minorHAnsi"/>
            <w:sz w:val="18"/>
            <w:szCs w:val="20"/>
          </w:rPr>
          <w:t>https://www.boe.es/buscar/act.php?id=BOE-A-2022-4972</w:t>
        </w:r>
      </w:hyperlink>
    </w:p>
    <w:p w14:paraId="7D4CA6A9" w14:textId="77777777" w:rsidR="00C30E37" w:rsidRDefault="00C30E37" w:rsidP="008A7545">
      <w:pPr>
        <w:spacing w:after="0" w:line="258" w:lineRule="auto"/>
        <w:jc w:val="both"/>
        <w:textDirection w:val="btLr"/>
        <w:rPr>
          <w:rFonts w:eastAsia="Bahnschrift SemiBold" w:cstheme="minorHAnsi"/>
          <w:color w:val="000000"/>
          <w:sz w:val="18"/>
          <w:szCs w:val="20"/>
        </w:rPr>
      </w:pPr>
    </w:p>
    <w:p w14:paraId="1D986376" w14:textId="069408F4" w:rsidR="00D55829" w:rsidRDefault="008A7545" w:rsidP="00D55829">
      <w:pPr>
        <w:spacing w:after="0" w:line="258" w:lineRule="auto"/>
        <w:jc w:val="both"/>
        <w:textDirection w:val="btLr"/>
        <w:rPr>
          <w:rFonts w:eastAsia="Bahnschrift SemiBold" w:cstheme="minorHAnsi"/>
          <w:color w:val="000000"/>
          <w:sz w:val="18"/>
          <w:szCs w:val="20"/>
        </w:rPr>
      </w:pPr>
      <w:r w:rsidRPr="008A7545">
        <w:rPr>
          <w:rFonts w:eastAsia="Bahnschrift SemiBold" w:cstheme="minorHAnsi"/>
          <w:color w:val="000000"/>
          <w:sz w:val="18"/>
          <w:szCs w:val="20"/>
        </w:rPr>
        <w:t>R</w:t>
      </w:r>
      <w:r w:rsidR="00D55829">
        <w:rPr>
          <w:rFonts w:eastAsia="Bahnschrift SemiBold" w:cstheme="minorHAnsi"/>
          <w:color w:val="000000"/>
          <w:sz w:val="18"/>
          <w:szCs w:val="20"/>
        </w:rPr>
        <w:t>eal Decreto-Ley</w:t>
      </w:r>
      <w:r w:rsidRPr="008A7545">
        <w:rPr>
          <w:rFonts w:eastAsia="Bahnschrift SemiBold" w:cstheme="minorHAnsi"/>
          <w:color w:val="000000"/>
          <w:sz w:val="18"/>
          <w:szCs w:val="20"/>
        </w:rPr>
        <w:t xml:space="preserve"> 11/2022, de 25 de junio, por el que se adoptan y se prorrogan determinadas medidas para responder a las consecuencias económicas y sociales de la guerra en Ucrania, para hacer frente a situaciones de vulnerabilidad económica y social</w:t>
      </w:r>
      <w:r>
        <w:rPr>
          <w:rFonts w:eastAsia="Bahnschrift SemiBold" w:cstheme="minorHAnsi"/>
          <w:color w:val="000000"/>
          <w:sz w:val="18"/>
          <w:szCs w:val="20"/>
        </w:rPr>
        <w:t>.</w:t>
      </w:r>
      <w:r w:rsidR="00C30E37">
        <w:rPr>
          <w:rFonts w:eastAsia="Bahnschrift SemiBold" w:cstheme="minorHAnsi"/>
          <w:color w:val="000000"/>
          <w:sz w:val="18"/>
          <w:szCs w:val="20"/>
        </w:rPr>
        <w:t xml:space="preserve">  </w:t>
      </w:r>
      <w:hyperlink r:id="rId3" w:history="1">
        <w:r w:rsidR="00C30E37" w:rsidRPr="008E2083">
          <w:rPr>
            <w:rStyle w:val="Hyperlink"/>
            <w:rFonts w:eastAsia="Bahnschrift SemiBold" w:cstheme="minorHAnsi"/>
            <w:sz w:val="18"/>
            <w:szCs w:val="20"/>
          </w:rPr>
          <w:t>https://www.boe.es/buscar/act.php?id=BOE-A-2022-10557</w:t>
        </w:r>
      </w:hyperlink>
    </w:p>
    <w:p w14:paraId="2583C2D4" w14:textId="77777777" w:rsidR="00C30E37" w:rsidRDefault="00C30E37" w:rsidP="00D55829">
      <w:pPr>
        <w:spacing w:after="0" w:line="258" w:lineRule="auto"/>
        <w:jc w:val="both"/>
        <w:textDirection w:val="btLr"/>
        <w:rPr>
          <w:rFonts w:eastAsia="Bahnschrift SemiBold" w:cstheme="minorHAnsi"/>
          <w:color w:val="000000"/>
          <w:sz w:val="18"/>
          <w:szCs w:val="20"/>
        </w:rPr>
      </w:pPr>
    </w:p>
    <w:p w14:paraId="30AD5442" w14:textId="086444CA" w:rsidR="00C30E37" w:rsidRPr="008A7545" w:rsidRDefault="008A7545" w:rsidP="00D55829">
      <w:pPr>
        <w:spacing w:after="0" w:line="258" w:lineRule="auto"/>
        <w:jc w:val="both"/>
        <w:textDirection w:val="btLr"/>
        <w:rPr>
          <w:rFonts w:eastAsia="Bahnschrift SemiBold" w:cstheme="minorHAnsi"/>
          <w:color w:val="000000"/>
          <w:sz w:val="18"/>
          <w:szCs w:val="20"/>
        </w:rPr>
      </w:pPr>
      <w:r w:rsidRPr="00D55829">
        <w:rPr>
          <w:rFonts w:eastAsia="Bahnschrift SemiBold" w:cstheme="minorHAnsi"/>
          <w:color w:val="000000"/>
          <w:sz w:val="18"/>
          <w:szCs w:val="20"/>
        </w:rPr>
        <w:t>Real Decreto-</w:t>
      </w:r>
      <w:r w:rsidR="00D55829">
        <w:rPr>
          <w:rFonts w:eastAsia="Bahnschrift SemiBold" w:cstheme="minorHAnsi"/>
          <w:color w:val="000000"/>
          <w:sz w:val="18"/>
          <w:szCs w:val="20"/>
        </w:rPr>
        <w:t>L</w:t>
      </w:r>
      <w:r w:rsidRPr="00D55829">
        <w:rPr>
          <w:rFonts w:eastAsia="Bahnschrift SemiBold" w:cstheme="minorHAnsi"/>
          <w:color w:val="000000"/>
          <w:sz w:val="18"/>
          <w:szCs w:val="20"/>
        </w:rPr>
        <w:t xml:space="preserve">ey 20/2022, de 27 de diciembre, de medidas de respuesta a las consecuencias económicas y sociales de la Guerra de Ucrania y de apoyo a la reconstrucción de la isla de La Palma y a otras situaciones de vulnerabilidad </w:t>
      </w:r>
      <w:bookmarkStart w:id="0" w:name="_Hlk154667198"/>
      <w:r w:rsidRPr="008A7545">
        <w:rPr>
          <w:rFonts w:eastAsia="Bahnschrift SemiBold" w:cstheme="minorHAnsi"/>
          <w:color w:val="000000"/>
          <w:sz w:val="18"/>
          <w:szCs w:val="20"/>
        </w:rPr>
        <w:t>Real Decreto-</w:t>
      </w:r>
      <w:r w:rsidR="00D55829">
        <w:rPr>
          <w:rFonts w:eastAsia="Bahnschrift SemiBold" w:cstheme="minorHAnsi"/>
          <w:color w:val="000000"/>
          <w:sz w:val="18"/>
          <w:szCs w:val="20"/>
        </w:rPr>
        <w:t>L</w:t>
      </w:r>
      <w:r w:rsidRPr="008A7545">
        <w:rPr>
          <w:rFonts w:eastAsia="Bahnschrift SemiBold" w:cstheme="minorHAnsi"/>
          <w:color w:val="000000"/>
          <w:sz w:val="18"/>
          <w:szCs w:val="20"/>
        </w:rPr>
        <w:t>ey 5/2023</w:t>
      </w:r>
      <w:bookmarkEnd w:id="0"/>
      <w:r w:rsidRPr="008A7545">
        <w:rPr>
          <w:rFonts w:eastAsia="Bahnschrift SemiBold" w:cstheme="minorHAnsi"/>
          <w:color w:val="000000"/>
          <w:sz w:val="18"/>
          <w:szCs w:val="20"/>
        </w:rPr>
        <w:t>, de 28 de junio, por el que se adoptan y prorrogan determinadas medidas de respuesta a las consecuencias económicas y sociales de la Guerra de Ucrania, de apoyo a la reconstrucción de la isla de La Palma y a otras situaciones de vulnerabilidad</w:t>
      </w:r>
      <w:r w:rsidR="00D55829">
        <w:rPr>
          <w:rFonts w:eastAsia="Bahnschrift SemiBold" w:cstheme="minorHAnsi"/>
          <w:color w:val="000000"/>
          <w:sz w:val="18"/>
          <w:szCs w:val="20"/>
        </w:rPr>
        <w:t>.</w:t>
      </w:r>
      <w:r w:rsidRPr="008A7545">
        <w:rPr>
          <w:rFonts w:eastAsia="Bahnschrift SemiBold" w:cstheme="minorHAnsi"/>
          <w:color w:val="000000"/>
          <w:sz w:val="18"/>
          <w:szCs w:val="20"/>
        </w:rPr>
        <w:t xml:space="preserve"> </w:t>
      </w:r>
      <w:r w:rsidR="00C30E37">
        <w:rPr>
          <w:rFonts w:eastAsia="Bahnschrift SemiBold" w:cstheme="minorHAnsi"/>
          <w:color w:val="000000"/>
          <w:sz w:val="18"/>
          <w:szCs w:val="20"/>
        </w:rPr>
        <w:t xml:space="preserve"> </w:t>
      </w:r>
      <w:hyperlink r:id="rId4" w:history="1">
        <w:r w:rsidR="00C30E37" w:rsidRPr="008E2083">
          <w:rPr>
            <w:rStyle w:val="Hyperlink"/>
            <w:rFonts w:eastAsia="Bahnschrift SemiBold" w:cstheme="minorHAnsi"/>
            <w:sz w:val="18"/>
            <w:szCs w:val="20"/>
          </w:rPr>
          <w:t>https://www.boe.es/buscar/act.php?id=BOE-A-2022-22685</w:t>
        </w:r>
      </w:hyperlink>
    </w:p>
    <w:p w14:paraId="566B6A97" w14:textId="79C49E90" w:rsidR="008A7545" w:rsidRDefault="008A7545">
      <w:pPr>
        <w:pStyle w:val="FootnoteText"/>
      </w:pPr>
    </w:p>
  </w:footnote>
  <w:footnote w:id="3">
    <w:p w14:paraId="5CF9D678" w14:textId="76720563" w:rsidR="00DA4F77" w:rsidRPr="00C30E37" w:rsidRDefault="00DA4F77">
      <w:pPr>
        <w:pStyle w:val="FootnoteText"/>
        <w:rPr>
          <w:sz w:val="18"/>
        </w:rPr>
      </w:pPr>
      <w:r>
        <w:rPr>
          <w:rStyle w:val="FootnoteReference"/>
        </w:rPr>
        <w:footnoteRef/>
      </w:r>
      <w:r>
        <w:t xml:space="preserve"> </w:t>
      </w:r>
      <w:hyperlink r:id="rId5" w:history="1">
        <w:r w:rsidRPr="00C30E37">
          <w:rPr>
            <w:rStyle w:val="Hyperlink"/>
            <w:sz w:val="18"/>
          </w:rPr>
          <w:t>https://www.caritas.es/main-files/uploads/2023/11/CA%CC%81RITAS-analisis-y-persectivas-2023-digital-.pdf</w:t>
        </w:r>
      </w:hyperlink>
      <w:r w:rsidRPr="00C30E37">
        <w:rPr>
          <w:sz w:val="18"/>
        </w:rPr>
        <w:t xml:space="preserve"> </w:t>
      </w:r>
    </w:p>
    <w:p w14:paraId="24543241" w14:textId="4A3F0B53" w:rsidR="00DA4F77" w:rsidRDefault="00DA4F77">
      <w:pPr>
        <w:pStyle w:val="FootnoteText"/>
      </w:pPr>
    </w:p>
  </w:footnote>
  <w:footnote w:id="4">
    <w:p w14:paraId="0CDE8235" w14:textId="3C2B0C36" w:rsidR="00CC0C13" w:rsidRDefault="00CC0C13">
      <w:pPr>
        <w:pStyle w:val="FootnoteText"/>
      </w:pPr>
      <w:r>
        <w:rPr>
          <w:rStyle w:val="FootnoteReference"/>
        </w:rPr>
        <w:footnoteRef/>
      </w:r>
      <w:r>
        <w:t xml:space="preserve"> 2021: </w:t>
      </w:r>
      <w:hyperlink r:id="rId6" w:history="1">
        <w:r w:rsidR="00F86382" w:rsidRPr="003C301D">
          <w:rPr>
            <w:rStyle w:val="Hyperlink"/>
          </w:rPr>
          <w:t>https://www.airef.es/wp-content/uploads/2022/08/IMV/OPINION-AIREF-IMV.pdf</w:t>
        </w:r>
      </w:hyperlink>
      <w:r w:rsidR="00F86382">
        <w:t xml:space="preserve"> </w:t>
      </w:r>
    </w:p>
    <w:p w14:paraId="6C313D4F" w14:textId="38875340" w:rsidR="00CC0C13" w:rsidRDefault="00CC0C13">
      <w:pPr>
        <w:pStyle w:val="FootnoteText"/>
      </w:pPr>
      <w:r>
        <w:t xml:space="preserve">2022: </w:t>
      </w:r>
      <w:hyperlink r:id="rId7" w:history="1">
        <w:r w:rsidRPr="003C301D">
          <w:rPr>
            <w:rStyle w:val="Hyperlink"/>
          </w:rPr>
          <w:t>https://www.airef.es/es/centro-documental/segunda-opinion-sobre-el-ingreso-minimo-vital/</w:t>
        </w:r>
      </w:hyperlink>
      <w:r>
        <w:t xml:space="preserve"> </w:t>
      </w:r>
    </w:p>
  </w:footnote>
  <w:footnote w:id="5">
    <w:p w14:paraId="2472C25E" w14:textId="167D8D61" w:rsidR="00C63AC9" w:rsidRDefault="00C63AC9">
      <w:pPr>
        <w:pStyle w:val="FootnoteText"/>
      </w:pPr>
      <w:r>
        <w:rPr>
          <w:rStyle w:val="FootnoteReference"/>
        </w:rPr>
        <w:footnoteRef/>
      </w:r>
      <w:r>
        <w:t xml:space="preserve"> </w:t>
      </w:r>
      <w:hyperlink r:id="rId8" w:history="1">
        <w:r w:rsidRPr="003C301D">
          <w:rPr>
            <w:rStyle w:val="Hyperlink"/>
          </w:rPr>
          <w:t>https://ine.es/prensa/epf_2022.pdf</w:t>
        </w:r>
      </w:hyperlink>
      <w:r>
        <w:t xml:space="preserve"> </w:t>
      </w:r>
    </w:p>
  </w:footnote>
  <w:footnote w:id="6">
    <w:p w14:paraId="0362FE4F" w14:textId="70B16995" w:rsidR="00817715" w:rsidRDefault="00817715">
      <w:pPr>
        <w:pStyle w:val="FootnoteText"/>
      </w:pPr>
      <w:r>
        <w:rPr>
          <w:rStyle w:val="FootnoteReference"/>
        </w:rPr>
        <w:footnoteRef/>
      </w:r>
      <w:r>
        <w:t xml:space="preserve"> Encuesta Condiciones de Vida 2022 </w:t>
      </w:r>
      <w:hyperlink r:id="rId9" w:history="1">
        <w:r w:rsidRPr="003C301D">
          <w:rPr>
            <w:rStyle w:val="Hyperlink"/>
          </w:rPr>
          <w:t>https://ine.es/prensa/ecv_2022.pdf</w:t>
        </w:r>
      </w:hyperlink>
      <w:r>
        <w:t xml:space="preserve"> </w:t>
      </w:r>
    </w:p>
  </w:footnote>
  <w:footnote w:id="7">
    <w:p w14:paraId="53A02AF4" w14:textId="6A600635" w:rsidR="00CE1ABF" w:rsidRDefault="00CE1ABF">
      <w:pPr>
        <w:pStyle w:val="FootnoteText"/>
      </w:pPr>
      <w:r>
        <w:rPr>
          <w:rStyle w:val="FootnoteReference"/>
        </w:rPr>
        <w:footnoteRef/>
      </w:r>
      <w:r>
        <w:t xml:space="preserve"> </w:t>
      </w:r>
      <w:hyperlink r:id="rId10" w:history="1">
        <w:r w:rsidRPr="007B7C0D">
          <w:rPr>
            <w:rStyle w:val="Hyperlink"/>
          </w:rPr>
          <w:t>https://www.foessa.es/main-files/uploads/sites/16/2023/09/Focus-PSAI.pdf</w:t>
        </w:r>
      </w:hyperlink>
      <w:r w:rsidR="00A5778E">
        <w:t xml:space="preserve"> </w:t>
      </w:r>
      <w:r>
        <w:t xml:space="preserve"> </w:t>
      </w:r>
    </w:p>
  </w:footnote>
  <w:footnote w:id="8">
    <w:p w14:paraId="6494E195" w14:textId="77777777" w:rsidR="005F6EE0" w:rsidRDefault="005F6EE0" w:rsidP="005F6EE0">
      <w:pPr>
        <w:pStyle w:val="FootnoteText"/>
      </w:pPr>
      <w:r>
        <w:rPr>
          <w:rStyle w:val="FootnoteReference"/>
        </w:rPr>
        <w:footnoteRef/>
      </w:r>
      <w:r>
        <w:t xml:space="preserve"> </w:t>
      </w:r>
      <w:hyperlink r:id="rId11" w:history="1">
        <w:r w:rsidRPr="007B7C0D">
          <w:rPr>
            <w:rStyle w:val="Hyperlink"/>
          </w:rPr>
          <w:t>https://www.caritas.es/main-files/uploads/2021/10/analisis-y-persectivas-2021.pdf</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E0E97" w14:textId="7AC9BB9F" w:rsidR="00083BF2" w:rsidRDefault="00083BF2" w:rsidP="00083BF2">
    <w:pPr>
      <w:pStyle w:val="Header"/>
      <w:jc w:val="center"/>
    </w:pPr>
    <w:r w:rsidRPr="00083BF2">
      <w:rPr>
        <w:noProof/>
        <w:lang w:eastAsia="es-ES"/>
      </w:rPr>
      <w:drawing>
        <wp:inline distT="0" distB="0" distL="0" distR="0" wp14:anchorId="282FCD15" wp14:editId="0FB54BBB">
          <wp:extent cx="863600" cy="723235"/>
          <wp:effectExtent l="0" t="0" r="0" b="127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875639" cy="733317"/>
                  </a:xfrm>
                  <a:prstGeom prst="rect">
                    <a:avLst/>
                  </a:prstGeom>
                </pic:spPr>
              </pic:pic>
            </a:graphicData>
          </a:graphic>
        </wp:inline>
      </w:drawing>
    </w:r>
  </w:p>
  <w:p w14:paraId="7A321455" w14:textId="77777777" w:rsidR="00083BF2" w:rsidRDefault="00083BF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0.5pt;height:10.5pt" o:bullet="t">
        <v:imagedata r:id="rId1" o:title="msoF98F"/>
      </v:shape>
    </w:pict>
  </w:numPicBullet>
  <w:abstractNum w:abstractNumId="0" w15:restartNumberingAfterBreak="0">
    <w:nsid w:val="015263F6"/>
    <w:multiLevelType w:val="hybridMultilevel"/>
    <w:tmpl w:val="AC32A216"/>
    <w:lvl w:ilvl="0" w:tplc="B0CAAB9A">
      <w:start w:val="1"/>
      <w:numFmt w:val="bullet"/>
      <w:lvlText w:val="-"/>
      <w:lvlJc w:val="left"/>
      <w:pPr>
        <w:ind w:left="720" w:hanging="360"/>
      </w:pPr>
      <w:rPr>
        <w:rFonts w:ascii="Calibri" w:eastAsia="Bahnschrift SemiBold"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16B0E95"/>
    <w:multiLevelType w:val="hybridMultilevel"/>
    <w:tmpl w:val="2A5C81C2"/>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 w15:restartNumberingAfterBreak="0">
    <w:nsid w:val="07004BEB"/>
    <w:multiLevelType w:val="hybridMultilevel"/>
    <w:tmpl w:val="00B43B8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1F45FFC"/>
    <w:multiLevelType w:val="hybridMultilevel"/>
    <w:tmpl w:val="5A0ACE02"/>
    <w:lvl w:ilvl="0" w:tplc="0C0A000B">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16BC5EC0"/>
    <w:multiLevelType w:val="hybridMultilevel"/>
    <w:tmpl w:val="C3AA02C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27A35198"/>
    <w:multiLevelType w:val="hybridMultilevel"/>
    <w:tmpl w:val="0A68ABEA"/>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29A55B97"/>
    <w:multiLevelType w:val="hybridMultilevel"/>
    <w:tmpl w:val="A08A4A04"/>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31E97B4D"/>
    <w:multiLevelType w:val="hybridMultilevel"/>
    <w:tmpl w:val="B6043C56"/>
    <w:lvl w:ilvl="0" w:tplc="0C0A0007">
      <w:start w:val="1"/>
      <w:numFmt w:val="bullet"/>
      <w:lvlText w:val=""/>
      <w:lvlPicBulletId w:val="0"/>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38107D81"/>
    <w:multiLevelType w:val="hybridMultilevel"/>
    <w:tmpl w:val="2CB2061C"/>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3B626E27"/>
    <w:multiLevelType w:val="hybridMultilevel"/>
    <w:tmpl w:val="5A2E3118"/>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10" w15:restartNumberingAfterBreak="0">
    <w:nsid w:val="4474497E"/>
    <w:multiLevelType w:val="hybridMultilevel"/>
    <w:tmpl w:val="55A85F12"/>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4BA52FF4"/>
    <w:multiLevelType w:val="hybridMultilevel"/>
    <w:tmpl w:val="A344044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4D7D7375"/>
    <w:multiLevelType w:val="hybridMultilevel"/>
    <w:tmpl w:val="3A66A734"/>
    <w:lvl w:ilvl="0" w:tplc="0C0A0007">
      <w:start w:val="1"/>
      <w:numFmt w:val="bullet"/>
      <w:lvlText w:val=""/>
      <w:lvlPicBulletId w:val="0"/>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4FDE39A6"/>
    <w:multiLevelType w:val="hybridMultilevel"/>
    <w:tmpl w:val="92D8CB8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593636AF"/>
    <w:multiLevelType w:val="hybridMultilevel"/>
    <w:tmpl w:val="38C8C28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5F5E6C89"/>
    <w:multiLevelType w:val="hybridMultilevel"/>
    <w:tmpl w:val="3BEC304C"/>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63667D32"/>
    <w:multiLevelType w:val="hybridMultilevel"/>
    <w:tmpl w:val="75FA6180"/>
    <w:lvl w:ilvl="0" w:tplc="0C0A0007">
      <w:start w:val="1"/>
      <w:numFmt w:val="bullet"/>
      <w:lvlText w:val=""/>
      <w:lvlPicBulletId w:val="0"/>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65AF46F7"/>
    <w:multiLevelType w:val="hybridMultilevel"/>
    <w:tmpl w:val="D9400470"/>
    <w:lvl w:ilvl="0" w:tplc="72AA51DC">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772B74B1"/>
    <w:multiLevelType w:val="hybridMultilevel"/>
    <w:tmpl w:val="E6BC690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7E8B7DB5"/>
    <w:multiLevelType w:val="hybridMultilevel"/>
    <w:tmpl w:val="258E0DA4"/>
    <w:lvl w:ilvl="0" w:tplc="0C0A0001">
      <w:start w:val="1"/>
      <w:numFmt w:val="bullet"/>
      <w:lvlText w:val=""/>
      <w:lvlJc w:val="left"/>
      <w:pPr>
        <w:ind w:left="765" w:hanging="360"/>
      </w:pPr>
      <w:rPr>
        <w:rFonts w:ascii="Symbol" w:hAnsi="Symbol" w:hint="default"/>
      </w:rPr>
    </w:lvl>
    <w:lvl w:ilvl="1" w:tplc="0C0A0003" w:tentative="1">
      <w:start w:val="1"/>
      <w:numFmt w:val="bullet"/>
      <w:lvlText w:val="o"/>
      <w:lvlJc w:val="left"/>
      <w:pPr>
        <w:ind w:left="1485" w:hanging="360"/>
      </w:pPr>
      <w:rPr>
        <w:rFonts w:ascii="Courier New" w:hAnsi="Courier New" w:cs="Courier New" w:hint="default"/>
      </w:rPr>
    </w:lvl>
    <w:lvl w:ilvl="2" w:tplc="0C0A0005" w:tentative="1">
      <w:start w:val="1"/>
      <w:numFmt w:val="bullet"/>
      <w:lvlText w:val=""/>
      <w:lvlJc w:val="left"/>
      <w:pPr>
        <w:ind w:left="2205" w:hanging="360"/>
      </w:pPr>
      <w:rPr>
        <w:rFonts w:ascii="Wingdings" w:hAnsi="Wingdings" w:hint="default"/>
      </w:rPr>
    </w:lvl>
    <w:lvl w:ilvl="3" w:tplc="0C0A0001" w:tentative="1">
      <w:start w:val="1"/>
      <w:numFmt w:val="bullet"/>
      <w:lvlText w:val=""/>
      <w:lvlJc w:val="left"/>
      <w:pPr>
        <w:ind w:left="2925" w:hanging="360"/>
      </w:pPr>
      <w:rPr>
        <w:rFonts w:ascii="Symbol" w:hAnsi="Symbol" w:hint="default"/>
      </w:rPr>
    </w:lvl>
    <w:lvl w:ilvl="4" w:tplc="0C0A0003" w:tentative="1">
      <w:start w:val="1"/>
      <w:numFmt w:val="bullet"/>
      <w:lvlText w:val="o"/>
      <w:lvlJc w:val="left"/>
      <w:pPr>
        <w:ind w:left="3645" w:hanging="360"/>
      </w:pPr>
      <w:rPr>
        <w:rFonts w:ascii="Courier New" w:hAnsi="Courier New" w:cs="Courier New" w:hint="default"/>
      </w:rPr>
    </w:lvl>
    <w:lvl w:ilvl="5" w:tplc="0C0A0005" w:tentative="1">
      <w:start w:val="1"/>
      <w:numFmt w:val="bullet"/>
      <w:lvlText w:val=""/>
      <w:lvlJc w:val="left"/>
      <w:pPr>
        <w:ind w:left="4365" w:hanging="360"/>
      </w:pPr>
      <w:rPr>
        <w:rFonts w:ascii="Wingdings" w:hAnsi="Wingdings" w:hint="default"/>
      </w:rPr>
    </w:lvl>
    <w:lvl w:ilvl="6" w:tplc="0C0A0001" w:tentative="1">
      <w:start w:val="1"/>
      <w:numFmt w:val="bullet"/>
      <w:lvlText w:val=""/>
      <w:lvlJc w:val="left"/>
      <w:pPr>
        <w:ind w:left="5085" w:hanging="360"/>
      </w:pPr>
      <w:rPr>
        <w:rFonts w:ascii="Symbol" w:hAnsi="Symbol" w:hint="default"/>
      </w:rPr>
    </w:lvl>
    <w:lvl w:ilvl="7" w:tplc="0C0A0003" w:tentative="1">
      <w:start w:val="1"/>
      <w:numFmt w:val="bullet"/>
      <w:lvlText w:val="o"/>
      <w:lvlJc w:val="left"/>
      <w:pPr>
        <w:ind w:left="5805" w:hanging="360"/>
      </w:pPr>
      <w:rPr>
        <w:rFonts w:ascii="Courier New" w:hAnsi="Courier New" w:cs="Courier New" w:hint="default"/>
      </w:rPr>
    </w:lvl>
    <w:lvl w:ilvl="8" w:tplc="0C0A0005" w:tentative="1">
      <w:start w:val="1"/>
      <w:numFmt w:val="bullet"/>
      <w:lvlText w:val=""/>
      <w:lvlJc w:val="left"/>
      <w:pPr>
        <w:ind w:left="6525" w:hanging="360"/>
      </w:pPr>
      <w:rPr>
        <w:rFonts w:ascii="Wingdings" w:hAnsi="Wingdings" w:hint="default"/>
      </w:rPr>
    </w:lvl>
  </w:abstractNum>
  <w:num w:numId="1" w16cid:durableId="707023713">
    <w:abstractNumId w:val="17"/>
  </w:num>
  <w:num w:numId="2" w16cid:durableId="429354918">
    <w:abstractNumId w:val="9"/>
  </w:num>
  <w:num w:numId="3" w16cid:durableId="791706294">
    <w:abstractNumId w:val="8"/>
  </w:num>
  <w:num w:numId="4" w16cid:durableId="863903625">
    <w:abstractNumId w:val="3"/>
  </w:num>
  <w:num w:numId="5" w16cid:durableId="602149499">
    <w:abstractNumId w:val="15"/>
  </w:num>
  <w:num w:numId="6" w16cid:durableId="2029796618">
    <w:abstractNumId w:val="7"/>
  </w:num>
  <w:num w:numId="7" w16cid:durableId="17120028">
    <w:abstractNumId w:val="1"/>
  </w:num>
  <w:num w:numId="8" w16cid:durableId="326371427">
    <w:abstractNumId w:val="12"/>
  </w:num>
  <w:num w:numId="9" w16cid:durableId="1178616246">
    <w:abstractNumId w:val="16"/>
  </w:num>
  <w:num w:numId="10" w16cid:durableId="675615135">
    <w:abstractNumId w:val="13"/>
  </w:num>
  <w:num w:numId="11" w16cid:durableId="89129768">
    <w:abstractNumId w:val="11"/>
  </w:num>
  <w:num w:numId="12" w16cid:durableId="988939299">
    <w:abstractNumId w:val="10"/>
  </w:num>
  <w:num w:numId="13" w16cid:durableId="1631089025">
    <w:abstractNumId w:val="4"/>
  </w:num>
  <w:num w:numId="14" w16cid:durableId="1453553271">
    <w:abstractNumId w:val="2"/>
  </w:num>
  <w:num w:numId="15" w16cid:durableId="1200582694">
    <w:abstractNumId w:val="6"/>
  </w:num>
  <w:num w:numId="16" w16cid:durableId="1592735122">
    <w:abstractNumId w:val="18"/>
  </w:num>
  <w:num w:numId="17" w16cid:durableId="1895501439">
    <w:abstractNumId w:val="0"/>
  </w:num>
  <w:num w:numId="18" w16cid:durableId="1684086681">
    <w:abstractNumId w:val="14"/>
  </w:num>
  <w:num w:numId="19" w16cid:durableId="1711032865">
    <w:abstractNumId w:val="5"/>
  </w:num>
  <w:num w:numId="20" w16cid:durableId="167634598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7DD9"/>
    <w:rsid w:val="00007D12"/>
    <w:rsid w:val="0001430B"/>
    <w:rsid w:val="00024827"/>
    <w:rsid w:val="00041D81"/>
    <w:rsid w:val="00057610"/>
    <w:rsid w:val="00083BF2"/>
    <w:rsid w:val="00095525"/>
    <w:rsid w:val="000C37AF"/>
    <w:rsid w:val="000D319A"/>
    <w:rsid w:val="000E5171"/>
    <w:rsid w:val="000F0A85"/>
    <w:rsid w:val="0012634F"/>
    <w:rsid w:val="001501F8"/>
    <w:rsid w:val="00187B6D"/>
    <w:rsid w:val="00197AA4"/>
    <w:rsid w:val="001A076F"/>
    <w:rsid w:val="001A1DFC"/>
    <w:rsid w:val="001C7EE5"/>
    <w:rsid w:val="002141DD"/>
    <w:rsid w:val="002152FE"/>
    <w:rsid w:val="00230ADD"/>
    <w:rsid w:val="002E32FE"/>
    <w:rsid w:val="002E64D2"/>
    <w:rsid w:val="0030604E"/>
    <w:rsid w:val="00306A26"/>
    <w:rsid w:val="00323366"/>
    <w:rsid w:val="00331F4A"/>
    <w:rsid w:val="0034052A"/>
    <w:rsid w:val="00392D3D"/>
    <w:rsid w:val="003B5E77"/>
    <w:rsid w:val="003B78FB"/>
    <w:rsid w:val="0040212B"/>
    <w:rsid w:val="00425C85"/>
    <w:rsid w:val="004935F0"/>
    <w:rsid w:val="004B3C0C"/>
    <w:rsid w:val="004C2165"/>
    <w:rsid w:val="004E3057"/>
    <w:rsid w:val="004F4324"/>
    <w:rsid w:val="00514270"/>
    <w:rsid w:val="005832A6"/>
    <w:rsid w:val="005B3424"/>
    <w:rsid w:val="005C18AE"/>
    <w:rsid w:val="005C5177"/>
    <w:rsid w:val="005E338D"/>
    <w:rsid w:val="005F2958"/>
    <w:rsid w:val="005F6EE0"/>
    <w:rsid w:val="0065176D"/>
    <w:rsid w:val="00685F81"/>
    <w:rsid w:val="006A4AF0"/>
    <w:rsid w:val="006D0D16"/>
    <w:rsid w:val="006D420F"/>
    <w:rsid w:val="006F2E8B"/>
    <w:rsid w:val="006F769C"/>
    <w:rsid w:val="0071412B"/>
    <w:rsid w:val="00715C8A"/>
    <w:rsid w:val="00726128"/>
    <w:rsid w:val="007308C6"/>
    <w:rsid w:val="00742DDD"/>
    <w:rsid w:val="0075765C"/>
    <w:rsid w:val="00757CC8"/>
    <w:rsid w:val="00787854"/>
    <w:rsid w:val="007952E2"/>
    <w:rsid w:val="007F7398"/>
    <w:rsid w:val="007F7DD9"/>
    <w:rsid w:val="00800D58"/>
    <w:rsid w:val="00813AAF"/>
    <w:rsid w:val="00817715"/>
    <w:rsid w:val="00874EDE"/>
    <w:rsid w:val="008A7545"/>
    <w:rsid w:val="00905A1D"/>
    <w:rsid w:val="0093403D"/>
    <w:rsid w:val="00947046"/>
    <w:rsid w:val="009564D8"/>
    <w:rsid w:val="009A4092"/>
    <w:rsid w:val="009F176B"/>
    <w:rsid w:val="00A2080E"/>
    <w:rsid w:val="00A26AA9"/>
    <w:rsid w:val="00A5778E"/>
    <w:rsid w:val="00A745AC"/>
    <w:rsid w:val="00AB77E3"/>
    <w:rsid w:val="00B459EA"/>
    <w:rsid w:val="00B461F5"/>
    <w:rsid w:val="00B62007"/>
    <w:rsid w:val="00B90E27"/>
    <w:rsid w:val="00B93439"/>
    <w:rsid w:val="00BD54BA"/>
    <w:rsid w:val="00BE5A31"/>
    <w:rsid w:val="00BE7812"/>
    <w:rsid w:val="00C17B23"/>
    <w:rsid w:val="00C30E37"/>
    <w:rsid w:val="00C37DB0"/>
    <w:rsid w:val="00C63AC9"/>
    <w:rsid w:val="00C94319"/>
    <w:rsid w:val="00CB6342"/>
    <w:rsid w:val="00CC0C13"/>
    <w:rsid w:val="00CE1ABF"/>
    <w:rsid w:val="00CE75A2"/>
    <w:rsid w:val="00CF5C2B"/>
    <w:rsid w:val="00D342EC"/>
    <w:rsid w:val="00D35DCC"/>
    <w:rsid w:val="00D55829"/>
    <w:rsid w:val="00D56C6F"/>
    <w:rsid w:val="00DA4F77"/>
    <w:rsid w:val="00E27634"/>
    <w:rsid w:val="00E3640C"/>
    <w:rsid w:val="00E3797D"/>
    <w:rsid w:val="00E41C24"/>
    <w:rsid w:val="00E770AE"/>
    <w:rsid w:val="00EB5F6C"/>
    <w:rsid w:val="00EC1DD9"/>
    <w:rsid w:val="00EC380F"/>
    <w:rsid w:val="00EF0EC6"/>
    <w:rsid w:val="00F007A4"/>
    <w:rsid w:val="00F223A9"/>
    <w:rsid w:val="00F25C31"/>
    <w:rsid w:val="00F316F8"/>
    <w:rsid w:val="00F86382"/>
    <w:rsid w:val="00F9472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80E075F"/>
  <w15:chartTrackingRefBased/>
  <w15:docId w15:val="{8F0C4518-EE4B-4C32-8E6C-2620ECDE47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7DD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A4AF0"/>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Hyperlink">
    <w:name w:val="Hyperlink"/>
    <w:basedOn w:val="DefaultParagraphFont"/>
    <w:uiPriority w:val="99"/>
    <w:unhideWhenUsed/>
    <w:rsid w:val="006A4AF0"/>
    <w:rPr>
      <w:color w:val="0000FF"/>
      <w:u w:val="single"/>
    </w:rPr>
  </w:style>
  <w:style w:type="paragraph" w:customStyle="1" w:styleId="Pa7">
    <w:name w:val="Pa7"/>
    <w:basedOn w:val="Normal"/>
    <w:next w:val="Normal"/>
    <w:uiPriority w:val="99"/>
    <w:rsid w:val="006A4AF0"/>
    <w:pPr>
      <w:autoSpaceDE w:val="0"/>
      <w:autoSpaceDN w:val="0"/>
      <w:adjustRightInd w:val="0"/>
      <w:spacing w:after="0" w:line="221" w:lineRule="atLeast"/>
    </w:pPr>
    <w:rPr>
      <w:rFonts w:ascii="Neutra Text TF" w:hAnsi="Neutra Text TF"/>
      <w:sz w:val="24"/>
      <w:szCs w:val="24"/>
    </w:rPr>
  </w:style>
  <w:style w:type="paragraph" w:styleId="FootnoteText">
    <w:name w:val="footnote text"/>
    <w:basedOn w:val="Normal"/>
    <w:link w:val="FootnoteTextChar"/>
    <w:uiPriority w:val="99"/>
    <w:unhideWhenUsed/>
    <w:rsid w:val="0065176D"/>
    <w:pPr>
      <w:spacing w:after="0" w:line="240" w:lineRule="auto"/>
    </w:pPr>
    <w:rPr>
      <w:sz w:val="20"/>
      <w:szCs w:val="20"/>
    </w:rPr>
  </w:style>
  <w:style w:type="character" w:customStyle="1" w:styleId="FootnoteTextChar">
    <w:name w:val="Footnote Text Char"/>
    <w:basedOn w:val="DefaultParagraphFont"/>
    <w:link w:val="FootnoteText"/>
    <w:uiPriority w:val="99"/>
    <w:rsid w:val="0065176D"/>
    <w:rPr>
      <w:sz w:val="20"/>
      <w:szCs w:val="20"/>
    </w:rPr>
  </w:style>
  <w:style w:type="character" w:styleId="FootnoteReference">
    <w:name w:val="footnote reference"/>
    <w:basedOn w:val="DefaultParagraphFont"/>
    <w:uiPriority w:val="99"/>
    <w:unhideWhenUsed/>
    <w:rsid w:val="0065176D"/>
    <w:rPr>
      <w:vertAlign w:val="superscript"/>
    </w:rPr>
  </w:style>
  <w:style w:type="paragraph" w:customStyle="1" w:styleId="Pa6">
    <w:name w:val="Pa6"/>
    <w:basedOn w:val="Normal"/>
    <w:next w:val="Normal"/>
    <w:uiPriority w:val="99"/>
    <w:rsid w:val="0040212B"/>
    <w:pPr>
      <w:autoSpaceDE w:val="0"/>
      <w:autoSpaceDN w:val="0"/>
      <w:adjustRightInd w:val="0"/>
      <w:spacing w:after="0" w:line="221" w:lineRule="atLeast"/>
    </w:pPr>
    <w:rPr>
      <w:rFonts w:ascii="Gill Sans Nova Medium" w:hAnsi="Gill Sans Nova Medium"/>
      <w:sz w:val="24"/>
      <w:szCs w:val="24"/>
    </w:rPr>
  </w:style>
  <w:style w:type="paragraph" w:styleId="Header">
    <w:name w:val="header"/>
    <w:basedOn w:val="Normal"/>
    <w:link w:val="HeaderChar"/>
    <w:uiPriority w:val="99"/>
    <w:unhideWhenUsed/>
    <w:rsid w:val="00083BF2"/>
    <w:pPr>
      <w:tabs>
        <w:tab w:val="center" w:pos="4252"/>
        <w:tab w:val="right" w:pos="8504"/>
      </w:tabs>
      <w:spacing w:after="0" w:line="240" w:lineRule="auto"/>
    </w:pPr>
  </w:style>
  <w:style w:type="character" w:customStyle="1" w:styleId="HeaderChar">
    <w:name w:val="Header Char"/>
    <w:basedOn w:val="DefaultParagraphFont"/>
    <w:link w:val="Header"/>
    <w:uiPriority w:val="99"/>
    <w:rsid w:val="00083BF2"/>
  </w:style>
  <w:style w:type="paragraph" w:styleId="Footer">
    <w:name w:val="footer"/>
    <w:basedOn w:val="Normal"/>
    <w:link w:val="FooterChar"/>
    <w:uiPriority w:val="99"/>
    <w:unhideWhenUsed/>
    <w:rsid w:val="00083BF2"/>
    <w:pPr>
      <w:tabs>
        <w:tab w:val="center" w:pos="4252"/>
        <w:tab w:val="right" w:pos="8504"/>
      </w:tabs>
      <w:spacing w:after="0" w:line="240" w:lineRule="auto"/>
    </w:pPr>
  </w:style>
  <w:style w:type="character" w:customStyle="1" w:styleId="FooterChar">
    <w:name w:val="Footer Char"/>
    <w:basedOn w:val="DefaultParagraphFont"/>
    <w:link w:val="Footer"/>
    <w:uiPriority w:val="99"/>
    <w:rsid w:val="00083BF2"/>
  </w:style>
  <w:style w:type="paragraph" w:styleId="ListParagraph">
    <w:name w:val="List Paragraph"/>
    <w:basedOn w:val="Normal"/>
    <w:uiPriority w:val="34"/>
    <w:qFormat/>
    <w:rsid w:val="00083BF2"/>
    <w:pPr>
      <w:ind w:left="720"/>
      <w:contextualSpacing/>
    </w:pPr>
  </w:style>
  <w:style w:type="character" w:styleId="CommentReference">
    <w:name w:val="annotation reference"/>
    <w:basedOn w:val="DefaultParagraphFont"/>
    <w:uiPriority w:val="99"/>
    <w:semiHidden/>
    <w:unhideWhenUsed/>
    <w:rsid w:val="004935F0"/>
    <w:rPr>
      <w:sz w:val="16"/>
      <w:szCs w:val="16"/>
    </w:rPr>
  </w:style>
  <w:style w:type="paragraph" w:styleId="CommentText">
    <w:name w:val="annotation text"/>
    <w:basedOn w:val="Normal"/>
    <w:link w:val="CommentTextChar"/>
    <w:uiPriority w:val="99"/>
    <w:unhideWhenUsed/>
    <w:rsid w:val="004935F0"/>
    <w:pPr>
      <w:spacing w:line="240" w:lineRule="auto"/>
    </w:pPr>
    <w:rPr>
      <w:sz w:val="20"/>
      <w:szCs w:val="20"/>
    </w:rPr>
  </w:style>
  <w:style w:type="character" w:customStyle="1" w:styleId="CommentTextChar">
    <w:name w:val="Comment Text Char"/>
    <w:basedOn w:val="DefaultParagraphFont"/>
    <w:link w:val="CommentText"/>
    <w:uiPriority w:val="99"/>
    <w:rsid w:val="004935F0"/>
    <w:rPr>
      <w:sz w:val="20"/>
      <w:szCs w:val="20"/>
    </w:rPr>
  </w:style>
  <w:style w:type="paragraph" w:styleId="CommentSubject">
    <w:name w:val="annotation subject"/>
    <w:basedOn w:val="CommentText"/>
    <w:next w:val="CommentText"/>
    <w:link w:val="CommentSubjectChar"/>
    <w:uiPriority w:val="99"/>
    <w:semiHidden/>
    <w:unhideWhenUsed/>
    <w:rsid w:val="004935F0"/>
    <w:rPr>
      <w:b/>
      <w:bCs/>
    </w:rPr>
  </w:style>
  <w:style w:type="character" w:customStyle="1" w:styleId="CommentSubjectChar">
    <w:name w:val="Comment Subject Char"/>
    <w:basedOn w:val="CommentTextChar"/>
    <w:link w:val="CommentSubject"/>
    <w:uiPriority w:val="99"/>
    <w:semiHidden/>
    <w:rsid w:val="004935F0"/>
    <w:rPr>
      <w:b/>
      <w:bCs/>
      <w:sz w:val="20"/>
      <w:szCs w:val="20"/>
    </w:rPr>
  </w:style>
  <w:style w:type="paragraph" w:styleId="BalloonText">
    <w:name w:val="Balloon Text"/>
    <w:basedOn w:val="Normal"/>
    <w:link w:val="BalloonTextChar"/>
    <w:uiPriority w:val="99"/>
    <w:semiHidden/>
    <w:unhideWhenUsed/>
    <w:rsid w:val="004935F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35F0"/>
    <w:rPr>
      <w:rFonts w:ascii="Segoe UI" w:hAnsi="Segoe UI" w:cs="Segoe UI"/>
      <w:sz w:val="18"/>
      <w:szCs w:val="18"/>
    </w:rPr>
  </w:style>
  <w:style w:type="paragraph" w:customStyle="1" w:styleId="xmsolistparagraph">
    <w:name w:val="x_msolistparagraph"/>
    <w:basedOn w:val="Normal"/>
    <w:rsid w:val="001A1DFC"/>
    <w:pPr>
      <w:spacing w:after="0" w:line="240" w:lineRule="auto"/>
    </w:pPr>
    <w:rPr>
      <w:rFonts w:ascii="Times New Roman" w:hAnsi="Times New Roman" w:cs="Times New Roman"/>
      <w:sz w:val="24"/>
      <w:szCs w:val="24"/>
      <w:lang w:eastAsia="es-ES"/>
    </w:rPr>
  </w:style>
  <w:style w:type="character" w:styleId="FollowedHyperlink">
    <w:name w:val="FollowedHyperlink"/>
    <w:basedOn w:val="DefaultParagraphFont"/>
    <w:uiPriority w:val="99"/>
    <w:semiHidden/>
    <w:unhideWhenUsed/>
    <w:rsid w:val="00B93439"/>
    <w:rPr>
      <w:color w:val="954F72" w:themeColor="followedHyperlink"/>
      <w:u w:val="single"/>
    </w:rPr>
  </w:style>
  <w:style w:type="table" w:styleId="TableGrid">
    <w:name w:val="Table Grid"/>
    <w:basedOn w:val="TableNormal"/>
    <w:uiPriority w:val="39"/>
    <w:rsid w:val="006F76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CE1A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2561">
      <w:bodyDiv w:val="1"/>
      <w:marLeft w:val="0"/>
      <w:marRight w:val="0"/>
      <w:marTop w:val="0"/>
      <w:marBottom w:val="0"/>
      <w:divBdr>
        <w:top w:val="none" w:sz="0" w:space="0" w:color="auto"/>
        <w:left w:val="none" w:sz="0" w:space="0" w:color="auto"/>
        <w:bottom w:val="none" w:sz="0" w:space="0" w:color="auto"/>
        <w:right w:val="none" w:sz="0" w:space="0" w:color="auto"/>
      </w:divBdr>
    </w:div>
    <w:div w:id="489367910">
      <w:bodyDiv w:val="1"/>
      <w:marLeft w:val="0"/>
      <w:marRight w:val="0"/>
      <w:marTop w:val="0"/>
      <w:marBottom w:val="0"/>
      <w:divBdr>
        <w:top w:val="none" w:sz="0" w:space="0" w:color="auto"/>
        <w:left w:val="none" w:sz="0" w:space="0" w:color="auto"/>
        <w:bottom w:val="none" w:sz="0" w:space="0" w:color="auto"/>
        <w:right w:val="none" w:sz="0" w:space="0" w:color="auto"/>
      </w:divBdr>
    </w:div>
    <w:div w:id="1285305619">
      <w:bodyDiv w:val="1"/>
      <w:marLeft w:val="0"/>
      <w:marRight w:val="0"/>
      <w:marTop w:val="0"/>
      <w:marBottom w:val="0"/>
      <w:divBdr>
        <w:top w:val="none" w:sz="0" w:space="0" w:color="auto"/>
        <w:left w:val="none" w:sz="0" w:space="0" w:color="auto"/>
        <w:bottom w:val="none" w:sz="0" w:space="0" w:color="auto"/>
        <w:right w:val="none" w:sz="0" w:space="0" w:color="auto"/>
      </w:divBdr>
    </w:div>
    <w:div w:id="1664355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ine.es/prensa/epf_2022.pdf" TargetMode="External"/><Relationship Id="rId3" Type="http://schemas.openxmlformats.org/officeDocument/2006/relationships/hyperlink" Target="https://www.boe.es/buscar/act.php?id=BOE-A-2022-10557" TargetMode="External"/><Relationship Id="rId7" Type="http://schemas.openxmlformats.org/officeDocument/2006/relationships/hyperlink" Target="https://www.airef.es/es/centro-documental/segunda-opinion-sobre-el-ingreso-minimo-vital/" TargetMode="External"/><Relationship Id="rId2" Type="http://schemas.openxmlformats.org/officeDocument/2006/relationships/hyperlink" Target="https://www.boe.es/buscar/act.php?id=BOE-A-2022-4972" TargetMode="External"/><Relationship Id="rId1" Type="http://schemas.openxmlformats.org/officeDocument/2006/relationships/hyperlink" Target="https://www.boe.es/diario_boe/txt.php?id=BOE-A-2023-26452" TargetMode="External"/><Relationship Id="rId6" Type="http://schemas.openxmlformats.org/officeDocument/2006/relationships/hyperlink" Target="https://www.airef.es/wp-content/uploads/2022/08/IMV/OPINION-AIREF-IMV.pdf" TargetMode="External"/><Relationship Id="rId11" Type="http://schemas.openxmlformats.org/officeDocument/2006/relationships/hyperlink" Target="https://www.caritas.es/main-files/uploads/2021/10/analisis-y-persectivas-2021.pdf" TargetMode="External"/><Relationship Id="rId5" Type="http://schemas.openxmlformats.org/officeDocument/2006/relationships/hyperlink" Target="https://www.caritas.es/main-files/uploads/2023/11/CA%CC%81RITAS-analisis-y-persectivas-2023-digital-.pdf" TargetMode="External"/><Relationship Id="rId10" Type="http://schemas.openxmlformats.org/officeDocument/2006/relationships/hyperlink" Target="https://www.foessa.es/main-files/uploads/sites/16/2023/09/Focus-PSAI.pdf" TargetMode="External"/><Relationship Id="rId4" Type="http://schemas.openxmlformats.org/officeDocument/2006/relationships/hyperlink" Target="https://www.boe.es/buscar/act.php?id=BOE-A-2022-22685" TargetMode="External"/><Relationship Id="rId9" Type="http://schemas.openxmlformats.org/officeDocument/2006/relationships/hyperlink" Target="https://ine.es/prensa/ecv_2022.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5" ma:contentTypeDescription="Create a new document." ma:contentTypeScope="" ma:versionID="0b735ff6708fc8c8beb61a0e3700b1e7">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6d0b6c1071bb82aac96fdd58ad4b5777"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Postingdate" minOccurs="0"/>
                <xsd:element ref="ns2:Postedonlin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Postingdate" ma:index="16" nillable="true" ma:displayName="Posting date" ma:format="DateOnly" ma:internalName="Postingdate">
      <xsd:simpleType>
        <xsd:restriction base="dms:DateTime"/>
      </xsd:simpleType>
    </xsd:element>
    <xsd:element name="Postedonline" ma:index="17" nillable="true" ma:displayName="Posted online" ma:default="0" ma:format="Dropdown" ma:internalName="Postedonline">
      <xsd:simpleType>
        <xsd:restriction base="dms:Boolean"/>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ategory xmlns="d42e65b2-cf21-49c1-b27d-d23f90380c0e">CSOs</Category>
    <Doctype xmlns="d42e65b2-cf21-49c1-b27d-d23f90380c0e">Spanish</Doctype>
    <Contributor xmlns="d42e65b2-cf21-49c1-b27d-d23f90380c0e">CARITAS Spain</Contributor>
    <Postingdate xmlns="d42e65b2-cf21-49c1-b27d-d23f90380c0e" xsi:nil="true"/>
    <Postedonline xmlns="d42e65b2-cf21-49c1-b27d-d23f90380c0e">false</Postedonline>
  </documentManagement>
</p:properties>
</file>

<file path=customXml/itemProps1.xml><?xml version="1.0" encoding="utf-8"?>
<ds:datastoreItem xmlns:ds="http://schemas.openxmlformats.org/officeDocument/2006/customXml" ds:itemID="{E1430DD0-4FCB-4F70-8647-C33B0330F937}">
  <ds:schemaRefs>
    <ds:schemaRef ds:uri="http://schemas.openxmlformats.org/officeDocument/2006/bibliography"/>
  </ds:schemaRefs>
</ds:datastoreItem>
</file>

<file path=customXml/itemProps2.xml><?xml version="1.0" encoding="utf-8"?>
<ds:datastoreItem xmlns:ds="http://schemas.openxmlformats.org/officeDocument/2006/customXml" ds:itemID="{153D6E1E-9B6B-4285-9E02-04DF58BA503B}"/>
</file>

<file path=customXml/itemProps3.xml><?xml version="1.0" encoding="utf-8"?>
<ds:datastoreItem xmlns:ds="http://schemas.openxmlformats.org/officeDocument/2006/customXml" ds:itemID="{F84D648E-19EC-464C-8E79-AE6F91A5E89A}">
  <ds:schemaRefs>
    <ds:schemaRef ds:uri="http://schemas.microsoft.com/sharepoint/v3/contenttype/forms"/>
  </ds:schemaRefs>
</ds:datastoreItem>
</file>

<file path=customXml/itemProps4.xml><?xml version="1.0" encoding="utf-8"?>
<ds:datastoreItem xmlns:ds="http://schemas.openxmlformats.org/officeDocument/2006/customXml" ds:itemID="{40046C03-23BC-4BFC-AE2B-FAB3F48C4C08}">
  <ds:schemaRefs>
    <ds:schemaRef ds:uri="http://purl.org/dc/elements/1.1/"/>
    <ds:schemaRef ds:uri="4bde84a6-8408-4e41-b60e-84e673ad34cc"/>
    <ds:schemaRef ds:uri="http://schemas.microsoft.com/office/2006/metadata/properties"/>
    <ds:schemaRef ds:uri="http://schemas.microsoft.com/office/2006/documentManagement/types"/>
    <ds:schemaRef ds:uri="http://purl.org/dc/dcmitype/"/>
    <ds:schemaRef ds:uri="http://schemas.microsoft.com/office/infopath/2007/PartnerControls"/>
    <ds:schemaRef ds:uri="http://purl.org/dc/terms/"/>
    <ds:schemaRef ds:uri="http://schemas.openxmlformats.org/package/2006/metadata/core-properties"/>
    <ds:schemaRef ds:uri="6e7e8eba-b88a-49f4-836f-fa9379db9500"/>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2485</Words>
  <Characters>14170</Characters>
  <Application>Microsoft Office Word</Application>
  <DocSecurity>4</DocSecurity>
  <Lines>118</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FREDERIC UBRICH</dc:creator>
  <cp:keywords/>
  <dc:description/>
  <cp:lastModifiedBy>Patricia Varela Benzo</cp:lastModifiedBy>
  <cp:revision>2</cp:revision>
  <dcterms:created xsi:type="dcterms:W3CDTF">2024-01-18T14:28:00Z</dcterms:created>
  <dcterms:modified xsi:type="dcterms:W3CDTF">2024-01-18T14:28:00Z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ies>
</file>