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28EC" w14:textId="0953944C" w:rsidR="00A55141" w:rsidRDefault="00A55141" w:rsidP="00A5514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Submission to the OHCHR Thematic </w:t>
      </w:r>
      <w:r w:rsidR="00DE2CA5">
        <w:rPr>
          <w:rFonts w:ascii="Times New Roman" w:hAnsi="Times New Roman" w:cs="Times New Roman"/>
          <w:b/>
          <w:bCs/>
          <w:sz w:val="24"/>
          <w:szCs w:val="24"/>
          <w:u w:val="single"/>
        </w:rPr>
        <w:t>Report</w:t>
      </w:r>
      <w:r>
        <w:rPr>
          <w:rFonts w:ascii="Times New Roman" w:hAnsi="Times New Roman" w:cs="Times New Roman"/>
          <w:b/>
          <w:bCs/>
          <w:sz w:val="24"/>
          <w:szCs w:val="24"/>
          <w:u w:val="single"/>
        </w:rPr>
        <w:t xml:space="preserve"> to the Special Rapporteur on Extreme Poverty and Human Rights</w:t>
      </w:r>
    </w:p>
    <w:p w14:paraId="707C5184" w14:textId="77777777" w:rsidR="00A55141" w:rsidRDefault="00A55141" w:rsidP="00A55141">
      <w:pPr>
        <w:jc w:val="center"/>
        <w:rPr>
          <w:rFonts w:ascii="Times New Roman" w:hAnsi="Times New Roman" w:cs="Times New Roman"/>
          <w:b/>
          <w:bCs/>
          <w:sz w:val="24"/>
          <w:szCs w:val="24"/>
          <w:u w:val="single"/>
        </w:rPr>
      </w:pPr>
    </w:p>
    <w:p w14:paraId="58B2D847" w14:textId="48B85079" w:rsidR="00A55141" w:rsidRDefault="00A55141" w:rsidP="00A55141">
      <w:pPr>
        <w:jc w:val="center"/>
        <w:rPr>
          <w:rFonts w:ascii="Times New Roman" w:hAnsi="Times New Roman" w:cs="Times New Roman"/>
          <w:sz w:val="24"/>
          <w:szCs w:val="24"/>
        </w:rPr>
      </w:pPr>
      <w:r>
        <w:rPr>
          <w:rFonts w:ascii="Times New Roman" w:hAnsi="Times New Roman" w:cs="Times New Roman"/>
          <w:sz w:val="24"/>
          <w:szCs w:val="24"/>
        </w:rPr>
        <w:t>Naman Anand</w:t>
      </w:r>
      <w:r w:rsidR="00CB45A7">
        <w:rPr>
          <w:rFonts w:ascii="Times New Roman" w:hAnsi="Times New Roman" w:cs="Times New Roman"/>
          <w:sz w:val="24"/>
          <w:szCs w:val="24"/>
        </w:rPr>
        <w:t xml:space="preserve"> (NYU Law LLM’ 24)</w:t>
      </w:r>
      <w:r>
        <w:rPr>
          <w:rFonts w:ascii="Times New Roman" w:hAnsi="Times New Roman" w:cs="Times New Roman"/>
          <w:sz w:val="24"/>
          <w:szCs w:val="24"/>
        </w:rPr>
        <w:t>, Abeer Tiwari</w:t>
      </w:r>
      <w:r w:rsidR="00CB45A7">
        <w:rPr>
          <w:rFonts w:ascii="Times New Roman" w:hAnsi="Times New Roman" w:cs="Times New Roman"/>
          <w:sz w:val="24"/>
          <w:szCs w:val="24"/>
        </w:rPr>
        <w:t xml:space="preserve"> (Balaji Law College ’24)</w:t>
      </w:r>
      <w:r>
        <w:rPr>
          <w:rFonts w:ascii="Times New Roman" w:hAnsi="Times New Roman" w:cs="Times New Roman"/>
          <w:sz w:val="24"/>
          <w:szCs w:val="24"/>
        </w:rPr>
        <w:t>, Ayush Mhatre</w:t>
      </w:r>
      <w:r w:rsidR="00CB45A7">
        <w:rPr>
          <w:rFonts w:ascii="Times New Roman" w:hAnsi="Times New Roman" w:cs="Times New Roman"/>
          <w:sz w:val="24"/>
          <w:szCs w:val="24"/>
        </w:rPr>
        <w:t xml:space="preserve"> (NLU Delhi ’27)</w:t>
      </w:r>
      <w:r>
        <w:rPr>
          <w:rFonts w:ascii="Times New Roman" w:hAnsi="Times New Roman" w:cs="Times New Roman"/>
          <w:sz w:val="24"/>
          <w:szCs w:val="24"/>
        </w:rPr>
        <w:t>, Joel B. Ky</w:t>
      </w:r>
      <w:r w:rsidR="00174EEE">
        <w:rPr>
          <w:rFonts w:ascii="Times New Roman" w:hAnsi="Times New Roman" w:cs="Times New Roman"/>
          <w:sz w:val="24"/>
          <w:szCs w:val="24"/>
        </w:rPr>
        <w:t>ndiah</w:t>
      </w:r>
      <w:r w:rsidR="00CB45A7">
        <w:rPr>
          <w:rFonts w:ascii="Times New Roman" w:hAnsi="Times New Roman" w:cs="Times New Roman"/>
          <w:sz w:val="24"/>
          <w:szCs w:val="24"/>
        </w:rPr>
        <w:t xml:space="preserve"> (NUJS Calcutta ’26)</w:t>
      </w:r>
      <w:r>
        <w:rPr>
          <w:rFonts w:ascii="Times New Roman" w:hAnsi="Times New Roman" w:cs="Times New Roman"/>
          <w:sz w:val="24"/>
          <w:szCs w:val="24"/>
        </w:rPr>
        <w:t xml:space="preserve">, and Ishaan Sharma </w:t>
      </w:r>
      <w:r w:rsidR="00CB45A7">
        <w:rPr>
          <w:rFonts w:ascii="Times New Roman" w:hAnsi="Times New Roman" w:cs="Times New Roman"/>
          <w:sz w:val="24"/>
          <w:szCs w:val="24"/>
        </w:rPr>
        <w:t>(NALSAR ’26)</w:t>
      </w:r>
    </w:p>
    <w:p w14:paraId="705CF84F" w14:textId="61F4056D" w:rsidR="00670903" w:rsidRPr="00CB45A7" w:rsidRDefault="00A55141" w:rsidP="00CB45A7">
      <w:pPr>
        <w:jc w:val="center"/>
        <w:rPr>
          <w:rFonts w:ascii="Times New Roman" w:hAnsi="Times New Roman" w:cs="Times New Roman"/>
          <w:i/>
          <w:iCs/>
          <w:sz w:val="24"/>
          <w:szCs w:val="24"/>
        </w:rPr>
      </w:pPr>
      <w:r w:rsidRPr="00CB45A7">
        <w:rPr>
          <w:rFonts w:ascii="Times New Roman" w:hAnsi="Times New Roman" w:cs="Times New Roman"/>
          <w:i/>
          <w:iCs/>
          <w:sz w:val="24"/>
          <w:szCs w:val="24"/>
        </w:rPr>
        <w:t xml:space="preserve">Indian Journal </w:t>
      </w:r>
      <w:r w:rsidR="00001C9D" w:rsidRPr="00CB45A7">
        <w:rPr>
          <w:rFonts w:ascii="Times New Roman" w:hAnsi="Times New Roman" w:cs="Times New Roman"/>
          <w:i/>
          <w:iCs/>
          <w:sz w:val="24"/>
          <w:szCs w:val="24"/>
        </w:rPr>
        <w:t>of</w:t>
      </w:r>
      <w:r w:rsidRPr="00CB45A7">
        <w:rPr>
          <w:rFonts w:ascii="Times New Roman" w:hAnsi="Times New Roman" w:cs="Times New Roman"/>
          <w:i/>
          <w:iCs/>
          <w:sz w:val="24"/>
          <w:szCs w:val="24"/>
        </w:rPr>
        <w:t xml:space="preserve"> Projects, </w:t>
      </w:r>
      <w:r w:rsidR="00174EEE" w:rsidRPr="00CB45A7">
        <w:rPr>
          <w:rFonts w:ascii="Times New Roman" w:hAnsi="Times New Roman" w:cs="Times New Roman"/>
          <w:i/>
          <w:iCs/>
          <w:sz w:val="24"/>
          <w:szCs w:val="24"/>
        </w:rPr>
        <w:t>Infrastructure</w:t>
      </w:r>
      <w:r w:rsidRPr="00CB45A7">
        <w:rPr>
          <w:rFonts w:ascii="Times New Roman" w:hAnsi="Times New Roman" w:cs="Times New Roman"/>
          <w:i/>
          <w:iCs/>
          <w:sz w:val="24"/>
          <w:szCs w:val="24"/>
        </w:rPr>
        <w:t>, and Energy Law</w:t>
      </w:r>
      <w:r w:rsidR="00001C9D" w:rsidRPr="00CB45A7">
        <w:rPr>
          <w:rFonts w:ascii="Times New Roman" w:hAnsi="Times New Roman" w:cs="Times New Roman"/>
          <w:i/>
          <w:iCs/>
          <w:sz w:val="24"/>
          <w:szCs w:val="24"/>
        </w:rPr>
        <w:t xml:space="preserve"> (IJPIEL) Academic Research Foundation</w:t>
      </w:r>
    </w:p>
    <w:p w14:paraId="5EBED98F" w14:textId="01CCA057" w:rsidR="00A55141" w:rsidRPr="00670903" w:rsidRDefault="00A55141" w:rsidP="005303D5">
      <w:pPr>
        <w:jc w:val="both"/>
        <w:rPr>
          <w:rFonts w:ascii="Times New Roman" w:hAnsi="Times New Roman" w:cs="Times New Roman"/>
          <w:b/>
          <w:bCs/>
          <w:sz w:val="24"/>
          <w:szCs w:val="24"/>
        </w:rPr>
      </w:pPr>
      <w:r>
        <w:rPr>
          <w:rFonts w:ascii="Times New Roman" w:hAnsi="Times New Roman" w:cs="Times New Roman"/>
          <w:b/>
          <w:bCs/>
          <w:sz w:val="24"/>
          <w:szCs w:val="24"/>
        </w:rPr>
        <w:t xml:space="preserve">About us: </w:t>
      </w:r>
      <w:r w:rsidR="00670903">
        <w:rPr>
          <w:rFonts w:ascii="Times New Roman" w:hAnsi="Times New Roman" w:cs="Times New Roman"/>
          <w:sz w:val="24"/>
          <w:szCs w:val="24"/>
        </w:rPr>
        <w:t>Information about ou</w:t>
      </w:r>
      <w:r w:rsidR="00CB45A7">
        <w:rPr>
          <w:rFonts w:ascii="Times New Roman" w:hAnsi="Times New Roman" w:cs="Times New Roman"/>
          <w:sz w:val="24"/>
          <w:szCs w:val="24"/>
        </w:rPr>
        <w:t>r</w:t>
      </w:r>
      <w:r w:rsidR="00670903">
        <w:rPr>
          <w:rFonts w:ascii="Times New Roman" w:hAnsi="Times New Roman" w:cs="Times New Roman"/>
          <w:sz w:val="24"/>
          <w:szCs w:val="24"/>
        </w:rPr>
        <w:t xml:space="preserve"> initiative can be viewed </w:t>
      </w:r>
      <w:hyperlink r:id="rId8" w:history="1">
        <w:r w:rsidR="00174EEE" w:rsidRPr="00174EEE">
          <w:rPr>
            <w:rStyle w:val="Hyperlink"/>
            <w:rFonts w:ascii="Times New Roman" w:hAnsi="Times New Roman" w:cs="Times New Roman"/>
            <w:sz w:val="24"/>
            <w:szCs w:val="24"/>
          </w:rPr>
          <w:t>here</w:t>
        </w:r>
      </w:hyperlink>
      <w:r w:rsidR="00174EEE" w:rsidRPr="00174EEE">
        <w:rPr>
          <w:rFonts w:ascii="Times New Roman" w:hAnsi="Times New Roman" w:cs="Times New Roman"/>
          <w:sz w:val="24"/>
          <w:szCs w:val="24"/>
        </w:rPr>
        <w:t xml:space="preserve">.  </w:t>
      </w:r>
    </w:p>
    <w:p w14:paraId="7F724100" w14:textId="1EFCAE7E" w:rsidR="0011289E" w:rsidRDefault="00C60C1C" w:rsidP="005303D5">
      <w:pPr>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05844979" w14:textId="16FA4358" w:rsidR="00AA1C06" w:rsidRDefault="00001C9D" w:rsidP="005303D5">
      <w:pPr>
        <w:jc w:val="both"/>
        <w:rPr>
          <w:rFonts w:ascii="Times New Roman" w:hAnsi="Times New Roman" w:cs="Times New Roman"/>
          <w:sz w:val="24"/>
          <w:szCs w:val="24"/>
        </w:rPr>
      </w:pPr>
      <w:r>
        <w:rPr>
          <w:rFonts w:ascii="Times New Roman" w:hAnsi="Times New Roman" w:cs="Times New Roman"/>
          <w:sz w:val="24"/>
          <w:szCs w:val="24"/>
        </w:rPr>
        <w:t xml:space="preserve">The </w:t>
      </w:r>
      <w:r w:rsidR="004C3B18">
        <w:rPr>
          <w:rFonts w:ascii="Times New Roman" w:hAnsi="Times New Roman" w:cs="Times New Roman"/>
          <w:sz w:val="24"/>
          <w:szCs w:val="24"/>
        </w:rPr>
        <w:t>Government</w:t>
      </w:r>
      <w:r>
        <w:rPr>
          <w:rFonts w:ascii="Times New Roman" w:hAnsi="Times New Roman" w:cs="Times New Roman"/>
          <w:sz w:val="24"/>
          <w:szCs w:val="24"/>
        </w:rPr>
        <w:t xml:space="preserve"> of India (G</w:t>
      </w:r>
      <w:r w:rsidR="00CB45A7">
        <w:rPr>
          <w:rFonts w:ascii="Times New Roman" w:hAnsi="Times New Roman" w:cs="Times New Roman"/>
          <w:sz w:val="24"/>
          <w:szCs w:val="24"/>
        </w:rPr>
        <w:t>o</w:t>
      </w:r>
      <w:r>
        <w:rPr>
          <w:rFonts w:ascii="Times New Roman" w:hAnsi="Times New Roman" w:cs="Times New Roman"/>
          <w:sz w:val="24"/>
          <w:szCs w:val="24"/>
        </w:rPr>
        <w:t>I)</w:t>
      </w:r>
      <w:r w:rsidR="004C3B18">
        <w:rPr>
          <w:rFonts w:ascii="Times New Roman" w:hAnsi="Times New Roman" w:cs="Times New Roman"/>
          <w:sz w:val="24"/>
          <w:szCs w:val="24"/>
        </w:rPr>
        <w:t xml:space="preserve"> claims that India’s</w:t>
      </w:r>
      <w:r w:rsidR="00C60C1C">
        <w:rPr>
          <w:rFonts w:ascii="Times New Roman" w:hAnsi="Times New Roman" w:cs="Times New Roman"/>
          <w:sz w:val="24"/>
          <w:szCs w:val="24"/>
        </w:rPr>
        <w:t xml:space="preserve"> </w:t>
      </w:r>
      <w:r w:rsidR="00DE2CA5">
        <w:rPr>
          <w:rFonts w:ascii="Times New Roman" w:hAnsi="Times New Roman" w:cs="Times New Roman"/>
          <w:sz w:val="24"/>
          <w:szCs w:val="24"/>
        </w:rPr>
        <w:t xml:space="preserve">efforts with the Sustainable Development Goals (SDGs) </w:t>
      </w:r>
      <w:r>
        <w:rPr>
          <w:rFonts w:ascii="Times New Roman" w:hAnsi="Times New Roman" w:cs="Times New Roman"/>
          <w:sz w:val="24"/>
          <w:szCs w:val="24"/>
        </w:rPr>
        <w:t>have</w:t>
      </w:r>
      <w:r w:rsidR="00C60C1C">
        <w:rPr>
          <w:rFonts w:ascii="Times New Roman" w:hAnsi="Times New Roman" w:cs="Times New Roman"/>
          <w:sz w:val="24"/>
          <w:szCs w:val="24"/>
        </w:rPr>
        <w:t xml:space="preserve"> </w:t>
      </w:r>
      <w:r>
        <w:rPr>
          <w:rFonts w:ascii="Times New Roman" w:hAnsi="Times New Roman" w:cs="Times New Roman"/>
          <w:sz w:val="24"/>
          <w:szCs w:val="24"/>
        </w:rPr>
        <w:t>been a</w:t>
      </w:r>
      <w:r w:rsidR="00C60C1C">
        <w:rPr>
          <w:rFonts w:ascii="Times New Roman" w:hAnsi="Times New Roman" w:cs="Times New Roman"/>
          <w:sz w:val="24"/>
          <w:szCs w:val="24"/>
        </w:rPr>
        <w:t xml:space="preserve"> trendsette</w:t>
      </w:r>
      <w:r>
        <w:rPr>
          <w:rFonts w:ascii="Times New Roman" w:hAnsi="Times New Roman" w:cs="Times New Roman"/>
          <w:sz w:val="24"/>
          <w:szCs w:val="24"/>
        </w:rPr>
        <w:t>r</w:t>
      </w:r>
      <w:r w:rsidR="00C60C1C">
        <w:rPr>
          <w:rFonts w:ascii="Times New Roman" w:hAnsi="Times New Roman" w:cs="Times New Roman"/>
          <w:sz w:val="24"/>
          <w:szCs w:val="24"/>
        </w:rPr>
        <w:t xml:space="preserve"> for the global village</w:t>
      </w:r>
      <w:r>
        <w:rPr>
          <w:rFonts w:ascii="Times New Roman" w:hAnsi="Times New Roman" w:cs="Times New Roman"/>
          <w:sz w:val="24"/>
          <w:szCs w:val="24"/>
        </w:rPr>
        <w:t xml:space="preserve">, with Indian news media hailing Prime Minister Narendra Modi as a </w:t>
      </w:r>
      <w:hyperlink r:id="rId9" w:history="1">
        <w:r w:rsidRPr="00001C9D">
          <w:rPr>
            <w:rStyle w:val="Hyperlink"/>
            <w:rFonts w:ascii="Times New Roman" w:hAnsi="Times New Roman" w:cs="Times New Roman"/>
            <w:i/>
            <w:iCs/>
            <w:sz w:val="24"/>
            <w:szCs w:val="24"/>
          </w:rPr>
          <w:t>Vishwaguru</w:t>
        </w:r>
        <w:r w:rsidRPr="00001C9D">
          <w:rPr>
            <w:rStyle w:val="Hyperlink"/>
            <w:rFonts w:ascii="Times New Roman" w:hAnsi="Times New Roman" w:cs="Times New Roman"/>
            <w:sz w:val="24"/>
            <w:szCs w:val="24"/>
          </w:rPr>
          <w:t xml:space="preserve"> (A teacher for the world)</w:t>
        </w:r>
      </w:hyperlink>
      <w:r w:rsidR="00C60C1C">
        <w:rPr>
          <w:rFonts w:ascii="Times New Roman" w:hAnsi="Times New Roman" w:cs="Times New Roman"/>
          <w:sz w:val="24"/>
          <w:szCs w:val="24"/>
        </w:rPr>
        <w:t xml:space="preserve">. </w:t>
      </w:r>
    </w:p>
    <w:p w14:paraId="597B9500" w14:textId="104821D5" w:rsidR="00AA1C06" w:rsidRDefault="004C3B18" w:rsidP="005303D5">
      <w:pPr>
        <w:jc w:val="both"/>
        <w:rPr>
          <w:rFonts w:ascii="Times New Roman" w:hAnsi="Times New Roman" w:cs="Times New Roman"/>
          <w:sz w:val="24"/>
          <w:szCs w:val="24"/>
        </w:rPr>
      </w:pPr>
      <w:r>
        <w:rPr>
          <w:rFonts w:ascii="Times New Roman" w:hAnsi="Times New Roman" w:cs="Times New Roman"/>
          <w:sz w:val="24"/>
          <w:szCs w:val="24"/>
        </w:rPr>
        <w:t>While there are beacons of hope</w:t>
      </w:r>
      <w:r w:rsidR="00001C9D">
        <w:rPr>
          <w:rFonts w:ascii="Times New Roman" w:hAnsi="Times New Roman" w:cs="Times New Roman"/>
          <w:sz w:val="24"/>
          <w:szCs w:val="24"/>
        </w:rPr>
        <w:t>,</w:t>
      </w:r>
      <w:r>
        <w:rPr>
          <w:rFonts w:ascii="Times New Roman" w:hAnsi="Times New Roman" w:cs="Times New Roman"/>
          <w:sz w:val="24"/>
          <w:szCs w:val="24"/>
        </w:rPr>
        <w:t xml:space="preserve"> such as the establishment of the </w:t>
      </w:r>
      <w:hyperlink r:id="rId10" w:history="1">
        <w:r w:rsidRPr="004C3B18">
          <w:rPr>
            <w:rStyle w:val="Hyperlink"/>
            <w:rFonts w:ascii="Times New Roman" w:hAnsi="Times New Roman" w:cs="Times New Roman"/>
            <w:sz w:val="24"/>
            <w:szCs w:val="24"/>
          </w:rPr>
          <w:t>International Solar Alliance (ISA)</w:t>
        </w:r>
      </w:hyperlink>
      <w:r>
        <w:rPr>
          <w:rFonts w:ascii="Times New Roman" w:hAnsi="Times New Roman" w:cs="Times New Roman"/>
          <w:sz w:val="24"/>
          <w:szCs w:val="24"/>
        </w:rPr>
        <w:t xml:space="preserve"> and the institution of numerous schemes for lower-income households and women, the</w:t>
      </w:r>
      <w:r w:rsidR="00001C9D">
        <w:rPr>
          <w:rFonts w:ascii="Times New Roman" w:hAnsi="Times New Roman" w:cs="Times New Roman"/>
          <w:sz w:val="24"/>
          <w:szCs w:val="24"/>
        </w:rPr>
        <w:t xml:space="preserve">y pale in comparison to the challenges that our brief report seeks to present – </w:t>
      </w:r>
      <w:hyperlink r:id="rId11" w:history="1">
        <w:r w:rsidR="00001C9D" w:rsidRPr="00B5404F">
          <w:rPr>
            <w:rStyle w:val="Hyperlink"/>
            <w:rFonts w:ascii="Times New Roman" w:hAnsi="Times New Roman" w:cs="Times New Roman"/>
            <w:sz w:val="24"/>
            <w:szCs w:val="24"/>
          </w:rPr>
          <w:t>increasing censorship</w:t>
        </w:r>
      </w:hyperlink>
      <w:r w:rsidR="00001C9D">
        <w:rPr>
          <w:rFonts w:ascii="Times New Roman" w:hAnsi="Times New Roman" w:cs="Times New Roman"/>
          <w:sz w:val="24"/>
          <w:szCs w:val="24"/>
        </w:rPr>
        <w:t xml:space="preserve">, astonishing levels of </w:t>
      </w:r>
      <w:hyperlink r:id="rId12" w:history="1">
        <w:r w:rsidR="00001C9D" w:rsidRPr="00CB45A7">
          <w:rPr>
            <w:rStyle w:val="Hyperlink"/>
            <w:rFonts w:ascii="Times New Roman" w:hAnsi="Times New Roman" w:cs="Times New Roman"/>
            <w:sz w:val="24"/>
            <w:szCs w:val="24"/>
          </w:rPr>
          <w:t>religious</w:t>
        </w:r>
        <w:r w:rsidR="00AA1C06" w:rsidRPr="00CB45A7">
          <w:rPr>
            <w:rStyle w:val="Hyperlink"/>
            <w:rFonts w:ascii="Times New Roman" w:hAnsi="Times New Roman" w:cs="Times New Roman"/>
            <w:sz w:val="24"/>
            <w:szCs w:val="24"/>
          </w:rPr>
          <w:t>, caste, and gender</w:t>
        </w:r>
        <w:r w:rsidR="00001C9D" w:rsidRPr="00CB45A7">
          <w:rPr>
            <w:rStyle w:val="Hyperlink"/>
            <w:rFonts w:ascii="Times New Roman" w:hAnsi="Times New Roman" w:cs="Times New Roman"/>
            <w:sz w:val="24"/>
            <w:szCs w:val="24"/>
          </w:rPr>
          <w:t xml:space="preserve"> polarisation</w:t>
        </w:r>
      </w:hyperlink>
      <w:r w:rsidR="00001C9D">
        <w:rPr>
          <w:rFonts w:ascii="Times New Roman" w:hAnsi="Times New Roman" w:cs="Times New Roman"/>
          <w:sz w:val="24"/>
          <w:szCs w:val="24"/>
        </w:rPr>
        <w:t xml:space="preserve">, attacks on cooperative federalism, </w:t>
      </w:r>
      <w:hyperlink r:id="rId13" w:anchor=":~:text=More%20than%20100%20MPs%20have,calls%20'a%20complete%20purge'.&amp;text=Forty%2Dnine%20Indian%20opposition%20lawmakers,for%20allegedly%20disrupting%20House%20proceedings." w:history="1">
        <w:r w:rsidR="00001C9D" w:rsidRPr="005E0429">
          <w:rPr>
            <w:rStyle w:val="Hyperlink"/>
            <w:rFonts w:ascii="Times New Roman" w:hAnsi="Times New Roman" w:cs="Times New Roman"/>
            <w:sz w:val="24"/>
            <w:szCs w:val="24"/>
          </w:rPr>
          <w:t>stifling of opposition</w:t>
        </w:r>
      </w:hyperlink>
      <w:r w:rsidR="00001C9D">
        <w:rPr>
          <w:rFonts w:ascii="Times New Roman" w:hAnsi="Times New Roman" w:cs="Times New Roman"/>
          <w:sz w:val="24"/>
          <w:szCs w:val="24"/>
        </w:rPr>
        <w:t xml:space="preserve">, </w:t>
      </w:r>
      <w:hyperlink r:id="rId14" w:history="1">
        <w:r w:rsidR="00001C9D" w:rsidRPr="005E0429">
          <w:rPr>
            <w:rStyle w:val="Hyperlink"/>
            <w:rFonts w:ascii="Times New Roman" w:hAnsi="Times New Roman" w:cs="Times New Roman"/>
            <w:sz w:val="24"/>
            <w:szCs w:val="24"/>
          </w:rPr>
          <w:t>media oligarchism</w:t>
        </w:r>
      </w:hyperlink>
      <w:r w:rsidR="005E0429">
        <w:rPr>
          <w:rFonts w:ascii="Times New Roman" w:hAnsi="Times New Roman" w:cs="Times New Roman"/>
          <w:sz w:val="24"/>
          <w:szCs w:val="24"/>
        </w:rPr>
        <w:t xml:space="preserve"> marked by </w:t>
      </w:r>
      <w:hyperlink r:id="rId15" w:history="1">
        <w:r w:rsidR="005E0429" w:rsidRPr="005E0429">
          <w:rPr>
            <w:rStyle w:val="Hyperlink"/>
            <w:rFonts w:ascii="Times New Roman" w:hAnsi="Times New Roman" w:cs="Times New Roman"/>
            <w:sz w:val="24"/>
            <w:szCs w:val="24"/>
          </w:rPr>
          <w:t>plummeting press freedom ranks</w:t>
        </w:r>
      </w:hyperlink>
      <w:r w:rsidR="00001C9D">
        <w:rPr>
          <w:rFonts w:ascii="Times New Roman" w:hAnsi="Times New Roman" w:cs="Times New Roman"/>
          <w:sz w:val="24"/>
          <w:szCs w:val="24"/>
        </w:rPr>
        <w:t>, and opacity surrounding political funding</w:t>
      </w:r>
      <w:r w:rsidR="00F13370">
        <w:rPr>
          <w:rFonts w:ascii="Times New Roman" w:hAnsi="Times New Roman" w:cs="Times New Roman"/>
          <w:sz w:val="24"/>
          <w:szCs w:val="24"/>
        </w:rPr>
        <w:t>, and the usage of consumer health data</w:t>
      </w:r>
      <w:r w:rsidR="00001C9D">
        <w:rPr>
          <w:rFonts w:ascii="Times New Roman" w:hAnsi="Times New Roman" w:cs="Times New Roman"/>
          <w:sz w:val="24"/>
          <w:szCs w:val="24"/>
        </w:rPr>
        <w:t>.</w:t>
      </w:r>
      <w:r w:rsidR="00F13370">
        <w:rPr>
          <w:rFonts w:ascii="Times New Roman" w:hAnsi="Times New Roman" w:cs="Times New Roman"/>
          <w:sz w:val="24"/>
          <w:szCs w:val="24"/>
        </w:rPr>
        <w:t xml:space="preserve"> Due to the word limit, we shall restrict our </w:t>
      </w:r>
      <w:r w:rsidR="005E0FCC">
        <w:rPr>
          <w:rFonts w:ascii="Times New Roman" w:hAnsi="Times New Roman" w:cs="Times New Roman"/>
          <w:sz w:val="24"/>
          <w:szCs w:val="24"/>
        </w:rPr>
        <w:t xml:space="preserve">detailed </w:t>
      </w:r>
      <w:r w:rsidR="00F13370">
        <w:rPr>
          <w:rFonts w:ascii="Times New Roman" w:hAnsi="Times New Roman" w:cs="Times New Roman"/>
          <w:sz w:val="24"/>
          <w:szCs w:val="24"/>
        </w:rPr>
        <w:t xml:space="preserve">analysis to </w:t>
      </w:r>
      <w:r w:rsidR="005E0FCC">
        <w:rPr>
          <w:rFonts w:ascii="Times New Roman" w:hAnsi="Times New Roman" w:cs="Times New Roman"/>
          <w:sz w:val="24"/>
          <w:szCs w:val="24"/>
        </w:rPr>
        <w:t>challenges</w:t>
      </w:r>
      <w:r w:rsidR="00F13370">
        <w:rPr>
          <w:rFonts w:ascii="Times New Roman" w:hAnsi="Times New Roman" w:cs="Times New Roman"/>
          <w:sz w:val="24"/>
          <w:szCs w:val="24"/>
        </w:rPr>
        <w:t xml:space="preserve"> pertaining to the usage of consumer health data</w:t>
      </w:r>
      <w:r w:rsidR="005E0FCC">
        <w:rPr>
          <w:rFonts w:ascii="Times New Roman" w:hAnsi="Times New Roman" w:cs="Times New Roman"/>
          <w:sz w:val="24"/>
          <w:szCs w:val="24"/>
        </w:rPr>
        <w:t xml:space="preserve"> whilst trying to cover other necessary concerns.</w:t>
      </w:r>
    </w:p>
    <w:p w14:paraId="4E407D21" w14:textId="77777777" w:rsidR="005356BC" w:rsidRPr="005356BC" w:rsidRDefault="005356BC" w:rsidP="005303D5">
      <w:pPr>
        <w:pStyle w:val="NormalWeb"/>
        <w:spacing w:before="0" w:beforeAutospacing="0" w:after="0" w:afterAutospacing="0"/>
        <w:jc w:val="both"/>
        <w:rPr>
          <w:b/>
          <w:bCs/>
          <w:color w:val="000000"/>
        </w:rPr>
      </w:pPr>
      <w:r w:rsidRPr="005356BC">
        <w:rPr>
          <w:b/>
          <w:bCs/>
          <w:color w:val="000000"/>
        </w:rPr>
        <w:t xml:space="preserve">Theme: </w:t>
      </w:r>
    </w:p>
    <w:p w14:paraId="62DBEFC4" w14:textId="77777777" w:rsidR="005356BC" w:rsidRDefault="005356BC" w:rsidP="005303D5">
      <w:pPr>
        <w:pStyle w:val="NormalWeb"/>
        <w:spacing w:before="0" w:beforeAutospacing="0" w:after="0" w:afterAutospacing="0"/>
        <w:jc w:val="both"/>
        <w:rPr>
          <w:color w:val="000000"/>
        </w:rPr>
      </w:pPr>
    </w:p>
    <w:p w14:paraId="4FAD9A44" w14:textId="5C67E0D2" w:rsidR="005356BC" w:rsidRDefault="005356BC" w:rsidP="005303D5">
      <w:pPr>
        <w:pStyle w:val="NormalWeb"/>
        <w:spacing w:before="0" w:beforeAutospacing="0" w:after="0" w:afterAutospacing="0"/>
        <w:jc w:val="both"/>
        <w:rPr>
          <w:i/>
          <w:iCs/>
          <w:color w:val="000000"/>
        </w:rPr>
      </w:pPr>
      <w:r w:rsidRPr="005356BC">
        <w:rPr>
          <w:i/>
          <w:iCs/>
          <w:color w:val="000000"/>
        </w:rPr>
        <w:t xml:space="preserve">Which measures have been adopted, if any, to ensure that growth primarily benefits the bottom 40 per cent of the population, following SDG target 10.1? Have other tools to assess progress towards </w:t>
      </w:r>
      <w:r w:rsidR="00DE2CA5">
        <w:rPr>
          <w:i/>
          <w:iCs/>
          <w:color w:val="000000"/>
        </w:rPr>
        <w:t>reducing</w:t>
      </w:r>
      <w:r w:rsidRPr="005356BC">
        <w:rPr>
          <w:i/>
          <w:iCs/>
          <w:color w:val="000000"/>
        </w:rPr>
        <w:t xml:space="preserve"> inequalities been designed and implemented?</w:t>
      </w:r>
    </w:p>
    <w:p w14:paraId="0FD9D2B1" w14:textId="77777777" w:rsidR="005356BC" w:rsidRDefault="005356BC" w:rsidP="005303D5">
      <w:pPr>
        <w:pStyle w:val="NormalWeb"/>
        <w:spacing w:before="0" w:beforeAutospacing="0" w:after="0" w:afterAutospacing="0"/>
        <w:jc w:val="both"/>
        <w:rPr>
          <w:i/>
          <w:iCs/>
          <w:color w:val="000000"/>
        </w:rPr>
      </w:pPr>
    </w:p>
    <w:p w14:paraId="3E5CF385" w14:textId="46C354D2" w:rsidR="005356BC" w:rsidRPr="005356BC" w:rsidRDefault="005356BC" w:rsidP="005303D5">
      <w:pPr>
        <w:pStyle w:val="NormalWeb"/>
        <w:numPr>
          <w:ilvl w:val="0"/>
          <w:numId w:val="1"/>
        </w:numPr>
        <w:spacing w:before="0" w:beforeAutospacing="0" w:after="0" w:afterAutospacing="0"/>
        <w:jc w:val="both"/>
      </w:pPr>
      <w:r w:rsidRPr="005356BC">
        <w:rPr>
          <w:i/>
          <w:iCs/>
          <w:color w:val="000000"/>
        </w:rPr>
        <w:t>Which measures have been adopted, if any, to ensure that growth primarily benefits the bottom 40 per cent of the population, following SDG target 10.1?</w:t>
      </w:r>
    </w:p>
    <w:p w14:paraId="7E4586D4" w14:textId="7F0DF06F" w:rsidR="005356BC" w:rsidRDefault="005356BC" w:rsidP="005303D5">
      <w:pPr>
        <w:pStyle w:val="NormalWeb"/>
        <w:spacing w:before="0" w:beforeAutospacing="0" w:after="0" w:afterAutospacing="0"/>
        <w:jc w:val="both"/>
      </w:pPr>
    </w:p>
    <w:p w14:paraId="4ECC3976" w14:textId="71B69044" w:rsidR="00476E23" w:rsidRDefault="00476E23" w:rsidP="005303D5">
      <w:pPr>
        <w:pStyle w:val="NormalWeb"/>
        <w:numPr>
          <w:ilvl w:val="0"/>
          <w:numId w:val="2"/>
        </w:numPr>
        <w:spacing w:before="0" w:beforeAutospacing="0" w:after="0" w:afterAutospacing="0"/>
        <w:jc w:val="both"/>
      </w:pPr>
      <w:r w:rsidRPr="00AA1C06">
        <w:rPr>
          <w:b/>
          <w:bCs/>
        </w:rPr>
        <w:t>India and its tryst with SDGs</w:t>
      </w:r>
      <w:r>
        <w:t>:</w:t>
      </w:r>
    </w:p>
    <w:p w14:paraId="64859479" w14:textId="77777777" w:rsidR="00476E23" w:rsidRDefault="00476E23" w:rsidP="005303D5">
      <w:pPr>
        <w:pStyle w:val="NormalWeb"/>
        <w:spacing w:before="0" w:beforeAutospacing="0" w:after="0" w:afterAutospacing="0"/>
        <w:ind w:left="1080"/>
        <w:jc w:val="both"/>
      </w:pPr>
    </w:p>
    <w:p w14:paraId="6CD1A926" w14:textId="1A9DEAB8" w:rsidR="0054290E" w:rsidRDefault="00DE2CA5" w:rsidP="005303D5">
      <w:pPr>
        <w:pStyle w:val="NormalWeb"/>
        <w:spacing w:before="0" w:beforeAutospacing="0" w:after="0" w:afterAutospacing="0"/>
        <w:jc w:val="both"/>
      </w:pPr>
      <w:r>
        <w:t>Th</w:t>
      </w:r>
      <w:r w:rsidR="005356BC">
        <w:t xml:space="preserve">e Indian Government’s emphasis on ensuring its </w:t>
      </w:r>
      <w:r>
        <w:t>total</w:t>
      </w:r>
      <w:r w:rsidR="005356BC">
        <w:t xml:space="preserve"> commitment towards the SDGs, </w:t>
      </w:r>
      <w:r w:rsidR="00670903">
        <w:t>precisely</w:t>
      </w:r>
      <w:r w:rsidR="000D3452">
        <w:t xml:space="preserve"> </w:t>
      </w:r>
      <w:r w:rsidR="005356BC">
        <w:t>Goal 10</w:t>
      </w:r>
      <w:r w:rsidR="000D3452">
        <w:t xml:space="preserve">, stands on the pillars of </w:t>
      </w:r>
      <w:r w:rsidR="0054290E">
        <w:t xml:space="preserve">inclusion, financial empowerment, and social security. The </w:t>
      </w:r>
      <w:r w:rsidR="00670903">
        <w:t>pillars mentioned above</w:t>
      </w:r>
      <w:r w:rsidR="0054290E">
        <w:t xml:space="preserve"> </w:t>
      </w:r>
      <w:r w:rsidR="00670903">
        <w:t xml:space="preserve">are paramount, especially for the bottom 40% if </w:t>
      </w:r>
      <w:r w:rsidR="0054290E">
        <w:t>the Indian government wishes to progressively achieve and sustain income growth at a rate higher than the national average</w:t>
      </w:r>
      <w:r w:rsidR="00670903">
        <w:t xml:space="preserve"> and ensure compliance with the SDGs by 2030.</w:t>
      </w:r>
    </w:p>
    <w:p w14:paraId="0605D7BD" w14:textId="77777777" w:rsidR="0054290E" w:rsidRDefault="0054290E" w:rsidP="005303D5">
      <w:pPr>
        <w:pStyle w:val="NormalWeb"/>
        <w:spacing w:before="0" w:beforeAutospacing="0" w:after="0" w:afterAutospacing="0"/>
        <w:jc w:val="both"/>
      </w:pPr>
    </w:p>
    <w:p w14:paraId="19BA3057" w14:textId="5567BC2E" w:rsidR="003818CA" w:rsidRDefault="00670903" w:rsidP="005303D5">
      <w:pPr>
        <w:pStyle w:val="NormalWeb"/>
        <w:spacing w:before="0" w:beforeAutospacing="0" w:after="0" w:afterAutospacing="0"/>
        <w:jc w:val="both"/>
      </w:pPr>
      <w:r>
        <w:t>Income inequality and the Non-Take</w:t>
      </w:r>
      <w:r w:rsidR="00001C9D">
        <w:t xml:space="preserve"> Up</w:t>
      </w:r>
      <w:r>
        <w:t xml:space="preserve"> of Human Rights,</w:t>
      </w:r>
      <w:r w:rsidR="0077455A">
        <w:t xml:space="preserve"> which </w:t>
      </w:r>
      <w:r w:rsidR="00DE2CA5">
        <w:t>deprives the bottom 40% of the population of the policy framework(s) needs to be addressed systematically</w:t>
      </w:r>
      <w:r w:rsidR="0077455A">
        <w:t xml:space="preserve">. </w:t>
      </w:r>
      <w:r w:rsidR="003818CA">
        <w:t>While speaking of income inequality, the aforementioned refers to the uneven distribution of income and allied opportunities</w:t>
      </w:r>
      <w:r>
        <w:t>, along with disparities in various sectors, including health status, food and social security, etc</w:t>
      </w:r>
      <w:r w:rsidR="003818CA">
        <w:t xml:space="preserve">. Al. </w:t>
      </w:r>
    </w:p>
    <w:p w14:paraId="0AE42C75" w14:textId="77777777" w:rsidR="00476E23" w:rsidRDefault="00476E23" w:rsidP="005303D5">
      <w:pPr>
        <w:pStyle w:val="NormalWeb"/>
        <w:spacing w:before="0" w:beforeAutospacing="0" w:after="0" w:afterAutospacing="0"/>
        <w:jc w:val="both"/>
      </w:pPr>
    </w:p>
    <w:p w14:paraId="4AB185E7" w14:textId="0E158B89" w:rsidR="00476E23" w:rsidRDefault="00476E23" w:rsidP="005303D5">
      <w:pPr>
        <w:pStyle w:val="NormalWeb"/>
        <w:numPr>
          <w:ilvl w:val="0"/>
          <w:numId w:val="2"/>
        </w:numPr>
        <w:spacing w:before="0" w:beforeAutospacing="0" w:after="0" w:afterAutospacing="0"/>
        <w:jc w:val="both"/>
      </w:pPr>
      <w:r w:rsidRPr="00AA1C06">
        <w:rPr>
          <w:b/>
          <w:bCs/>
        </w:rPr>
        <w:t>The Current Scenario</w:t>
      </w:r>
      <w:r>
        <w:t xml:space="preserve">: </w:t>
      </w:r>
    </w:p>
    <w:p w14:paraId="11B2E635" w14:textId="4B31CE36" w:rsidR="00476E23" w:rsidRDefault="00476E23" w:rsidP="005303D5">
      <w:pPr>
        <w:pStyle w:val="NormalWeb"/>
        <w:spacing w:before="0" w:beforeAutospacing="0" w:after="0" w:afterAutospacing="0"/>
        <w:jc w:val="both"/>
      </w:pPr>
    </w:p>
    <w:p w14:paraId="115426CA" w14:textId="0419391F" w:rsidR="009E486F" w:rsidRDefault="009E486F" w:rsidP="005303D5">
      <w:pPr>
        <w:pStyle w:val="NormalWeb"/>
        <w:spacing w:before="0" w:beforeAutospacing="0" w:after="0" w:afterAutospacing="0"/>
        <w:jc w:val="both"/>
      </w:pPr>
      <w:r>
        <w:t>Mr. Mathew Hammil</w:t>
      </w:r>
      <w:r w:rsidR="00670903">
        <w:t xml:space="preserve"> (UNESCAP)</w:t>
      </w:r>
      <w:r>
        <w:t xml:space="preserve"> pointed out the </w:t>
      </w:r>
      <w:r w:rsidR="00670903">
        <w:t>growth of India's consumption</w:t>
      </w:r>
      <w:r>
        <w:t xml:space="preserve"> concerning its bottom 40% population.</w:t>
      </w:r>
      <w:r w:rsidR="003818CA">
        <w:t xml:space="preserve"> Consumption was taken as one of the pivotal points, along with inequalities in terms of income</w:t>
      </w:r>
      <w:r w:rsidR="00670903">
        <w:t xml:space="preserve">, owing to the fundamental structure of SDG 10, which addresses the issue of inequality across </w:t>
      </w:r>
      <w:r w:rsidR="003818CA">
        <w:t xml:space="preserve">borders. </w:t>
      </w:r>
      <w:r w:rsidR="00670903">
        <w:t>He</w:t>
      </w:r>
      <w:r>
        <w:t xml:space="preserve"> observed that </w:t>
      </w:r>
      <w:r w:rsidR="00670903">
        <w:t>consumption growth has been slower in the last two surveys than in other South Asian countries. He notes that</w:t>
      </w:r>
      <w:r>
        <w:t xml:space="preserve"> </w:t>
      </w:r>
      <w:r w:rsidR="00670903">
        <w:t>the country's uneven concentration of income and wealth and</w:t>
      </w:r>
      <w:r w:rsidRPr="005303D5">
        <w:t xml:space="preserve"> the dispersion between the rural and urban inequalities in the country.</w:t>
      </w:r>
      <w:r>
        <w:t xml:space="preserve"> The author, taking ahead the arguments made by </w:t>
      </w:r>
      <w:r w:rsidR="00670903">
        <w:t>Dr Nagesh Kumar on the disparity of opportunities and outcomes, highlights</w:t>
      </w:r>
      <w:r w:rsidR="00C53F2C">
        <w:t xml:space="preserve"> the gaps in consumption </w:t>
      </w:r>
      <w:r w:rsidR="00AA1C06">
        <w:t>regarding</w:t>
      </w:r>
      <w:r w:rsidR="00C53F2C">
        <w:t xml:space="preserve"> income levels. </w:t>
      </w:r>
      <w:r w:rsidR="00C53F2C" w:rsidRPr="005303D5">
        <w:t xml:space="preserve">These gaps are to be considered by </w:t>
      </w:r>
      <w:r w:rsidR="00670903">
        <w:t>the Union and the state governments to</w:t>
      </w:r>
      <w:r w:rsidR="00C53F2C" w:rsidRPr="005303D5">
        <w:t xml:space="preserve"> frame policies for the sample size so concerned.</w:t>
      </w:r>
      <w:r w:rsidR="00C53F2C">
        <w:t xml:space="preserve"> </w:t>
      </w:r>
    </w:p>
    <w:p w14:paraId="4BE9D5E3" w14:textId="77777777" w:rsidR="00670903" w:rsidRDefault="00670903" w:rsidP="005303D5">
      <w:pPr>
        <w:pStyle w:val="NormalWeb"/>
        <w:spacing w:before="0" w:beforeAutospacing="0" w:after="0" w:afterAutospacing="0"/>
        <w:jc w:val="both"/>
      </w:pPr>
    </w:p>
    <w:p w14:paraId="244D7F47" w14:textId="1BA4DBA8" w:rsidR="005303D5" w:rsidRDefault="005303D5" w:rsidP="005303D5">
      <w:pPr>
        <w:pStyle w:val="NormalWeb"/>
        <w:spacing w:before="0" w:beforeAutospacing="0" w:after="0" w:afterAutospacing="0"/>
        <w:jc w:val="both"/>
      </w:pPr>
      <w:r>
        <w:t xml:space="preserve">The issue of </w:t>
      </w:r>
      <w:hyperlink r:id="rId16" w:history="1">
        <w:r w:rsidRPr="005303D5">
          <w:rPr>
            <w:rStyle w:val="Hyperlink"/>
          </w:rPr>
          <w:t>economic vulnerability</w:t>
        </w:r>
      </w:hyperlink>
      <w:r>
        <w:t xml:space="preserve"> </w:t>
      </w:r>
      <w:r w:rsidR="00670903">
        <w:t>is pivotal</w:t>
      </w:r>
      <w:r>
        <w:t xml:space="preserve">, owing to the high rate of poverty incidence and problems </w:t>
      </w:r>
      <w:r w:rsidR="00670903">
        <w:t>with</w:t>
      </w:r>
      <w:r>
        <w:t xml:space="preserve"> accessibility and affordability. </w:t>
      </w:r>
    </w:p>
    <w:p w14:paraId="07427358" w14:textId="77777777" w:rsidR="005303D5" w:rsidRDefault="005303D5" w:rsidP="005303D5">
      <w:pPr>
        <w:pStyle w:val="NormalWeb"/>
        <w:spacing w:before="0" w:beforeAutospacing="0" w:after="0" w:afterAutospacing="0"/>
        <w:jc w:val="both"/>
      </w:pPr>
    </w:p>
    <w:p w14:paraId="468DF6F1" w14:textId="19C300F8" w:rsidR="00AF7167" w:rsidRDefault="00670903" w:rsidP="005303D5">
      <w:pPr>
        <w:pStyle w:val="NormalWeb"/>
        <w:spacing w:before="0" w:beforeAutospacing="0" w:after="0" w:afterAutospacing="0"/>
        <w:jc w:val="both"/>
      </w:pPr>
      <w:r>
        <w:t>The Indian government has adopted a myriad of schemes and measures</w:t>
      </w:r>
      <w:r w:rsidR="00AF7167">
        <w:t xml:space="preserve"> at the national level</w:t>
      </w:r>
      <w:r>
        <w:t>, including the Pradhan Mantri Jan Dhan Yojana, Deen Dayal Upadhyay Grameen Kaushal Yojana and employment schemes like the Prime Minister Employment Generation Programme to eradicate the socio-economic gaps</w:t>
      </w:r>
      <w:r w:rsidR="00AF7167">
        <w:t xml:space="preserve"> </w:t>
      </w:r>
      <w:r w:rsidR="005303D5">
        <w:t xml:space="preserve">faced by the country. </w:t>
      </w:r>
    </w:p>
    <w:p w14:paraId="17C7F332" w14:textId="77777777" w:rsidR="00427BDE" w:rsidRDefault="00427BDE" w:rsidP="005303D5">
      <w:pPr>
        <w:pStyle w:val="NormalWeb"/>
        <w:spacing w:before="0" w:beforeAutospacing="0" w:after="0" w:afterAutospacing="0"/>
        <w:jc w:val="both"/>
      </w:pPr>
    </w:p>
    <w:p w14:paraId="6CC99110" w14:textId="77777777" w:rsidR="00427BDE" w:rsidRPr="005303D5" w:rsidRDefault="00427BDE" w:rsidP="00427BDE">
      <w:pPr>
        <w:pStyle w:val="NormalWeb"/>
        <w:spacing w:before="0" w:beforeAutospacing="0" w:after="0" w:afterAutospacing="0"/>
        <w:jc w:val="both"/>
        <w:rPr>
          <w:b/>
          <w:bCs/>
        </w:rPr>
      </w:pPr>
      <w:r>
        <w:rPr>
          <w:b/>
          <w:bCs/>
        </w:rPr>
        <w:t>Table 10.1</w:t>
      </w:r>
    </w:p>
    <w:p w14:paraId="56100745" w14:textId="77777777" w:rsidR="005303D5" w:rsidRDefault="005303D5" w:rsidP="005303D5">
      <w:pPr>
        <w:pStyle w:val="NormalWeb"/>
        <w:spacing w:before="0" w:beforeAutospacing="0" w:after="0" w:afterAutospacing="0"/>
        <w:jc w:val="both"/>
      </w:pPr>
    </w:p>
    <w:p w14:paraId="3BAC8F4D" w14:textId="7DB1DD2B" w:rsidR="00AF7167" w:rsidRDefault="00AF7167" w:rsidP="005303D5">
      <w:pPr>
        <w:pStyle w:val="NormalWeb"/>
        <w:spacing w:before="0" w:beforeAutospacing="0" w:after="0" w:afterAutospacing="0"/>
        <w:jc w:val="both"/>
      </w:pPr>
      <w:r w:rsidRPr="00AF7167">
        <w:rPr>
          <w:noProof/>
        </w:rPr>
        <w:drawing>
          <wp:inline distT="0" distB="0" distL="0" distR="0" wp14:anchorId="2B7EA8B1" wp14:editId="6B1672DD">
            <wp:extent cx="5731510" cy="1497965"/>
            <wp:effectExtent l="0" t="0" r="2540" b="6985"/>
            <wp:docPr id="2118025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25794" name=""/>
                    <pic:cNvPicPr/>
                  </pic:nvPicPr>
                  <pic:blipFill>
                    <a:blip r:embed="rId17"/>
                    <a:stretch>
                      <a:fillRect/>
                    </a:stretch>
                  </pic:blipFill>
                  <pic:spPr>
                    <a:xfrm>
                      <a:off x="0" y="0"/>
                      <a:ext cx="5731510" cy="1497965"/>
                    </a:xfrm>
                    <a:prstGeom prst="rect">
                      <a:avLst/>
                    </a:prstGeom>
                  </pic:spPr>
                </pic:pic>
              </a:graphicData>
            </a:graphic>
          </wp:inline>
        </w:drawing>
      </w:r>
    </w:p>
    <w:p w14:paraId="2EB6D8E8" w14:textId="5E2A4855" w:rsidR="00427BDE" w:rsidRPr="00427BDE" w:rsidRDefault="00427BDE" w:rsidP="005303D5">
      <w:pPr>
        <w:pStyle w:val="NormalWeb"/>
        <w:spacing w:before="0" w:beforeAutospacing="0" w:after="0" w:afterAutospacing="0"/>
        <w:jc w:val="both"/>
        <w:rPr>
          <w:b/>
          <w:bCs/>
        </w:rPr>
      </w:pPr>
      <w:r>
        <w:rPr>
          <w:b/>
          <w:bCs/>
        </w:rPr>
        <w:t>Box 10.2</w:t>
      </w:r>
    </w:p>
    <w:p w14:paraId="78A1EE47" w14:textId="1D0B30B0" w:rsidR="003818CA" w:rsidRDefault="003818CA" w:rsidP="005303D5">
      <w:pPr>
        <w:pStyle w:val="NormalWeb"/>
        <w:spacing w:before="0" w:beforeAutospacing="0" w:after="0" w:afterAutospacing="0"/>
        <w:jc w:val="both"/>
      </w:pPr>
      <w:r w:rsidRPr="003818CA">
        <w:rPr>
          <w:noProof/>
        </w:rPr>
        <w:drawing>
          <wp:inline distT="0" distB="0" distL="0" distR="0" wp14:anchorId="5157A116" wp14:editId="11B3645D">
            <wp:extent cx="5731510" cy="3150870"/>
            <wp:effectExtent l="0" t="0" r="2540" b="0"/>
            <wp:docPr id="140564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4529" name=""/>
                    <pic:cNvPicPr/>
                  </pic:nvPicPr>
                  <pic:blipFill>
                    <a:blip r:embed="rId18"/>
                    <a:stretch>
                      <a:fillRect/>
                    </a:stretch>
                  </pic:blipFill>
                  <pic:spPr>
                    <a:xfrm>
                      <a:off x="0" y="0"/>
                      <a:ext cx="5731510" cy="3150870"/>
                    </a:xfrm>
                    <a:prstGeom prst="rect">
                      <a:avLst/>
                    </a:prstGeom>
                  </pic:spPr>
                </pic:pic>
              </a:graphicData>
            </a:graphic>
          </wp:inline>
        </w:drawing>
      </w:r>
    </w:p>
    <w:p w14:paraId="630BCFA0" w14:textId="77777777" w:rsidR="005303D5" w:rsidRPr="005303D5" w:rsidRDefault="005303D5" w:rsidP="005303D5">
      <w:pPr>
        <w:pStyle w:val="NormalWeb"/>
        <w:spacing w:before="0" w:beforeAutospacing="0" w:after="0" w:afterAutospacing="0"/>
        <w:jc w:val="both"/>
        <w:rPr>
          <w:b/>
          <w:bCs/>
        </w:rPr>
      </w:pPr>
    </w:p>
    <w:p w14:paraId="5DC2B30F" w14:textId="743DF135" w:rsidR="003818CA" w:rsidRDefault="003818CA" w:rsidP="005303D5">
      <w:pPr>
        <w:pStyle w:val="NormalWeb"/>
        <w:spacing w:before="0" w:beforeAutospacing="0" w:after="0" w:afterAutospacing="0"/>
        <w:jc w:val="both"/>
      </w:pPr>
      <w:r>
        <w:lastRenderedPageBreak/>
        <w:t xml:space="preserve">As per the reports of </w:t>
      </w:r>
      <w:hyperlink r:id="rId19" w:history="1">
        <w:r w:rsidRPr="005303D5">
          <w:rPr>
            <w:rStyle w:val="Hyperlink"/>
          </w:rPr>
          <w:t>NITI Aayog from 2018</w:t>
        </w:r>
      </w:hyperlink>
      <w:r>
        <w:t xml:space="preserve">, India has adopted the </w:t>
      </w:r>
      <w:r w:rsidR="00670903">
        <w:t>pointers mentioned above</w:t>
      </w:r>
      <w:r w:rsidR="00AD2A45">
        <w:t xml:space="preserve"> </w:t>
      </w:r>
      <w:r w:rsidR="00670903">
        <w:t xml:space="preserve">nationally, encompassing </w:t>
      </w:r>
      <w:r w:rsidR="00AD2A45">
        <w:t xml:space="preserve">three out of the ten SDG targets for 2030. </w:t>
      </w:r>
      <w:r w:rsidR="004C3B18">
        <w:t xml:space="preserve">However, it is imperative to underscore that India’s statistical system faces </w:t>
      </w:r>
      <w:hyperlink r:id="rId20" w:history="1">
        <w:r w:rsidR="004C3B18" w:rsidRPr="004C3B18">
          <w:rPr>
            <w:rStyle w:val="Hyperlink"/>
          </w:rPr>
          <w:t>severe allegations of obscurity and political interference</w:t>
        </w:r>
      </w:hyperlink>
      <w:r w:rsidR="004C3B18">
        <w:t xml:space="preserve">. Additionally, </w:t>
      </w:r>
      <w:hyperlink r:id="rId21" w:history="1">
        <w:r w:rsidR="004C3B18" w:rsidRPr="00AA1C06">
          <w:rPr>
            <w:rStyle w:val="Hyperlink"/>
          </w:rPr>
          <w:t>the Government has not conducted a population census in 12 years</w:t>
        </w:r>
      </w:hyperlink>
      <w:r w:rsidR="00AA1C06">
        <w:t xml:space="preserve"> – leading to </w:t>
      </w:r>
      <w:hyperlink r:id="rId22" w:history="1">
        <w:r w:rsidR="00AA1C06" w:rsidRPr="00AA1C06">
          <w:rPr>
            <w:rStyle w:val="Hyperlink"/>
          </w:rPr>
          <w:t>information asymmetry</w:t>
        </w:r>
      </w:hyperlink>
      <w:r w:rsidR="00AA1C06">
        <w:t>, a key hurdle in achieving SDG 10</w:t>
      </w:r>
      <w:r w:rsidR="004C3B18">
        <w:t xml:space="preserve">. </w:t>
      </w:r>
      <w:r w:rsidR="00AA1C06">
        <w:t>At the cost of repetition</w:t>
      </w:r>
      <w:r w:rsidR="004C3B18">
        <w:t>, we have cause to affirm that the Government’s claims may not be reliable.</w:t>
      </w:r>
    </w:p>
    <w:p w14:paraId="6AC24C09" w14:textId="77777777" w:rsidR="00670903" w:rsidRDefault="00670903" w:rsidP="005303D5">
      <w:pPr>
        <w:pStyle w:val="NormalWeb"/>
        <w:spacing w:before="0" w:beforeAutospacing="0" w:after="0" w:afterAutospacing="0"/>
        <w:jc w:val="both"/>
      </w:pPr>
    </w:p>
    <w:p w14:paraId="739DE88D" w14:textId="7C9B3874" w:rsidR="00AD2A45" w:rsidRDefault="004C3B18" w:rsidP="005303D5">
      <w:pPr>
        <w:pStyle w:val="NormalWeb"/>
        <w:spacing w:before="0" w:beforeAutospacing="0" w:after="0" w:afterAutospacing="0"/>
        <w:jc w:val="both"/>
      </w:pPr>
      <w:r>
        <w:t xml:space="preserve">The Government claims that its </w:t>
      </w:r>
      <w:r w:rsidR="00AF7167">
        <w:t xml:space="preserve">performance has been </w:t>
      </w:r>
      <w:r w:rsidR="00670903">
        <w:t>entirely</w:t>
      </w:r>
      <w:r w:rsidR="00AF7167">
        <w:t xml:space="preserve"> satisfactory in all the </w:t>
      </w:r>
      <w:r w:rsidR="00670903">
        <w:t>indicators mentioned above</w:t>
      </w:r>
      <w:r w:rsidR="00AF7167">
        <w:t xml:space="preserve"> except for the ‘Palma ratio of household expenditure in urban India’ wherein India stands at 1.41, where the target stands at 1 (refer to Table 10.1</w:t>
      </w:r>
      <w:r w:rsidR="005303D5">
        <w:t xml:space="preserve"> and Box 10.2</w:t>
      </w:r>
      <w:r w:rsidR="00AF7167">
        <w:t xml:space="preserve">). </w:t>
      </w:r>
      <w:r w:rsidR="00670903">
        <w:t xml:space="preserve">Figure ‘1.41’ points to the fact that the allegations that </w:t>
      </w:r>
      <w:hyperlink r:id="rId23" w:history="1">
        <w:r w:rsidR="00670903" w:rsidRPr="00670903">
          <w:rPr>
            <w:rStyle w:val="Hyperlink"/>
          </w:rPr>
          <w:t>wealth remains in the hands of affluent Indian industrialists</w:t>
        </w:r>
      </w:hyperlink>
      <w:r w:rsidR="00670903">
        <w:t xml:space="preserve"> considered close to the establishment are true. In contrast, people with low incomes</w:t>
      </w:r>
      <w:r w:rsidR="00AF7167">
        <w:t xml:space="preserve"> remain deprived of the schemes </w:t>
      </w:r>
      <w:r w:rsidR="00670903">
        <w:t xml:space="preserve">formulated by the government </w:t>
      </w:r>
      <w:r w:rsidR="00AF7167">
        <w:t xml:space="preserve">as long-term or short-term strategies for their upliftment. </w:t>
      </w:r>
    </w:p>
    <w:p w14:paraId="3EEDDD6C" w14:textId="77777777" w:rsidR="005303D5" w:rsidRDefault="005303D5" w:rsidP="005303D5">
      <w:pPr>
        <w:pStyle w:val="NormalWeb"/>
        <w:spacing w:before="0" w:beforeAutospacing="0" w:after="0" w:afterAutospacing="0"/>
        <w:jc w:val="both"/>
      </w:pPr>
    </w:p>
    <w:p w14:paraId="78141EBE" w14:textId="4CDDB1AA" w:rsidR="005303D5" w:rsidRDefault="00670903" w:rsidP="00427BDE">
      <w:pPr>
        <w:pStyle w:val="NormalWeb"/>
        <w:spacing w:before="0" w:beforeAutospacing="0" w:after="0" w:afterAutospacing="0"/>
        <w:jc w:val="both"/>
      </w:pPr>
      <w:r>
        <w:t>Regarding the regional levels</w:t>
      </w:r>
      <w:r w:rsidR="005303D5">
        <w:t>, the states and the Union Territories (</w:t>
      </w:r>
      <w:r w:rsidR="005303D5">
        <w:rPr>
          <w:b/>
          <w:bCs/>
        </w:rPr>
        <w:t>UTs</w:t>
      </w:r>
      <w:r w:rsidR="005303D5">
        <w:t xml:space="preserve">) are scored </w:t>
      </w:r>
      <w:r>
        <w:t>based on</w:t>
      </w:r>
      <w:r w:rsidR="005303D5">
        <w:t xml:space="preserve"> their performance of the SDG indicators out of 100. </w:t>
      </w:r>
      <w:r>
        <w:t>Based on</w:t>
      </w:r>
      <w:r w:rsidR="005303D5">
        <w:t xml:space="preserve"> the score, the states are then classified into three categories: achiever (100), front-runner (65-99), and aspirant (0-49). As per the NITI Aayog, in 2018, 29 states and UTs have fallen under the category of ‘front-runners’ while two states have been put under the aspirants category. </w:t>
      </w:r>
    </w:p>
    <w:p w14:paraId="44C50C5D" w14:textId="77777777" w:rsidR="00C53F2C" w:rsidRDefault="00C53F2C" w:rsidP="005303D5">
      <w:pPr>
        <w:pStyle w:val="NormalWeb"/>
        <w:spacing w:before="0" w:beforeAutospacing="0" w:after="0" w:afterAutospacing="0"/>
        <w:jc w:val="both"/>
      </w:pPr>
    </w:p>
    <w:p w14:paraId="7788C317" w14:textId="19B68D0B" w:rsidR="00C53F2C" w:rsidRPr="00427BDE" w:rsidRDefault="00C53F2C" w:rsidP="005303D5">
      <w:pPr>
        <w:pStyle w:val="NormalWeb"/>
        <w:numPr>
          <w:ilvl w:val="0"/>
          <w:numId w:val="1"/>
        </w:numPr>
        <w:spacing w:before="0" w:beforeAutospacing="0" w:after="0" w:afterAutospacing="0"/>
        <w:jc w:val="both"/>
        <w:rPr>
          <w:b/>
          <w:bCs/>
          <w:i/>
          <w:iCs/>
          <w:color w:val="000000"/>
          <w:sz w:val="22"/>
          <w:szCs w:val="22"/>
        </w:rPr>
      </w:pPr>
      <w:r w:rsidRPr="00427BDE">
        <w:rPr>
          <w:b/>
          <w:bCs/>
          <w:i/>
          <w:iCs/>
          <w:color w:val="000000"/>
          <w:sz w:val="22"/>
          <w:szCs w:val="22"/>
        </w:rPr>
        <w:t xml:space="preserve">Have other tools to assess progress towards </w:t>
      </w:r>
      <w:r w:rsidR="00670903">
        <w:rPr>
          <w:b/>
          <w:bCs/>
          <w:i/>
          <w:iCs/>
          <w:color w:val="000000"/>
          <w:sz w:val="22"/>
          <w:szCs w:val="22"/>
        </w:rPr>
        <w:t>reducing</w:t>
      </w:r>
      <w:r w:rsidRPr="00427BDE">
        <w:rPr>
          <w:b/>
          <w:bCs/>
          <w:i/>
          <w:iCs/>
          <w:color w:val="000000"/>
          <w:sz w:val="22"/>
          <w:szCs w:val="22"/>
        </w:rPr>
        <w:t xml:space="preserve"> inequalities been designed and implemented?</w:t>
      </w:r>
    </w:p>
    <w:p w14:paraId="579C1B93" w14:textId="77777777" w:rsidR="00C53F2C" w:rsidRDefault="00C53F2C" w:rsidP="005303D5">
      <w:pPr>
        <w:pStyle w:val="NormalWeb"/>
        <w:spacing w:before="0" w:beforeAutospacing="0" w:after="0" w:afterAutospacing="0"/>
        <w:jc w:val="both"/>
        <w:rPr>
          <w:rFonts w:ascii="Roboto" w:hAnsi="Roboto"/>
          <w:b/>
          <w:bCs/>
          <w:i/>
          <w:iCs/>
          <w:color w:val="000000"/>
          <w:sz w:val="22"/>
          <w:szCs w:val="22"/>
        </w:rPr>
      </w:pPr>
    </w:p>
    <w:p w14:paraId="37589146" w14:textId="77777777" w:rsidR="00C53F2C" w:rsidRDefault="00C53F2C" w:rsidP="005303D5">
      <w:pPr>
        <w:spacing w:after="0" w:line="240" w:lineRule="auto"/>
        <w:jc w:val="both"/>
        <w:rPr>
          <w:rFonts w:ascii="Times New Roman" w:eastAsia="Times New Roman" w:hAnsi="Times New Roman" w:cs="Times New Roman"/>
          <w:b/>
          <w:bCs/>
          <w:color w:val="000000"/>
          <w:kern w:val="0"/>
          <w:sz w:val="28"/>
          <w:szCs w:val="28"/>
          <w:lang w:val="en-IN" w:eastAsia="en-IN"/>
          <w14:ligatures w14:val="none"/>
        </w:rPr>
      </w:pPr>
    </w:p>
    <w:p w14:paraId="3E269697" w14:textId="7401D6DA" w:rsidR="00C53F2C" w:rsidRPr="00C53F2C" w:rsidRDefault="00C53F2C" w:rsidP="005303D5">
      <w:pPr>
        <w:pStyle w:val="ListParagraph"/>
        <w:numPr>
          <w:ilvl w:val="0"/>
          <w:numId w:val="7"/>
        </w:num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b/>
          <w:bCs/>
          <w:color w:val="000000"/>
          <w:kern w:val="0"/>
          <w:sz w:val="28"/>
          <w:szCs w:val="28"/>
          <w:lang w:val="en-IN" w:eastAsia="en-IN"/>
          <w14:ligatures w14:val="none"/>
        </w:rPr>
        <w:t>A</w:t>
      </w:r>
      <w:r w:rsidRPr="00C53F2C">
        <w:rPr>
          <w:rFonts w:ascii="Times New Roman" w:eastAsia="Times New Roman" w:hAnsi="Times New Roman" w:cs="Times New Roman"/>
          <w:b/>
          <w:bCs/>
          <w:color w:val="000000"/>
          <w:kern w:val="0"/>
          <w:lang w:val="en-IN" w:eastAsia="en-IN"/>
          <w14:ligatures w14:val="none"/>
        </w:rPr>
        <w:t>DDRESSING</w:t>
      </w:r>
      <w:r w:rsidRPr="00C53F2C">
        <w:rPr>
          <w:rFonts w:ascii="Times New Roman" w:eastAsia="Times New Roman" w:hAnsi="Times New Roman" w:cs="Times New Roman"/>
          <w:b/>
          <w:bCs/>
          <w:color w:val="000000"/>
          <w:kern w:val="0"/>
          <w:sz w:val="30"/>
          <w:szCs w:val="30"/>
          <w:lang w:val="en-IN" w:eastAsia="en-IN"/>
          <w14:ligatures w14:val="none"/>
        </w:rPr>
        <w:t xml:space="preserve"> </w:t>
      </w:r>
      <w:r w:rsidRPr="00C53F2C">
        <w:rPr>
          <w:rFonts w:ascii="Times New Roman" w:eastAsia="Times New Roman" w:hAnsi="Times New Roman" w:cs="Times New Roman"/>
          <w:b/>
          <w:bCs/>
          <w:color w:val="000000"/>
          <w:kern w:val="0"/>
          <w:sz w:val="28"/>
          <w:szCs w:val="28"/>
          <w:lang w:val="en-IN" w:eastAsia="en-IN"/>
          <w14:ligatures w14:val="none"/>
        </w:rPr>
        <w:t>S</w:t>
      </w:r>
      <w:r w:rsidRPr="00C53F2C">
        <w:rPr>
          <w:rFonts w:ascii="Times New Roman" w:eastAsia="Times New Roman" w:hAnsi="Times New Roman" w:cs="Times New Roman"/>
          <w:b/>
          <w:bCs/>
          <w:color w:val="000000"/>
          <w:kern w:val="0"/>
          <w:lang w:val="en-IN" w:eastAsia="en-IN"/>
          <w14:ligatures w14:val="none"/>
        </w:rPr>
        <w:t>DG</w:t>
      </w:r>
      <w:r w:rsidRPr="00C53F2C">
        <w:rPr>
          <w:rFonts w:ascii="Times New Roman" w:eastAsia="Times New Roman" w:hAnsi="Times New Roman" w:cs="Times New Roman"/>
          <w:b/>
          <w:bCs/>
          <w:color w:val="000000"/>
          <w:kern w:val="0"/>
          <w:sz w:val="28"/>
          <w:szCs w:val="28"/>
          <w:lang w:val="en-IN" w:eastAsia="en-IN"/>
          <w14:ligatures w14:val="none"/>
        </w:rPr>
        <w:t xml:space="preserve"> 10.1 A</w:t>
      </w:r>
      <w:r w:rsidRPr="00C53F2C">
        <w:rPr>
          <w:rFonts w:ascii="Times New Roman" w:eastAsia="Times New Roman" w:hAnsi="Times New Roman" w:cs="Times New Roman"/>
          <w:b/>
          <w:bCs/>
          <w:color w:val="000000"/>
          <w:kern w:val="0"/>
          <w:lang w:val="en-IN" w:eastAsia="en-IN"/>
          <w14:ligatures w14:val="none"/>
        </w:rPr>
        <w:t>ND</w:t>
      </w:r>
      <w:r w:rsidRPr="00C53F2C">
        <w:rPr>
          <w:rFonts w:ascii="Times New Roman" w:eastAsia="Times New Roman" w:hAnsi="Times New Roman" w:cs="Times New Roman"/>
          <w:b/>
          <w:bCs/>
          <w:color w:val="000000"/>
          <w:kern w:val="0"/>
          <w:sz w:val="28"/>
          <w:szCs w:val="28"/>
          <w:lang w:val="en-IN" w:eastAsia="en-IN"/>
          <w14:ligatures w14:val="none"/>
        </w:rPr>
        <w:t xml:space="preserve"> B</w:t>
      </w:r>
      <w:r w:rsidRPr="00C53F2C">
        <w:rPr>
          <w:rFonts w:ascii="Times New Roman" w:eastAsia="Times New Roman" w:hAnsi="Times New Roman" w:cs="Times New Roman"/>
          <w:b/>
          <w:bCs/>
          <w:color w:val="000000"/>
          <w:kern w:val="0"/>
          <w:lang w:val="en-IN" w:eastAsia="en-IN"/>
          <w14:ligatures w14:val="none"/>
        </w:rPr>
        <w:t>EYOND</w:t>
      </w:r>
    </w:p>
    <w:p w14:paraId="696BF3BF" w14:textId="5C6552EA"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Besides the </w:t>
      </w:r>
      <w:r w:rsidR="00670903">
        <w:rPr>
          <w:rFonts w:ascii="Times New Roman" w:eastAsia="Times New Roman" w:hAnsi="Times New Roman" w:cs="Times New Roman"/>
          <w:color w:val="000000"/>
          <w:kern w:val="0"/>
          <w:sz w:val="24"/>
          <w:szCs w:val="24"/>
          <w:lang w:val="en-IN" w:eastAsia="en-IN"/>
          <w14:ligatures w14:val="none"/>
        </w:rPr>
        <w:t>measures above</w:t>
      </w:r>
      <w:r w:rsidRPr="00C53F2C">
        <w:rPr>
          <w:rFonts w:ascii="Times New Roman" w:eastAsia="Times New Roman" w:hAnsi="Times New Roman" w:cs="Times New Roman"/>
          <w:color w:val="000000"/>
          <w:kern w:val="0"/>
          <w:sz w:val="24"/>
          <w:szCs w:val="24"/>
          <w:lang w:val="en-IN" w:eastAsia="en-IN"/>
          <w14:ligatures w14:val="none"/>
        </w:rPr>
        <w:t xml:space="preserve"> aimed at addressing SDG 10.1 and ensuring that growth benefits the bottom 40 </w:t>
      </w:r>
      <w:r w:rsidR="00670903">
        <w:rPr>
          <w:rFonts w:ascii="Times New Roman" w:eastAsia="Times New Roman" w:hAnsi="Times New Roman" w:cs="Times New Roman"/>
          <w:color w:val="000000"/>
          <w:kern w:val="0"/>
          <w:sz w:val="24"/>
          <w:szCs w:val="24"/>
          <w:lang w:val="en-IN" w:eastAsia="en-IN"/>
          <w14:ligatures w14:val="none"/>
        </w:rPr>
        <w:t>per cent</w:t>
      </w:r>
      <w:r w:rsidRPr="00C53F2C">
        <w:rPr>
          <w:rFonts w:ascii="Times New Roman" w:eastAsia="Times New Roman" w:hAnsi="Times New Roman" w:cs="Times New Roman"/>
          <w:color w:val="000000"/>
          <w:kern w:val="0"/>
          <w:sz w:val="24"/>
          <w:szCs w:val="24"/>
          <w:lang w:val="en-IN" w:eastAsia="en-IN"/>
          <w14:ligatures w14:val="none"/>
        </w:rPr>
        <w:t xml:space="preserve"> of the population, it is also pertinent to consider and discuss other similar tools that assess progress towards </w:t>
      </w:r>
      <w:r w:rsidR="00670903">
        <w:rPr>
          <w:rFonts w:ascii="Times New Roman" w:eastAsia="Times New Roman" w:hAnsi="Times New Roman" w:cs="Times New Roman"/>
          <w:color w:val="000000"/>
          <w:kern w:val="0"/>
          <w:sz w:val="24"/>
          <w:szCs w:val="24"/>
          <w:lang w:val="en-IN" w:eastAsia="en-IN"/>
          <w14:ligatures w14:val="none"/>
        </w:rPr>
        <w:t>reducing</w:t>
      </w:r>
      <w:r w:rsidRPr="00C53F2C">
        <w:rPr>
          <w:rFonts w:ascii="Times New Roman" w:eastAsia="Times New Roman" w:hAnsi="Times New Roman" w:cs="Times New Roman"/>
          <w:color w:val="000000"/>
          <w:kern w:val="0"/>
          <w:sz w:val="24"/>
          <w:szCs w:val="24"/>
          <w:lang w:val="en-IN" w:eastAsia="en-IN"/>
          <w14:ligatures w14:val="none"/>
        </w:rPr>
        <w:t xml:space="preserve"> inequalities. </w:t>
      </w:r>
    </w:p>
    <w:p w14:paraId="6D72DEDE"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6ADCEDD8" w14:textId="20574FC6" w:rsidR="00C53F2C" w:rsidRPr="00C53F2C" w:rsidRDefault="00C53F2C" w:rsidP="005303D5">
      <w:pPr>
        <w:pStyle w:val="ListParagraph"/>
        <w:numPr>
          <w:ilvl w:val="0"/>
          <w:numId w:val="7"/>
        </w:num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b/>
          <w:bCs/>
          <w:color w:val="000000"/>
          <w:kern w:val="0"/>
          <w:sz w:val="28"/>
          <w:szCs w:val="28"/>
          <w:lang w:val="en-IN" w:eastAsia="en-IN"/>
          <w14:ligatures w14:val="none"/>
        </w:rPr>
        <w:t>D</w:t>
      </w:r>
      <w:r w:rsidRPr="00C53F2C">
        <w:rPr>
          <w:rFonts w:ascii="Times New Roman" w:eastAsia="Times New Roman" w:hAnsi="Times New Roman" w:cs="Times New Roman"/>
          <w:b/>
          <w:bCs/>
          <w:color w:val="000000"/>
          <w:kern w:val="0"/>
          <w:lang w:val="en-IN" w:eastAsia="en-IN"/>
          <w14:ligatures w14:val="none"/>
        </w:rPr>
        <w:t>EFINING</w:t>
      </w:r>
      <w:r w:rsidRPr="00C53F2C">
        <w:rPr>
          <w:rFonts w:ascii="Times New Roman" w:eastAsia="Times New Roman" w:hAnsi="Times New Roman" w:cs="Times New Roman"/>
          <w:b/>
          <w:bCs/>
          <w:color w:val="000000"/>
          <w:kern w:val="0"/>
          <w:sz w:val="28"/>
          <w:szCs w:val="28"/>
          <w:lang w:val="en-IN" w:eastAsia="en-IN"/>
          <w14:ligatures w14:val="none"/>
        </w:rPr>
        <w:t xml:space="preserve"> T</w:t>
      </w:r>
      <w:r w:rsidRPr="00C53F2C">
        <w:rPr>
          <w:rFonts w:ascii="Times New Roman" w:eastAsia="Times New Roman" w:hAnsi="Times New Roman" w:cs="Times New Roman"/>
          <w:b/>
          <w:bCs/>
          <w:color w:val="000000"/>
          <w:kern w:val="0"/>
          <w:lang w:val="en-IN" w:eastAsia="en-IN"/>
          <w14:ligatures w14:val="none"/>
        </w:rPr>
        <w:t>OOLS</w:t>
      </w:r>
      <w:r w:rsidRPr="00C53F2C">
        <w:rPr>
          <w:rFonts w:ascii="Times New Roman" w:eastAsia="Times New Roman" w:hAnsi="Times New Roman" w:cs="Times New Roman"/>
          <w:b/>
          <w:bCs/>
          <w:color w:val="000000"/>
          <w:kern w:val="0"/>
          <w:sz w:val="28"/>
          <w:szCs w:val="28"/>
          <w:lang w:val="en-IN" w:eastAsia="en-IN"/>
          <w14:ligatures w14:val="none"/>
        </w:rPr>
        <w:t xml:space="preserve"> I</w:t>
      </w:r>
      <w:r w:rsidRPr="00C53F2C">
        <w:rPr>
          <w:rFonts w:ascii="Times New Roman" w:eastAsia="Times New Roman" w:hAnsi="Times New Roman" w:cs="Times New Roman"/>
          <w:b/>
          <w:bCs/>
          <w:color w:val="000000"/>
          <w:kern w:val="0"/>
          <w:sz w:val="24"/>
          <w:szCs w:val="24"/>
          <w:lang w:val="en-IN" w:eastAsia="en-IN"/>
          <w14:ligatures w14:val="none"/>
        </w:rPr>
        <w:t>N</w:t>
      </w:r>
      <w:r w:rsidRPr="00C53F2C">
        <w:rPr>
          <w:rFonts w:ascii="Times New Roman" w:eastAsia="Times New Roman" w:hAnsi="Times New Roman" w:cs="Times New Roman"/>
          <w:b/>
          <w:bCs/>
          <w:color w:val="000000"/>
          <w:kern w:val="0"/>
          <w:sz w:val="28"/>
          <w:szCs w:val="28"/>
          <w:lang w:val="en-IN" w:eastAsia="en-IN"/>
          <w14:ligatures w14:val="none"/>
        </w:rPr>
        <w:t xml:space="preserve"> A B</w:t>
      </w:r>
      <w:r w:rsidRPr="00C53F2C">
        <w:rPr>
          <w:rFonts w:ascii="Times New Roman" w:eastAsia="Times New Roman" w:hAnsi="Times New Roman" w:cs="Times New Roman"/>
          <w:b/>
          <w:bCs/>
          <w:color w:val="000000"/>
          <w:kern w:val="0"/>
          <w:lang w:val="en-IN" w:eastAsia="en-IN"/>
          <w14:ligatures w14:val="none"/>
        </w:rPr>
        <w:t>ROADER</w:t>
      </w:r>
      <w:r w:rsidRPr="00C53F2C">
        <w:rPr>
          <w:rFonts w:ascii="Times New Roman" w:eastAsia="Times New Roman" w:hAnsi="Times New Roman" w:cs="Times New Roman"/>
          <w:b/>
          <w:bCs/>
          <w:color w:val="000000"/>
          <w:kern w:val="0"/>
          <w:sz w:val="28"/>
          <w:szCs w:val="28"/>
          <w:lang w:val="en-IN" w:eastAsia="en-IN"/>
          <w14:ligatures w14:val="none"/>
        </w:rPr>
        <w:t xml:space="preserve"> C</w:t>
      </w:r>
      <w:r w:rsidRPr="00C53F2C">
        <w:rPr>
          <w:rFonts w:ascii="Times New Roman" w:eastAsia="Times New Roman" w:hAnsi="Times New Roman" w:cs="Times New Roman"/>
          <w:b/>
          <w:bCs/>
          <w:color w:val="000000"/>
          <w:kern w:val="0"/>
          <w:lang w:val="en-IN" w:eastAsia="en-IN"/>
          <w14:ligatures w14:val="none"/>
        </w:rPr>
        <w:t>ONTEXT</w:t>
      </w:r>
      <w:r w:rsidRPr="00C53F2C">
        <w:rPr>
          <w:rFonts w:ascii="Times New Roman" w:eastAsia="Times New Roman" w:hAnsi="Times New Roman" w:cs="Times New Roman"/>
          <w:b/>
          <w:bCs/>
          <w:color w:val="000000"/>
          <w:kern w:val="0"/>
          <w:sz w:val="28"/>
          <w:szCs w:val="28"/>
          <w:lang w:val="en-IN" w:eastAsia="en-IN"/>
          <w14:ligatures w14:val="none"/>
        </w:rPr>
        <w:t xml:space="preserve"> A</w:t>
      </w:r>
      <w:r w:rsidRPr="00C53F2C">
        <w:rPr>
          <w:rFonts w:ascii="Times New Roman" w:eastAsia="Times New Roman" w:hAnsi="Times New Roman" w:cs="Times New Roman"/>
          <w:b/>
          <w:bCs/>
          <w:color w:val="000000"/>
          <w:kern w:val="0"/>
          <w:lang w:val="en-IN" w:eastAsia="en-IN"/>
          <w14:ligatures w14:val="none"/>
        </w:rPr>
        <w:t>ND</w:t>
      </w:r>
      <w:r w:rsidRPr="00C53F2C">
        <w:rPr>
          <w:rFonts w:ascii="Times New Roman" w:eastAsia="Times New Roman" w:hAnsi="Times New Roman" w:cs="Times New Roman"/>
          <w:b/>
          <w:bCs/>
          <w:color w:val="000000"/>
          <w:kern w:val="0"/>
          <w:sz w:val="28"/>
          <w:szCs w:val="28"/>
          <w:lang w:val="en-IN" w:eastAsia="en-IN"/>
          <w14:ligatures w14:val="none"/>
        </w:rPr>
        <w:t xml:space="preserve"> T</w:t>
      </w:r>
      <w:r w:rsidRPr="00C53F2C">
        <w:rPr>
          <w:rFonts w:ascii="Times New Roman" w:eastAsia="Times New Roman" w:hAnsi="Times New Roman" w:cs="Times New Roman"/>
          <w:b/>
          <w:bCs/>
          <w:color w:val="000000"/>
          <w:kern w:val="0"/>
          <w:lang w:val="en-IN" w:eastAsia="en-IN"/>
          <w14:ligatures w14:val="none"/>
        </w:rPr>
        <w:t>HE</w:t>
      </w:r>
      <w:r w:rsidRPr="00C53F2C">
        <w:rPr>
          <w:rFonts w:ascii="Times New Roman" w:eastAsia="Times New Roman" w:hAnsi="Times New Roman" w:cs="Times New Roman"/>
          <w:b/>
          <w:bCs/>
          <w:color w:val="000000"/>
          <w:kern w:val="0"/>
          <w:sz w:val="28"/>
          <w:szCs w:val="28"/>
          <w:lang w:val="en-IN" w:eastAsia="en-IN"/>
          <w14:ligatures w14:val="none"/>
        </w:rPr>
        <w:t xml:space="preserve"> </w:t>
      </w:r>
      <w:r w:rsidR="00670903">
        <w:rPr>
          <w:rFonts w:ascii="Times New Roman" w:eastAsia="Times New Roman" w:hAnsi="Times New Roman" w:cs="Times New Roman"/>
          <w:b/>
          <w:bCs/>
          <w:color w:val="000000"/>
          <w:kern w:val="0"/>
          <w:sz w:val="28"/>
          <w:szCs w:val="28"/>
          <w:lang w:val="en-IN" w:eastAsia="en-IN"/>
          <w14:ligatures w14:val="none"/>
        </w:rPr>
        <w:t>COMPLEMENTARY</w:t>
      </w:r>
      <w:r w:rsidRPr="00C53F2C">
        <w:rPr>
          <w:rFonts w:ascii="Times New Roman" w:eastAsia="Times New Roman" w:hAnsi="Times New Roman" w:cs="Times New Roman"/>
          <w:b/>
          <w:bCs/>
          <w:color w:val="000000"/>
          <w:kern w:val="0"/>
          <w:sz w:val="28"/>
          <w:szCs w:val="28"/>
          <w:lang w:val="en-IN" w:eastAsia="en-IN"/>
          <w14:ligatures w14:val="none"/>
        </w:rPr>
        <w:t xml:space="preserve"> R</w:t>
      </w:r>
      <w:r w:rsidRPr="00C53F2C">
        <w:rPr>
          <w:rFonts w:ascii="Times New Roman" w:eastAsia="Times New Roman" w:hAnsi="Times New Roman" w:cs="Times New Roman"/>
          <w:b/>
          <w:bCs/>
          <w:color w:val="000000"/>
          <w:kern w:val="0"/>
          <w:lang w:val="en-IN" w:eastAsia="en-IN"/>
          <w14:ligatures w14:val="none"/>
        </w:rPr>
        <w:t>ELATIONSHIP</w:t>
      </w:r>
      <w:r w:rsidRPr="00C53F2C">
        <w:rPr>
          <w:rFonts w:ascii="Times New Roman" w:eastAsia="Times New Roman" w:hAnsi="Times New Roman" w:cs="Times New Roman"/>
          <w:b/>
          <w:bCs/>
          <w:color w:val="000000"/>
          <w:kern w:val="0"/>
          <w:sz w:val="28"/>
          <w:szCs w:val="28"/>
          <w:lang w:val="en-IN" w:eastAsia="en-IN"/>
          <w14:ligatures w14:val="none"/>
        </w:rPr>
        <w:t xml:space="preserve"> B</w:t>
      </w:r>
      <w:r w:rsidRPr="00C53F2C">
        <w:rPr>
          <w:rFonts w:ascii="Times New Roman" w:eastAsia="Times New Roman" w:hAnsi="Times New Roman" w:cs="Times New Roman"/>
          <w:b/>
          <w:bCs/>
          <w:color w:val="000000"/>
          <w:kern w:val="0"/>
          <w:lang w:val="en-IN" w:eastAsia="en-IN"/>
          <w14:ligatures w14:val="none"/>
        </w:rPr>
        <w:t>ETWEEN</w:t>
      </w:r>
      <w:r w:rsidRPr="00C53F2C">
        <w:rPr>
          <w:rFonts w:ascii="Times New Roman" w:eastAsia="Times New Roman" w:hAnsi="Times New Roman" w:cs="Times New Roman"/>
          <w:b/>
          <w:bCs/>
          <w:color w:val="000000"/>
          <w:kern w:val="0"/>
          <w:sz w:val="28"/>
          <w:szCs w:val="28"/>
          <w:lang w:val="en-IN" w:eastAsia="en-IN"/>
          <w14:ligatures w14:val="none"/>
        </w:rPr>
        <w:t xml:space="preserve"> Q</w:t>
      </w:r>
      <w:r w:rsidRPr="00C53F2C">
        <w:rPr>
          <w:rFonts w:ascii="Times New Roman" w:eastAsia="Times New Roman" w:hAnsi="Times New Roman" w:cs="Times New Roman"/>
          <w:b/>
          <w:bCs/>
          <w:color w:val="000000"/>
          <w:kern w:val="0"/>
          <w:lang w:val="en-IN" w:eastAsia="en-IN"/>
          <w14:ligatures w14:val="none"/>
        </w:rPr>
        <w:t xml:space="preserve">UALITATIVE </w:t>
      </w:r>
      <w:r w:rsidRPr="00C53F2C">
        <w:rPr>
          <w:rFonts w:ascii="Times New Roman" w:eastAsia="Times New Roman" w:hAnsi="Times New Roman" w:cs="Times New Roman"/>
          <w:b/>
          <w:bCs/>
          <w:color w:val="000000"/>
          <w:kern w:val="0"/>
          <w:sz w:val="28"/>
          <w:szCs w:val="28"/>
          <w:lang w:val="en-IN" w:eastAsia="en-IN"/>
          <w14:ligatures w14:val="none"/>
        </w:rPr>
        <w:t>A</w:t>
      </w:r>
      <w:r w:rsidRPr="00C53F2C">
        <w:rPr>
          <w:rFonts w:ascii="Times New Roman" w:eastAsia="Times New Roman" w:hAnsi="Times New Roman" w:cs="Times New Roman"/>
          <w:b/>
          <w:bCs/>
          <w:color w:val="000000"/>
          <w:kern w:val="0"/>
          <w:lang w:val="en-IN" w:eastAsia="en-IN"/>
          <w14:ligatures w14:val="none"/>
        </w:rPr>
        <w:t>ND</w:t>
      </w:r>
      <w:r w:rsidRPr="00C53F2C">
        <w:rPr>
          <w:rFonts w:ascii="Times New Roman" w:eastAsia="Times New Roman" w:hAnsi="Times New Roman" w:cs="Times New Roman"/>
          <w:b/>
          <w:bCs/>
          <w:color w:val="000000"/>
          <w:kern w:val="0"/>
          <w:sz w:val="28"/>
          <w:szCs w:val="28"/>
          <w:lang w:val="en-IN" w:eastAsia="en-IN"/>
          <w14:ligatures w14:val="none"/>
        </w:rPr>
        <w:t xml:space="preserve"> Q</w:t>
      </w:r>
      <w:r w:rsidRPr="00C53F2C">
        <w:rPr>
          <w:rFonts w:ascii="Times New Roman" w:eastAsia="Times New Roman" w:hAnsi="Times New Roman" w:cs="Times New Roman"/>
          <w:b/>
          <w:bCs/>
          <w:color w:val="000000"/>
          <w:kern w:val="0"/>
          <w:lang w:val="en-IN" w:eastAsia="en-IN"/>
          <w14:ligatures w14:val="none"/>
        </w:rPr>
        <w:t xml:space="preserve">UANTITATIVE </w:t>
      </w:r>
      <w:r w:rsidRPr="00C53F2C">
        <w:rPr>
          <w:rFonts w:ascii="Times New Roman" w:eastAsia="Times New Roman" w:hAnsi="Times New Roman" w:cs="Times New Roman"/>
          <w:b/>
          <w:bCs/>
          <w:color w:val="000000"/>
          <w:kern w:val="0"/>
          <w:sz w:val="28"/>
          <w:szCs w:val="28"/>
          <w:lang w:val="en-IN" w:eastAsia="en-IN"/>
          <w14:ligatures w14:val="none"/>
        </w:rPr>
        <w:t>T</w:t>
      </w:r>
      <w:r w:rsidRPr="00C53F2C">
        <w:rPr>
          <w:rFonts w:ascii="Times New Roman" w:eastAsia="Times New Roman" w:hAnsi="Times New Roman" w:cs="Times New Roman"/>
          <w:b/>
          <w:bCs/>
          <w:color w:val="000000"/>
          <w:kern w:val="0"/>
          <w:lang w:val="en-IN" w:eastAsia="en-IN"/>
          <w14:ligatures w14:val="none"/>
        </w:rPr>
        <w:t>OOLS</w:t>
      </w:r>
    </w:p>
    <w:p w14:paraId="389D79C5"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0C554F9D" w14:textId="71664E41"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In this regard, it is pertinent to note that the term 'tools', in the context of this report, follows a broad definition, wherein the assessment of progress towards inclusive growth and reduction of inequalities necessitates a comprehensive understanding of the multifaceted nature of development. Hence, in this context, tools refer not only to the </w:t>
      </w:r>
      <w:r w:rsidRPr="00C53F2C">
        <w:rPr>
          <w:rFonts w:ascii="Times New Roman" w:eastAsia="Times New Roman" w:hAnsi="Times New Roman" w:cs="Times New Roman"/>
          <w:i/>
          <w:iCs/>
          <w:color w:val="000000"/>
          <w:kern w:val="0"/>
          <w:sz w:val="24"/>
          <w:szCs w:val="24"/>
          <w:lang w:val="en-IN" w:eastAsia="en-IN"/>
          <w14:ligatures w14:val="none"/>
        </w:rPr>
        <w:t>quantitative measures</w:t>
      </w:r>
      <w:r w:rsidRPr="00C53F2C">
        <w:rPr>
          <w:rFonts w:ascii="Times New Roman" w:eastAsia="Times New Roman" w:hAnsi="Times New Roman" w:cs="Times New Roman"/>
          <w:color w:val="000000"/>
          <w:kern w:val="0"/>
          <w:sz w:val="24"/>
          <w:szCs w:val="24"/>
          <w:lang w:val="en-IN" w:eastAsia="en-IN"/>
          <w14:ligatures w14:val="none"/>
        </w:rPr>
        <w:t xml:space="preserve"> of human development but also </w:t>
      </w:r>
      <w:r w:rsidR="00670903">
        <w:rPr>
          <w:rFonts w:ascii="Times New Roman" w:eastAsia="Times New Roman" w:hAnsi="Times New Roman" w:cs="Times New Roman"/>
          <w:color w:val="000000"/>
          <w:kern w:val="0"/>
          <w:sz w:val="24"/>
          <w:szCs w:val="24"/>
          <w:lang w:val="en-IN" w:eastAsia="en-IN"/>
          <w14:ligatures w14:val="none"/>
        </w:rPr>
        <w:t xml:space="preserve">to </w:t>
      </w:r>
      <w:r w:rsidRPr="00C53F2C">
        <w:rPr>
          <w:rFonts w:ascii="Times New Roman" w:eastAsia="Times New Roman" w:hAnsi="Times New Roman" w:cs="Times New Roman"/>
          <w:color w:val="000000"/>
          <w:kern w:val="0"/>
          <w:sz w:val="24"/>
          <w:szCs w:val="24"/>
          <w:lang w:val="en-IN" w:eastAsia="en-IN"/>
          <w14:ligatures w14:val="none"/>
        </w:rPr>
        <w:t xml:space="preserve">policies and government schemes </w:t>
      </w:r>
      <w:r w:rsidR="00670903">
        <w:rPr>
          <w:rFonts w:ascii="Times New Roman" w:eastAsia="Times New Roman" w:hAnsi="Times New Roman" w:cs="Times New Roman"/>
          <w:color w:val="000000"/>
          <w:kern w:val="0"/>
          <w:sz w:val="24"/>
          <w:szCs w:val="24"/>
          <w:lang w:val="en-IN" w:eastAsia="en-IN"/>
          <w14:ligatures w14:val="none"/>
        </w:rPr>
        <w:t>mainly deemed qualitative</w:t>
      </w:r>
      <w:r w:rsidRPr="00C53F2C">
        <w:rPr>
          <w:rFonts w:ascii="Times New Roman" w:eastAsia="Times New Roman" w:hAnsi="Times New Roman" w:cs="Times New Roman"/>
          <w:color w:val="000000"/>
          <w:kern w:val="0"/>
          <w:sz w:val="24"/>
          <w:szCs w:val="24"/>
          <w:lang w:val="en-IN" w:eastAsia="en-IN"/>
          <w14:ligatures w14:val="none"/>
        </w:rPr>
        <w:t>. </w:t>
      </w:r>
    </w:p>
    <w:p w14:paraId="3FDBF3BB"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74222186" w14:textId="3E8ECEB3" w:rsidR="00C53F2C" w:rsidRDefault="00C53F2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Hence, in this regard, this paper adopts a broad definition of the term ‘tools’, encompassing both quantitative and qualitative measures adopted by a state </w:t>
      </w:r>
      <w:r w:rsidR="00670903">
        <w:rPr>
          <w:rFonts w:ascii="Times New Roman" w:eastAsia="Times New Roman" w:hAnsi="Times New Roman" w:cs="Times New Roman"/>
          <w:color w:val="000000"/>
          <w:kern w:val="0"/>
          <w:sz w:val="24"/>
          <w:szCs w:val="24"/>
          <w:lang w:val="en-IN" w:eastAsia="en-IN"/>
          <w14:ligatures w14:val="none"/>
        </w:rPr>
        <w:t>to achieve</w:t>
      </w:r>
      <w:r w:rsidRPr="00C53F2C">
        <w:rPr>
          <w:rFonts w:ascii="Times New Roman" w:eastAsia="Times New Roman" w:hAnsi="Times New Roman" w:cs="Times New Roman"/>
          <w:color w:val="000000"/>
          <w:kern w:val="0"/>
          <w:sz w:val="24"/>
          <w:szCs w:val="24"/>
          <w:lang w:val="en-IN" w:eastAsia="en-IN"/>
          <w14:ligatures w14:val="none"/>
        </w:rPr>
        <w:t xml:space="preserve"> income equality under SDG 10.1. </w:t>
      </w:r>
      <w:r w:rsidR="00670903">
        <w:rPr>
          <w:rFonts w:ascii="Times New Roman" w:eastAsia="Times New Roman" w:hAnsi="Times New Roman" w:cs="Times New Roman"/>
          <w:color w:val="000000"/>
          <w:kern w:val="0"/>
          <w:sz w:val="24"/>
          <w:szCs w:val="24"/>
          <w:lang w:val="en-IN" w:eastAsia="en-IN"/>
          <w14:ligatures w14:val="none"/>
        </w:rPr>
        <w:t>There</w:t>
      </w:r>
      <w:r w:rsidRPr="00C53F2C">
        <w:rPr>
          <w:rFonts w:ascii="Times New Roman" w:eastAsia="Times New Roman" w:hAnsi="Times New Roman" w:cs="Times New Roman"/>
          <w:color w:val="000000"/>
          <w:kern w:val="0"/>
          <w:sz w:val="24"/>
          <w:szCs w:val="24"/>
          <w:lang w:val="en-IN" w:eastAsia="en-IN"/>
          <w14:ligatures w14:val="none"/>
        </w:rPr>
        <w:t xml:space="preserve"> is a complementary relationship between quantitative and qualitative measures, with quantitative measures providing the numerical rationale or basis for </w:t>
      </w:r>
      <w:r w:rsidR="00670903">
        <w:rPr>
          <w:rFonts w:ascii="Times New Roman" w:eastAsia="Times New Roman" w:hAnsi="Times New Roman" w:cs="Times New Roman"/>
          <w:color w:val="000000"/>
          <w:kern w:val="0"/>
          <w:sz w:val="24"/>
          <w:szCs w:val="24"/>
          <w:lang w:val="en-IN" w:eastAsia="en-IN"/>
          <w14:ligatures w14:val="none"/>
        </w:rPr>
        <w:t>policymakers to engage with and design the necessary tools and social policies to address</w:t>
      </w:r>
      <w:r w:rsidRPr="00C53F2C">
        <w:rPr>
          <w:rFonts w:ascii="Times New Roman" w:eastAsia="Times New Roman" w:hAnsi="Times New Roman" w:cs="Times New Roman"/>
          <w:color w:val="000000"/>
          <w:kern w:val="0"/>
          <w:sz w:val="24"/>
          <w:szCs w:val="24"/>
          <w:lang w:val="en-IN" w:eastAsia="en-IN"/>
          <w14:ligatures w14:val="none"/>
        </w:rPr>
        <w:t xml:space="preserve"> income inequality. For example, the </w:t>
      </w:r>
      <w:hyperlink r:id="rId24" w:history="1">
        <w:r w:rsidRPr="00C53F2C">
          <w:rPr>
            <w:rFonts w:ascii="Times New Roman" w:eastAsia="Times New Roman" w:hAnsi="Times New Roman" w:cs="Times New Roman"/>
            <w:color w:val="1155CC"/>
            <w:kern w:val="0"/>
            <w:sz w:val="24"/>
            <w:szCs w:val="24"/>
            <w:u w:val="single"/>
            <w:lang w:val="en-IN" w:eastAsia="en-IN"/>
            <w14:ligatures w14:val="none"/>
          </w:rPr>
          <w:t>Gini coefficient</w:t>
        </w:r>
      </w:hyperlink>
      <w:r w:rsidRPr="00C53F2C">
        <w:rPr>
          <w:rFonts w:ascii="Times New Roman" w:eastAsia="Times New Roman" w:hAnsi="Times New Roman" w:cs="Times New Roman"/>
          <w:color w:val="000000"/>
          <w:kern w:val="0"/>
          <w:sz w:val="24"/>
          <w:szCs w:val="24"/>
          <w:lang w:val="en-IN" w:eastAsia="en-IN"/>
          <w14:ligatures w14:val="none"/>
        </w:rPr>
        <w:t xml:space="preserve"> or the Gini index is a statistical measure of economic inequality in a population. </w:t>
      </w:r>
      <w:r w:rsidR="00670903">
        <w:rPr>
          <w:rFonts w:ascii="Times New Roman" w:eastAsia="Times New Roman" w:hAnsi="Times New Roman" w:cs="Times New Roman"/>
          <w:color w:val="000000"/>
          <w:kern w:val="0"/>
          <w:sz w:val="24"/>
          <w:szCs w:val="24"/>
          <w:lang w:val="en-IN" w:eastAsia="en-IN"/>
          <w14:ligatures w14:val="none"/>
        </w:rPr>
        <w:t>Governments widely use it as a quantitative measure,</w:t>
      </w:r>
      <w:r w:rsidRPr="00C53F2C">
        <w:rPr>
          <w:rFonts w:ascii="Times New Roman" w:eastAsia="Times New Roman" w:hAnsi="Times New Roman" w:cs="Times New Roman"/>
          <w:color w:val="000000"/>
          <w:kern w:val="0"/>
          <w:sz w:val="24"/>
          <w:szCs w:val="24"/>
          <w:lang w:val="en-IN" w:eastAsia="en-IN"/>
          <w14:ligatures w14:val="none"/>
        </w:rPr>
        <w:t xml:space="preserve"> and international </w:t>
      </w:r>
      <w:r w:rsidR="00670903">
        <w:rPr>
          <w:rFonts w:ascii="Times New Roman" w:eastAsia="Times New Roman" w:hAnsi="Times New Roman" w:cs="Times New Roman"/>
          <w:color w:val="000000"/>
          <w:kern w:val="0"/>
          <w:sz w:val="24"/>
          <w:szCs w:val="24"/>
          <w:lang w:val="en-IN" w:eastAsia="en-IN"/>
          <w14:ligatures w14:val="none"/>
        </w:rPr>
        <w:t>organisations</w:t>
      </w:r>
      <w:r w:rsidRPr="00C53F2C">
        <w:rPr>
          <w:rFonts w:ascii="Times New Roman" w:eastAsia="Times New Roman" w:hAnsi="Times New Roman" w:cs="Times New Roman"/>
          <w:color w:val="000000"/>
          <w:kern w:val="0"/>
          <w:sz w:val="24"/>
          <w:szCs w:val="24"/>
          <w:lang w:val="en-IN" w:eastAsia="en-IN"/>
          <w14:ligatures w14:val="none"/>
        </w:rPr>
        <w:t xml:space="preserve"> often use this tool to assess </w:t>
      </w:r>
      <w:r w:rsidR="00670903">
        <w:rPr>
          <w:rFonts w:ascii="Times New Roman" w:eastAsia="Times New Roman" w:hAnsi="Times New Roman" w:cs="Times New Roman"/>
          <w:color w:val="000000"/>
          <w:kern w:val="0"/>
          <w:sz w:val="24"/>
          <w:szCs w:val="24"/>
          <w:lang w:val="en-IN" w:eastAsia="en-IN"/>
          <w14:ligatures w14:val="none"/>
        </w:rPr>
        <w:t>income distribution</w:t>
      </w:r>
      <w:r w:rsidRPr="00C53F2C">
        <w:rPr>
          <w:rFonts w:ascii="Times New Roman" w:eastAsia="Times New Roman" w:hAnsi="Times New Roman" w:cs="Times New Roman"/>
          <w:color w:val="000000"/>
          <w:kern w:val="0"/>
          <w:sz w:val="24"/>
          <w:szCs w:val="24"/>
          <w:lang w:val="en-IN" w:eastAsia="en-IN"/>
          <w14:ligatures w14:val="none"/>
        </w:rPr>
        <w:t xml:space="preserve"> within a population over time. A decreasing Gini coefficient indicates progress in reducing inequalities. </w:t>
      </w:r>
    </w:p>
    <w:p w14:paraId="5A578A64" w14:textId="77777777" w:rsidR="00C53F2C" w:rsidRDefault="00C53F2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031E8B9D" w14:textId="048F6A60" w:rsidR="00C53F2C" w:rsidRPr="00C53F2C" w:rsidRDefault="00C53F2C" w:rsidP="005303D5">
      <w:pPr>
        <w:pStyle w:val="ListParagraph"/>
        <w:numPr>
          <w:ilvl w:val="0"/>
          <w:numId w:val="7"/>
        </w:num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b/>
          <w:bCs/>
          <w:color w:val="000000"/>
          <w:kern w:val="0"/>
          <w:sz w:val="28"/>
          <w:szCs w:val="28"/>
          <w:lang w:val="en-IN" w:eastAsia="en-IN"/>
          <w14:ligatures w14:val="none"/>
        </w:rPr>
        <w:t>T</w:t>
      </w:r>
      <w:r w:rsidRPr="00C53F2C">
        <w:rPr>
          <w:rFonts w:ascii="Times New Roman" w:eastAsia="Times New Roman" w:hAnsi="Times New Roman" w:cs="Times New Roman"/>
          <w:b/>
          <w:bCs/>
          <w:color w:val="000000"/>
          <w:kern w:val="0"/>
          <w:sz w:val="24"/>
          <w:szCs w:val="24"/>
          <w:lang w:val="en-IN" w:eastAsia="en-IN"/>
          <w14:ligatures w14:val="none"/>
        </w:rPr>
        <w:t>HE</w:t>
      </w:r>
      <w:r w:rsidRPr="00C53F2C">
        <w:rPr>
          <w:rFonts w:ascii="Times New Roman" w:eastAsia="Times New Roman" w:hAnsi="Times New Roman" w:cs="Times New Roman"/>
          <w:b/>
          <w:bCs/>
          <w:color w:val="000000"/>
          <w:kern w:val="0"/>
          <w:sz w:val="28"/>
          <w:szCs w:val="28"/>
          <w:lang w:val="en-IN" w:eastAsia="en-IN"/>
          <w14:ligatures w14:val="none"/>
        </w:rPr>
        <w:t xml:space="preserve"> J</w:t>
      </w:r>
      <w:r w:rsidRPr="00C53F2C">
        <w:rPr>
          <w:rFonts w:ascii="Times New Roman" w:eastAsia="Times New Roman" w:hAnsi="Times New Roman" w:cs="Times New Roman"/>
          <w:b/>
          <w:bCs/>
          <w:color w:val="000000"/>
          <w:kern w:val="0"/>
          <w:lang w:val="en-IN" w:eastAsia="en-IN"/>
          <w14:ligatures w14:val="none"/>
        </w:rPr>
        <w:t>AN</w:t>
      </w:r>
      <w:r w:rsidRPr="00C53F2C">
        <w:rPr>
          <w:rFonts w:ascii="Times New Roman" w:eastAsia="Times New Roman" w:hAnsi="Times New Roman" w:cs="Times New Roman"/>
          <w:b/>
          <w:bCs/>
          <w:color w:val="000000"/>
          <w:kern w:val="0"/>
          <w:sz w:val="28"/>
          <w:szCs w:val="28"/>
          <w:lang w:val="en-IN" w:eastAsia="en-IN"/>
          <w14:ligatures w14:val="none"/>
        </w:rPr>
        <w:t xml:space="preserve"> D</w:t>
      </w:r>
      <w:r w:rsidRPr="00C53F2C">
        <w:rPr>
          <w:rFonts w:ascii="Times New Roman" w:eastAsia="Times New Roman" w:hAnsi="Times New Roman" w:cs="Times New Roman"/>
          <w:b/>
          <w:bCs/>
          <w:color w:val="000000"/>
          <w:kern w:val="0"/>
          <w:lang w:val="en-IN" w:eastAsia="en-IN"/>
          <w14:ligatures w14:val="none"/>
        </w:rPr>
        <w:t>HAR</w:t>
      </w:r>
      <w:r w:rsidRPr="00C53F2C">
        <w:rPr>
          <w:rFonts w:ascii="Times New Roman" w:eastAsia="Times New Roman" w:hAnsi="Times New Roman" w:cs="Times New Roman"/>
          <w:b/>
          <w:bCs/>
          <w:color w:val="000000"/>
          <w:kern w:val="0"/>
          <w:sz w:val="28"/>
          <w:szCs w:val="28"/>
          <w:lang w:val="en-IN" w:eastAsia="en-IN"/>
          <w14:ligatures w14:val="none"/>
        </w:rPr>
        <w:t xml:space="preserve"> A</w:t>
      </w:r>
      <w:r w:rsidRPr="00C53F2C">
        <w:rPr>
          <w:rFonts w:ascii="Times New Roman" w:eastAsia="Times New Roman" w:hAnsi="Times New Roman" w:cs="Times New Roman"/>
          <w:b/>
          <w:bCs/>
          <w:color w:val="000000"/>
          <w:kern w:val="0"/>
          <w:sz w:val="24"/>
          <w:szCs w:val="24"/>
          <w:lang w:val="en-IN" w:eastAsia="en-IN"/>
          <w14:ligatures w14:val="none"/>
        </w:rPr>
        <w:t>ADHAR</w:t>
      </w:r>
      <w:r w:rsidRPr="00C53F2C">
        <w:rPr>
          <w:rFonts w:ascii="Times New Roman" w:eastAsia="Times New Roman" w:hAnsi="Times New Roman" w:cs="Times New Roman"/>
          <w:b/>
          <w:bCs/>
          <w:color w:val="000000"/>
          <w:kern w:val="0"/>
          <w:sz w:val="28"/>
          <w:szCs w:val="28"/>
          <w:lang w:val="en-IN" w:eastAsia="en-IN"/>
          <w14:ligatures w14:val="none"/>
        </w:rPr>
        <w:t xml:space="preserve"> M</w:t>
      </w:r>
      <w:r w:rsidRPr="00C53F2C">
        <w:rPr>
          <w:rFonts w:ascii="Times New Roman" w:eastAsia="Times New Roman" w:hAnsi="Times New Roman" w:cs="Times New Roman"/>
          <w:b/>
          <w:bCs/>
          <w:color w:val="000000"/>
          <w:kern w:val="0"/>
          <w:lang w:val="en-IN" w:eastAsia="en-IN"/>
          <w14:ligatures w14:val="none"/>
        </w:rPr>
        <w:t>OBILE</w:t>
      </w:r>
      <w:r w:rsidRPr="00C53F2C">
        <w:rPr>
          <w:rFonts w:ascii="Times New Roman" w:eastAsia="Times New Roman" w:hAnsi="Times New Roman" w:cs="Times New Roman"/>
          <w:b/>
          <w:bCs/>
          <w:color w:val="000000"/>
          <w:kern w:val="0"/>
          <w:sz w:val="28"/>
          <w:szCs w:val="28"/>
          <w:lang w:val="en-IN" w:eastAsia="en-IN"/>
          <w14:ligatures w14:val="none"/>
        </w:rPr>
        <w:t xml:space="preserve"> (JAM) P</w:t>
      </w:r>
      <w:r w:rsidRPr="00C53F2C">
        <w:rPr>
          <w:rFonts w:ascii="Times New Roman" w:eastAsia="Times New Roman" w:hAnsi="Times New Roman" w:cs="Times New Roman"/>
          <w:b/>
          <w:bCs/>
          <w:color w:val="000000"/>
          <w:kern w:val="0"/>
          <w:lang w:val="en-IN" w:eastAsia="en-IN"/>
          <w14:ligatures w14:val="none"/>
        </w:rPr>
        <w:t>ROGRAMME</w:t>
      </w:r>
      <w:r w:rsidRPr="00C53F2C">
        <w:rPr>
          <w:rFonts w:ascii="Times New Roman" w:eastAsia="Times New Roman" w:hAnsi="Times New Roman" w:cs="Times New Roman"/>
          <w:b/>
          <w:bCs/>
          <w:color w:val="000000"/>
          <w:kern w:val="0"/>
          <w:sz w:val="28"/>
          <w:szCs w:val="28"/>
          <w:lang w:val="en-IN" w:eastAsia="en-IN"/>
          <w14:ligatures w14:val="none"/>
        </w:rPr>
        <w:t xml:space="preserve"> A</w:t>
      </w:r>
      <w:r w:rsidRPr="00C53F2C">
        <w:rPr>
          <w:rFonts w:ascii="Times New Roman" w:eastAsia="Times New Roman" w:hAnsi="Times New Roman" w:cs="Times New Roman"/>
          <w:b/>
          <w:bCs/>
          <w:color w:val="000000"/>
          <w:kern w:val="0"/>
          <w:sz w:val="26"/>
          <w:szCs w:val="26"/>
          <w:lang w:val="en-IN" w:eastAsia="en-IN"/>
          <w14:ligatures w14:val="none"/>
        </w:rPr>
        <w:t>S</w:t>
      </w:r>
      <w:r w:rsidRPr="00C53F2C">
        <w:rPr>
          <w:rFonts w:ascii="Times New Roman" w:eastAsia="Times New Roman" w:hAnsi="Times New Roman" w:cs="Times New Roman"/>
          <w:b/>
          <w:bCs/>
          <w:color w:val="000000"/>
          <w:kern w:val="0"/>
          <w:sz w:val="28"/>
          <w:szCs w:val="28"/>
          <w:lang w:val="en-IN" w:eastAsia="en-IN"/>
          <w14:ligatures w14:val="none"/>
        </w:rPr>
        <w:t xml:space="preserve"> A</w:t>
      </w:r>
      <w:r w:rsidRPr="00C53F2C">
        <w:rPr>
          <w:rFonts w:ascii="Times New Roman" w:eastAsia="Times New Roman" w:hAnsi="Times New Roman" w:cs="Times New Roman"/>
          <w:b/>
          <w:bCs/>
          <w:color w:val="000000"/>
          <w:kern w:val="0"/>
          <w:sz w:val="24"/>
          <w:szCs w:val="24"/>
          <w:lang w:val="en-IN" w:eastAsia="en-IN"/>
          <w14:ligatures w14:val="none"/>
        </w:rPr>
        <w:t>N</w:t>
      </w:r>
      <w:r w:rsidRPr="00C53F2C">
        <w:rPr>
          <w:rFonts w:ascii="Times New Roman" w:eastAsia="Times New Roman" w:hAnsi="Times New Roman" w:cs="Times New Roman"/>
          <w:b/>
          <w:bCs/>
          <w:color w:val="000000"/>
          <w:kern w:val="0"/>
          <w:sz w:val="28"/>
          <w:szCs w:val="28"/>
          <w:lang w:val="en-IN" w:eastAsia="en-IN"/>
          <w14:ligatures w14:val="none"/>
        </w:rPr>
        <w:t xml:space="preserve"> ‘O</w:t>
      </w:r>
      <w:r w:rsidRPr="00C53F2C">
        <w:rPr>
          <w:rFonts w:ascii="Times New Roman" w:eastAsia="Times New Roman" w:hAnsi="Times New Roman" w:cs="Times New Roman"/>
          <w:b/>
          <w:bCs/>
          <w:color w:val="000000"/>
          <w:kern w:val="0"/>
          <w:lang w:val="en-IN" w:eastAsia="en-IN"/>
          <w14:ligatures w14:val="none"/>
        </w:rPr>
        <w:t>THER</w:t>
      </w:r>
      <w:r w:rsidRPr="00C53F2C">
        <w:rPr>
          <w:rFonts w:ascii="Times New Roman" w:eastAsia="Times New Roman" w:hAnsi="Times New Roman" w:cs="Times New Roman"/>
          <w:b/>
          <w:bCs/>
          <w:color w:val="000000"/>
          <w:kern w:val="0"/>
          <w:sz w:val="28"/>
          <w:szCs w:val="28"/>
          <w:lang w:val="en-IN" w:eastAsia="en-IN"/>
          <w14:ligatures w14:val="none"/>
        </w:rPr>
        <w:t xml:space="preserve"> T</w:t>
      </w:r>
      <w:r w:rsidRPr="00C53F2C">
        <w:rPr>
          <w:rFonts w:ascii="Times New Roman" w:eastAsia="Times New Roman" w:hAnsi="Times New Roman" w:cs="Times New Roman"/>
          <w:b/>
          <w:bCs/>
          <w:color w:val="000000"/>
          <w:kern w:val="0"/>
          <w:lang w:val="en-IN" w:eastAsia="en-IN"/>
          <w14:ligatures w14:val="none"/>
        </w:rPr>
        <w:t>OOL</w:t>
      </w:r>
      <w:r w:rsidRPr="00C53F2C">
        <w:rPr>
          <w:rFonts w:ascii="Times New Roman" w:eastAsia="Times New Roman" w:hAnsi="Times New Roman" w:cs="Times New Roman"/>
          <w:b/>
          <w:bCs/>
          <w:color w:val="000000"/>
          <w:kern w:val="0"/>
          <w:sz w:val="28"/>
          <w:szCs w:val="28"/>
          <w:lang w:val="en-IN" w:eastAsia="en-IN"/>
          <w14:ligatures w14:val="none"/>
        </w:rPr>
        <w:t>’.</w:t>
      </w:r>
      <w:r w:rsidRPr="00C53F2C">
        <w:rPr>
          <w:rFonts w:ascii="Times New Roman" w:eastAsia="Times New Roman" w:hAnsi="Times New Roman" w:cs="Times New Roman"/>
          <w:color w:val="000000"/>
          <w:kern w:val="0"/>
          <w:sz w:val="24"/>
          <w:szCs w:val="24"/>
          <w:lang w:val="en-IN" w:eastAsia="en-IN"/>
          <w14:ligatures w14:val="none"/>
        </w:rPr>
        <w:t> </w:t>
      </w:r>
    </w:p>
    <w:p w14:paraId="45DEA74E"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09C527B2" w14:textId="62C8AE85"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For example, </w:t>
      </w:r>
      <w:hyperlink r:id="rId25" w:history="1">
        <w:r w:rsidRPr="00C53F2C">
          <w:rPr>
            <w:rFonts w:ascii="Times New Roman" w:eastAsia="Times New Roman" w:hAnsi="Times New Roman" w:cs="Times New Roman"/>
            <w:color w:val="1155CC"/>
            <w:kern w:val="0"/>
            <w:sz w:val="24"/>
            <w:szCs w:val="24"/>
            <w:u w:val="single"/>
            <w:lang w:val="en-IN" w:eastAsia="en-IN"/>
            <w14:ligatures w14:val="none"/>
          </w:rPr>
          <w:t>India's income inequality</w:t>
        </w:r>
      </w:hyperlink>
      <w:r w:rsidRPr="00C53F2C">
        <w:rPr>
          <w:rFonts w:ascii="Times New Roman" w:eastAsia="Times New Roman" w:hAnsi="Times New Roman" w:cs="Times New Roman"/>
          <w:color w:val="000000"/>
          <w:kern w:val="0"/>
          <w:sz w:val="24"/>
          <w:szCs w:val="24"/>
          <w:lang w:val="en-IN" w:eastAsia="en-IN"/>
          <w14:ligatures w14:val="none"/>
        </w:rPr>
        <w:t> Gini coefficient dropped from 36.8% in 2010 to 33.6% in 2015. The government of India is aligning its priorities with the Sustainable Development Goals of achieving greater equality and promoting the social, economic, and political inclusion of all by 2030 by focusing on the three-pronged Jan Dhan-Aadhaar-Mobile (JAM) program, which aims to empower the poor, empower the financially disadvantaged, and provide social security. </w:t>
      </w:r>
    </w:p>
    <w:p w14:paraId="6B907F4C"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21708A30" w14:textId="516A6FB8" w:rsidR="00C53F2C" w:rsidRDefault="00C53F2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The  </w:t>
      </w:r>
      <w:hyperlink r:id="rId26" w:history="1">
        <w:r w:rsidRPr="00C53F2C">
          <w:rPr>
            <w:rFonts w:ascii="Times New Roman" w:eastAsia="Times New Roman" w:hAnsi="Times New Roman" w:cs="Times New Roman"/>
            <w:color w:val="1155CC"/>
            <w:kern w:val="0"/>
            <w:sz w:val="24"/>
            <w:szCs w:val="24"/>
            <w:u w:val="single"/>
            <w:lang w:val="en-IN" w:eastAsia="en-IN"/>
            <w14:ligatures w14:val="none"/>
          </w:rPr>
          <w:t>Jan Dhan Aadhar Mobile (JAM)</w:t>
        </w:r>
      </w:hyperlink>
      <w:r w:rsidRPr="00C53F2C">
        <w:rPr>
          <w:rFonts w:ascii="Times New Roman" w:eastAsia="Times New Roman" w:hAnsi="Times New Roman" w:cs="Times New Roman"/>
          <w:color w:val="000000"/>
          <w:kern w:val="0"/>
          <w:sz w:val="24"/>
          <w:szCs w:val="24"/>
          <w:lang w:val="en-IN" w:eastAsia="en-IN"/>
          <w14:ligatures w14:val="none"/>
        </w:rPr>
        <w:t xml:space="preserve"> program is a government of India initiative that aims to deal with the leakage of government subsidies by linking the Jan Dhan accounts, Aadhar cards, and mobile numbers of Indian citizens. The JAM system combines the three </w:t>
      </w:r>
      <w:r w:rsidR="00670903">
        <w:rPr>
          <w:rFonts w:ascii="Times New Roman" w:eastAsia="Times New Roman" w:hAnsi="Times New Roman" w:cs="Times New Roman"/>
          <w:color w:val="000000"/>
          <w:kern w:val="0"/>
          <w:sz w:val="24"/>
          <w:szCs w:val="24"/>
          <w:lang w:val="en-IN" w:eastAsia="en-IN"/>
          <w14:ligatures w14:val="none"/>
        </w:rPr>
        <w:t>techniques above</w:t>
      </w:r>
      <w:r w:rsidRPr="00C53F2C">
        <w:rPr>
          <w:rFonts w:ascii="Times New Roman" w:eastAsia="Times New Roman" w:hAnsi="Times New Roman" w:cs="Times New Roman"/>
          <w:color w:val="000000"/>
          <w:kern w:val="0"/>
          <w:sz w:val="24"/>
          <w:szCs w:val="24"/>
          <w:lang w:val="en-IN" w:eastAsia="en-IN"/>
          <w14:ligatures w14:val="none"/>
        </w:rPr>
        <w:t xml:space="preserve"> to provide direct cash benefits to the bank accounts of the individuals selected as beneficiaries of the Government of India's DBT scheme. Hitherto, the implementation of the JAM program, the government's DBT system has operated at several levels, either through different complicated methods or in the form of separate subsidies. In addition to </w:t>
      </w:r>
      <w:r w:rsidR="00670903">
        <w:rPr>
          <w:rFonts w:ascii="Times New Roman" w:eastAsia="Times New Roman" w:hAnsi="Times New Roman" w:cs="Times New Roman"/>
          <w:color w:val="000000"/>
          <w:kern w:val="0"/>
          <w:sz w:val="24"/>
          <w:szCs w:val="24"/>
          <w:lang w:val="en-IN" w:eastAsia="en-IN"/>
          <w14:ligatures w14:val="none"/>
        </w:rPr>
        <w:t>hurting</w:t>
      </w:r>
      <w:r w:rsidRPr="00C53F2C">
        <w:rPr>
          <w:rFonts w:ascii="Times New Roman" w:eastAsia="Times New Roman" w:hAnsi="Times New Roman" w:cs="Times New Roman"/>
          <w:color w:val="000000"/>
          <w:kern w:val="0"/>
          <w:sz w:val="24"/>
          <w:szCs w:val="24"/>
          <w:lang w:val="en-IN" w:eastAsia="en-IN"/>
          <w14:ligatures w14:val="none"/>
        </w:rPr>
        <w:t xml:space="preserve"> the exchequer, this </w:t>
      </w:r>
      <w:r w:rsidR="00670903">
        <w:rPr>
          <w:rFonts w:ascii="Times New Roman" w:eastAsia="Times New Roman" w:hAnsi="Times New Roman" w:cs="Times New Roman"/>
          <w:color w:val="000000"/>
          <w:kern w:val="0"/>
          <w:sz w:val="24"/>
          <w:szCs w:val="24"/>
          <w:lang w:val="en-IN" w:eastAsia="en-IN"/>
          <w14:ligatures w14:val="none"/>
        </w:rPr>
        <w:t>benefit transfer method</w:t>
      </w:r>
      <w:r w:rsidRPr="00C53F2C">
        <w:rPr>
          <w:rFonts w:ascii="Times New Roman" w:eastAsia="Times New Roman" w:hAnsi="Times New Roman" w:cs="Times New Roman"/>
          <w:color w:val="000000"/>
          <w:kern w:val="0"/>
          <w:sz w:val="24"/>
          <w:szCs w:val="24"/>
          <w:lang w:val="en-IN" w:eastAsia="en-IN"/>
          <w14:ligatures w14:val="none"/>
        </w:rPr>
        <w:t xml:space="preserve"> did not ensure that the intended recipients received the benefits.  However, the implementation of the JAM program enables the deposit of funds directly into the beneficiaries' bank accounts, and it is estimated that due to the same, around 12.24 crore (122.4 million) people have been included under the social security cover of this scheme.</w:t>
      </w:r>
    </w:p>
    <w:p w14:paraId="28B2E1ED" w14:textId="77777777" w:rsidR="00F13370" w:rsidRDefault="00F13370"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07F611FE" w14:textId="373347BE" w:rsidR="00F13370" w:rsidRPr="00427BDE" w:rsidRDefault="00F13370" w:rsidP="00F13370">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 xml:space="preserve">The </w:t>
      </w:r>
      <w:hyperlink r:id="rId27" w:history="1">
        <w:r w:rsidRPr="00F13370">
          <w:rPr>
            <w:rStyle w:val="Hyperlink"/>
            <w:rFonts w:ascii="Times New Roman" w:eastAsia="Times New Roman" w:hAnsi="Times New Roman" w:cs="Times New Roman"/>
            <w:kern w:val="0"/>
            <w:sz w:val="24"/>
            <w:szCs w:val="24"/>
            <w:lang w:val="en-IN" w:eastAsia="en-IN"/>
            <w14:ligatures w14:val="none"/>
          </w:rPr>
          <w:t>National Family Health Survey (NFHS)</w:t>
        </w:r>
      </w:hyperlink>
      <w:r w:rsidRPr="00427BDE">
        <w:rPr>
          <w:rFonts w:ascii="Times New Roman" w:eastAsia="Times New Roman" w:hAnsi="Times New Roman" w:cs="Times New Roman"/>
          <w:color w:val="000000"/>
          <w:kern w:val="0"/>
          <w:sz w:val="24"/>
          <w:szCs w:val="24"/>
          <w:lang w:val="en-IN" w:eastAsia="en-IN"/>
          <w14:ligatures w14:val="none"/>
        </w:rPr>
        <w:t xml:space="preserve"> is a large-scale, multi-round survey conducted in a representative sample of households throughout India, which provides state and national information for India on fertility, infant and child mortality, the practice of family planning, maternal and child health, reproductive health, nutrition, anaemia, utilisation and quality of health and family planning services. NFHS has two specific goals:</w:t>
      </w:r>
    </w:p>
    <w:p w14:paraId="061CF3FA" w14:textId="77777777" w:rsidR="00F13370" w:rsidRPr="00427BDE" w:rsidRDefault="00F13370" w:rsidP="00F13370">
      <w:pPr>
        <w:spacing w:after="0" w:line="240" w:lineRule="auto"/>
        <w:jc w:val="both"/>
        <w:rPr>
          <w:rFonts w:ascii="Times New Roman" w:eastAsia="Times New Roman" w:hAnsi="Times New Roman" w:cs="Times New Roman"/>
          <w:kern w:val="0"/>
          <w:sz w:val="24"/>
          <w:szCs w:val="24"/>
          <w:lang w:val="en-IN" w:eastAsia="en-IN"/>
          <w14:ligatures w14:val="none"/>
        </w:rPr>
      </w:pPr>
    </w:p>
    <w:p w14:paraId="1FC861DD" w14:textId="77777777" w:rsidR="00F13370" w:rsidRPr="00427BDE" w:rsidRDefault="00F13370" w:rsidP="00F13370">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To provide essential data on health and family welfare needed by the Ministry of Health and Family Welfare and other agencies for policy and programme purposes;  </w:t>
      </w:r>
    </w:p>
    <w:p w14:paraId="655F1CEC" w14:textId="77777777" w:rsidR="00F13370" w:rsidRPr="00427BDE" w:rsidRDefault="00F13370" w:rsidP="00F13370">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To provide information on important emerging health and family welfare issues.</w:t>
      </w:r>
    </w:p>
    <w:p w14:paraId="0CE56813" w14:textId="77777777" w:rsidR="00F13370" w:rsidRPr="00427BDE" w:rsidRDefault="00F13370" w:rsidP="00F13370">
      <w:pPr>
        <w:spacing w:after="0" w:line="240" w:lineRule="auto"/>
        <w:jc w:val="both"/>
        <w:rPr>
          <w:rFonts w:ascii="Times New Roman" w:eastAsia="Times New Roman" w:hAnsi="Times New Roman" w:cs="Times New Roman"/>
          <w:kern w:val="0"/>
          <w:sz w:val="24"/>
          <w:szCs w:val="24"/>
          <w:lang w:val="en-IN" w:eastAsia="en-IN"/>
          <w14:ligatures w14:val="none"/>
        </w:rPr>
      </w:pPr>
    </w:p>
    <w:p w14:paraId="080175D6" w14:textId="52A113BB" w:rsidR="00F13370" w:rsidRDefault="00F13370"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The comprehensive scope of this survey has also brought numerous socio-economic inequalities to the fore. Studies have indicated that the extent of health inequalities is intensified when the increasing average income levels of the population coincide with a rise in income inequalities.</w:t>
      </w:r>
    </w:p>
    <w:p w14:paraId="1CF89843" w14:textId="77777777" w:rsidR="00F13370" w:rsidRDefault="00F13370"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2A724F80" w14:textId="6D3C9D02" w:rsidR="00B5404F" w:rsidRPr="00B5404F" w:rsidRDefault="00B5404F" w:rsidP="005303D5">
      <w:pPr>
        <w:spacing w:after="0" w:line="240" w:lineRule="auto"/>
        <w:jc w:val="both"/>
        <w:rPr>
          <w:rFonts w:ascii="Times New Roman" w:eastAsia="Times New Roman" w:hAnsi="Times New Roman" w:cs="Times New Roman"/>
          <w:b/>
          <w:bCs/>
          <w:kern w:val="0"/>
          <w:sz w:val="24"/>
          <w:szCs w:val="24"/>
          <w:lang w:val="en-IN" w:eastAsia="en-IN"/>
          <w14:ligatures w14:val="none"/>
        </w:rPr>
      </w:pPr>
      <w:r>
        <w:rPr>
          <w:rFonts w:ascii="Times New Roman" w:eastAsia="Times New Roman" w:hAnsi="Times New Roman" w:cs="Times New Roman"/>
          <w:b/>
          <w:bCs/>
          <w:color w:val="000000"/>
          <w:kern w:val="0"/>
          <w:sz w:val="24"/>
          <w:szCs w:val="24"/>
          <w:lang w:val="en-IN" w:eastAsia="en-IN"/>
          <w14:ligatures w14:val="none"/>
        </w:rPr>
        <w:t>JAM</w:t>
      </w:r>
      <w:r w:rsidR="00F13370">
        <w:rPr>
          <w:rFonts w:ascii="Times New Roman" w:eastAsia="Times New Roman" w:hAnsi="Times New Roman" w:cs="Times New Roman"/>
          <w:b/>
          <w:bCs/>
          <w:color w:val="000000"/>
          <w:kern w:val="0"/>
          <w:sz w:val="24"/>
          <w:szCs w:val="24"/>
          <w:lang w:val="en-IN" w:eastAsia="en-IN"/>
          <w14:ligatures w14:val="none"/>
        </w:rPr>
        <w:t xml:space="preserve"> and NFHS</w:t>
      </w:r>
      <w:r>
        <w:rPr>
          <w:rFonts w:ascii="Times New Roman" w:eastAsia="Times New Roman" w:hAnsi="Times New Roman" w:cs="Times New Roman"/>
          <w:b/>
          <w:bCs/>
          <w:color w:val="000000"/>
          <w:kern w:val="0"/>
          <w:sz w:val="24"/>
          <w:szCs w:val="24"/>
          <w:lang w:val="en-IN" w:eastAsia="en-IN"/>
          <w14:ligatures w14:val="none"/>
        </w:rPr>
        <w:t>: Challenges</w:t>
      </w:r>
    </w:p>
    <w:p w14:paraId="75720569" w14:textId="77777777" w:rsidR="00C53F2C" w:rsidRPr="00C53F2C"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70077E00" w14:textId="7F28D446" w:rsidR="00B5404F" w:rsidRDefault="00C53F2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sidRPr="00C53F2C">
        <w:rPr>
          <w:rFonts w:ascii="Times New Roman" w:eastAsia="Times New Roman" w:hAnsi="Times New Roman" w:cs="Times New Roman"/>
          <w:color w:val="000000"/>
          <w:kern w:val="0"/>
          <w:sz w:val="24"/>
          <w:szCs w:val="24"/>
          <w:lang w:val="en-IN" w:eastAsia="en-IN"/>
          <w14:ligatures w14:val="none"/>
        </w:rPr>
        <w:t xml:space="preserve">Though the number of </w:t>
      </w:r>
      <w:r w:rsidR="00427BDE" w:rsidRPr="00C53F2C">
        <w:rPr>
          <w:rFonts w:ascii="Times New Roman" w:eastAsia="Times New Roman" w:hAnsi="Times New Roman" w:cs="Times New Roman"/>
          <w:color w:val="000000"/>
          <w:kern w:val="0"/>
          <w:sz w:val="24"/>
          <w:szCs w:val="24"/>
          <w:lang w:val="en-IN" w:eastAsia="en-IN"/>
          <w14:ligatures w14:val="none"/>
        </w:rPr>
        <w:t>enrolments</w:t>
      </w:r>
      <w:r w:rsidRPr="00C53F2C">
        <w:rPr>
          <w:rFonts w:ascii="Times New Roman" w:eastAsia="Times New Roman" w:hAnsi="Times New Roman" w:cs="Times New Roman"/>
          <w:color w:val="000000"/>
          <w:kern w:val="0"/>
          <w:sz w:val="24"/>
          <w:szCs w:val="24"/>
          <w:lang w:val="en-IN" w:eastAsia="en-IN"/>
          <w14:ligatures w14:val="none"/>
        </w:rPr>
        <w:t xml:space="preserve"> under the JAM programme is encouraging, with about 12.24 crore (122.4 million) people under the social security coverage of the scheme, it is also pertinent to note that the Pradhan Mantri Jan Dhan </w:t>
      </w:r>
      <w:r w:rsidR="00670903">
        <w:rPr>
          <w:rFonts w:ascii="Times New Roman" w:eastAsia="Times New Roman" w:hAnsi="Times New Roman" w:cs="Times New Roman"/>
          <w:color w:val="000000"/>
          <w:kern w:val="0"/>
          <w:sz w:val="24"/>
          <w:szCs w:val="24"/>
          <w:lang w:val="en-IN" w:eastAsia="en-IN"/>
          <w14:ligatures w14:val="none"/>
        </w:rPr>
        <w:t>Yojana</w:t>
      </w:r>
      <w:r w:rsidRPr="00C53F2C">
        <w:rPr>
          <w:rFonts w:ascii="Times New Roman" w:eastAsia="Times New Roman" w:hAnsi="Times New Roman" w:cs="Times New Roman"/>
          <w:color w:val="000000"/>
          <w:kern w:val="0"/>
          <w:sz w:val="24"/>
          <w:szCs w:val="24"/>
          <w:lang w:val="en-IN" w:eastAsia="en-IN"/>
          <w14:ligatures w14:val="none"/>
        </w:rPr>
        <w:t xml:space="preserve"> (PMJDY) has also been remarked for its limitations. According to Singh et al. (2021), the </w:t>
      </w:r>
      <w:hyperlink r:id="rId28" w:history="1">
        <w:r w:rsidRPr="00C53F2C">
          <w:rPr>
            <w:rFonts w:ascii="Times New Roman" w:eastAsia="Times New Roman" w:hAnsi="Times New Roman" w:cs="Times New Roman"/>
            <w:color w:val="1155CC"/>
            <w:kern w:val="0"/>
            <w:sz w:val="24"/>
            <w:szCs w:val="24"/>
            <w:u w:val="single"/>
            <w:lang w:val="en-IN" w:eastAsia="en-IN"/>
            <w14:ligatures w14:val="none"/>
          </w:rPr>
          <w:t>PMJDY scheme's failure</w:t>
        </w:r>
      </w:hyperlink>
      <w:r w:rsidRPr="00C53F2C">
        <w:rPr>
          <w:rFonts w:ascii="Times New Roman" w:eastAsia="Times New Roman" w:hAnsi="Times New Roman" w:cs="Times New Roman"/>
          <w:color w:val="000000"/>
          <w:kern w:val="0"/>
          <w:sz w:val="24"/>
          <w:szCs w:val="24"/>
          <w:lang w:val="en-IN" w:eastAsia="en-IN"/>
          <w14:ligatures w14:val="none"/>
        </w:rPr>
        <w:t xml:space="preserve"> can be attributed to two main factors: </w:t>
      </w:r>
      <w:hyperlink r:id="rId29" w:anchor=":~:text=Poor%20usage%20of%20financial%20services,activeness%20of%20accounts%20under%20PMJDY." w:history="1">
        <w:r w:rsidRPr="00C53F2C">
          <w:rPr>
            <w:rFonts w:ascii="Times New Roman" w:eastAsia="Times New Roman" w:hAnsi="Times New Roman" w:cs="Times New Roman"/>
            <w:color w:val="1155CC"/>
            <w:kern w:val="0"/>
            <w:sz w:val="24"/>
            <w:szCs w:val="24"/>
            <w:u w:val="single"/>
            <w:lang w:val="en-IN" w:eastAsia="en-IN"/>
            <w14:ligatures w14:val="none"/>
          </w:rPr>
          <w:t>low financial service usage and an increase in dormant accounts following its inception</w:t>
        </w:r>
      </w:hyperlink>
      <w:r w:rsidRPr="00C53F2C">
        <w:rPr>
          <w:rFonts w:ascii="Times New Roman" w:eastAsia="Times New Roman" w:hAnsi="Times New Roman" w:cs="Times New Roman"/>
          <w:color w:val="000000"/>
          <w:kern w:val="0"/>
          <w:sz w:val="24"/>
          <w:szCs w:val="24"/>
          <w:lang w:val="en-IN" w:eastAsia="en-IN"/>
          <w14:ligatures w14:val="none"/>
        </w:rPr>
        <w:t>. The degree of financial inclusion in the activity of accounts under PMJDY needs to be evaluated. Additionally, it is also noted that awareness and behavioural assessments are two micro-level metrics that can be used to assess the quality of financial inclusion.</w:t>
      </w:r>
    </w:p>
    <w:p w14:paraId="107B9E0A" w14:textId="77777777" w:rsidR="00B5404F" w:rsidRDefault="00B5404F"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1C35DD65" w14:textId="77777777" w:rsidR="002504E2" w:rsidRDefault="00F13370"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 xml:space="preserve">Research by S Dholakia reveals that there is opacity regarding the limits and modalities of the JAM and PM Jan Aarogya Yogna (PM-JAY) Scheme’s coverage. Additionally, our independent research reveals that two of the devices (namely – MFS 100 fingerprint sensor and MIS 100 Single Iris Scanner) used to record consumer data under all of the aforementioned schemes are </w:t>
      </w:r>
      <w:r w:rsidR="005E0FCC">
        <w:rPr>
          <w:rFonts w:ascii="Times New Roman" w:eastAsia="Times New Roman" w:hAnsi="Times New Roman" w:cs="Times New Roman"/>
          <w:color w:val="000000"/>
          <w:kern w:val="0"/>
          <w:sz w:val="24"/>
          <w:szCs w:val="24"/>
          <w:lang w:val="en-IN" w:eastAsia="en-IN"/>
          <w14:ligatures w14:val="none"/>
        </w:rPr>
        <w:t xml:space="preserve">almost entirely </w:t>
      </w:r>
      <w:r>
        <w:rPr>
          <w:rFonts w:ascii="Times New Roman" w:eastAsia="Times New Roman" w:hAnsi="Times New Roman" w:cs="Times New Roman"/>
          <w:color w:val="000000"/>
          <w:kern w:val="0"/>
          <w:sz w:val="24"/>
          <w:szCs w:val="24"/>
          <w:lang w:val="en-IN" w:eastAsia="en-IN"/>
          <w14:ligatures w14:val="none"/>
        </w:rPr>
        <w:t xml:space="preserve">manufactured by </w:t>
      </w:r>
      <w:hyperlink r:id="rId30" w:history="1">
        <w:r w:rsidRPr="00F13370">
          <w:rPr>
            <w:rStyle w:val="Hyperlink"/>
            <w:rFonts w:ascii="Times New Roman" w:eastAsia="Times New Roman" w:hAnsi="Times New Roman" w:cs="Times New Roman"/>
            <w:kern w:val="0"/>
            <w:sz w:val="24"/>
            <w:szCs w:val="24"/>
            <w:lang w:val="en-IN" w:eastAsia="en-IN"/>
            <w14:ligatures w14:val="none"/>
          </w:rPr>
          <w:t>Mantra Softech</w:t>
        </w:r>
      </w:hyperlink>
      <w:r>
        <w:rPr>
          <w:rFonts w:ascii="Times New Roman" w:eastAsia="Times New Roman" w:hAnsi="Times New Roman" w:cs="Times New Roman"/>
          <w:color w:val="000000"/>
          <w:kern w:val="0"/>
          <w:sz w:val="24"/>
          <w:szCs w:val="24"/>
          <w:lang w:val="en-IN" w:eastAsia="en-IN"/>
          <w14:ligatures w14:val="none"/>
        </w:rPr>
        <w:t xml:space="preserve"> and marketed by </w:t>
      </w:r>
      <w:hyperlink r:id="rId31" w:history="1">
        <w:r w:rsidRPr="005E0FCC">
          <w:rPr>
            <w:rStyle w:val="Hyperlink"/>
            <w:rFonts w:ascii="Times New Roman" w:eastAsia="Times New Roman" w:hAnsi="Times New Roman" w:cs="Times New Roman"/>
            <w:kern w:val="0"/>
            <w:sz w:val="24"/>
            <w:szCs w:val="24"/>
            <w:lang w:val="en-IN" w:eastAsia="en-IN"/>
            <w14:ligatures w14:val="none"/>
          </w:rPr>
          <w:t>Sharada Business Solutions</w:t>
        </w:r>
      </w:hyperlink>
      <w:r>
        <w:rPr>
          <w:rFonts w:ascii="Times New Roman" w:eastAsia="Times New Roman" w:hAnsi="Times New Roman" w:cs="Times New Roman"/>
          <w:color w:val="000000"/>
          <w:kern w:val="0"/>
          <w:sz w:val="24"/>
          <w:szCs w:val="24"/>
          <w:lang w:val="en-IN" w:eastAsia="en-IN"/>
          <w14:ligatures w14:val="none"/>
        </w:rPr>
        <w:t>, both of which are Gujarat-based companies</w:t>
      </w:r>
      <w:r w:rsidR="005E0FCC">
        <w:rPr>
          <w:rFonts w:ascii="Times New Roman" w:eastAsia="Times New Roman" w:hAnsi="Times New Roman" w:cs="Times New Roman"/>
          <w:color w:val="000000"/>
          <w:kern w:val="0"/>
          <w:sz w:val="24"/>
          <w:szCs w:val="24"/>
          <w:lang w:val="en-IN" w:eastAsia="en-IN"/>
          <w14:ligatures w14:val="none"/>
        </w:rPr>
        <w:t xml:space="preserve"> with possible links to GoI and BJP functionaries</w:t>
      </w:r>
      <w:r>
        <w:rPr>
          <w:rFonts w:ascii="Times New Roman" w:eastAsia="Times New Roman" w:hAnsi="Times New Roman" w:cs="Times New Roman"/>
          <w:color w:val="000000"/>
          <w:kern w:val="0"/>
          <w:sz w:val="24"/>
          <w:szCs w:val="24"/>
          <w:lang w:val="en-IN" w:eastAsia="en-IN"/>
          <w14:ligatures w14:val="none"/>
        </w:rPr>
        <w:t>.</w:t>
      </w:r>
      <w:r w:rsidR="005E0FCC">
        <w:rPr>
          <w:rFonts w:ascii="Times New Roman" w:eastAsia="Times New Roman" w:hAnsi="Times New Roman" w:cs="Times New Roman"/>
          <w:color w:val="000000"/>
          <w:kern w:val="0"/>
          <w:sz w:val="24"/>
          <w:szCs w:val="24"/>
          <w:lang w:val="en-IN" w:eastAsia="en-IN"/>
          <w14:ligatures w14:val="none"/>
        </w:rPr>
        <w:t xml:space="preserve"> </w:t>
      </w:r>
    </w:p>
    <w:p w14:paraId="664D24ED" w14:textId="77777777" w:rsidR="002504E2" w:rsidRDefault="002504E2"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3DAB7A7C" w14:textId="0A3F1946" w:rsidR="005E0FCC" w:rsidRDefault="005E0FC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 xml:space="preserve">Additionally, the GoI has awarded Persistent Systems Ltd, a company accused of links with operatives related to data-hacking app </w:t>
      </w:r>
      <w:r>
        <w:rPr>
          <w:rFonts w:ascii="Times New Roman" w:eastAsia="Times New Roman" w:hAnsi="Times New Roman" w:cs="Times New Roman"/>
          <w:i/>
          <w:iCs/>
          <w:color w:val="000000"/>
          <w:kern w:val="0"/>
          <w:sz w:val="24"/>
          <w:szCs w:val="24"/>
          <w:lang w:val="en-IN" w:eastAsia="en-IN"/>
          <w14:ligatures w14:val="none"/>
        </w:rPr>
        <w:t xml:space="preserve">Tek Fog </w:t>
      </w:r>
      <w:r>
        <w:rPr>
          <w:rFonts w:ascii="Times New Roman" w:eastAsia="Times New Roman" w:hAnsi="Times New Roman" w:cs="Times New Roman"/>
          <w:color w:val="000000"/>
          <w:kern w:val="0"/>
          <w:sz w:val="24"/>
          <w:szCs w:val="24"/>
          <w:lang w:val="en-IN" w:eastAsia="en-IN"/>
          <w14:ligatures w14:val="none"/>
        </w:rPr>
        <w:t xml:space="preserve">after </w:t>
      </w:r>
      <w:hyperlink r:id="rId32" w:history="1">
        <w:r w:rsidRPr="005E0FCC">
          <w:rPr>
            <w:rStyle w:val="Hyperlink"/>
            <w:rFonts w:ascii="Times New Roman" w:eastAsia="Times New Roman" w:hAnsi="Times New Roman" w:cs="Times New Roman"/>
            <w:kern w:val="0"/>
            <w:sz w:val="24"/>
            <w:szCs w:val="24"/>
            <w:lang w:val="en-IN" w:eastAsia="en-IN"/>
            <w14:ligatures w14:val="none"/>
          </w:rPr>
          <w:t>an investigative report by The Wire</w:t>
        </w:r>
      </w:hyperlink>
      <w:r>
        <w:rPr>
          <w:rFonts w:ascii="Times New Roman" w:eastAsia="Times New Roman" w:hAnsi="Times New Roman" w:cs="Times New Roman"/>
          <w:color w:val="000000"/>
          <w:kern w:val="0"/>
          <w:sz w:val="24"/>
          <w:szCs w:val="24"/>
          <w:lang w:val="en-IN" w:eastAsia="en-IN"/>
          <w14:ligatures w14:val="none"/>
        </w:rPr>
        <w:t xml:space="preserve">, a contract to store and manage health data across 10 Indian states. </w:t>
      </w:r>
      <w:r w:rsidR="002504E2">
        <w:rPr>
          <w:rFonts w:ascii="Times New Roman" w:eastAsia="Times New Roman" w:hAnsi="Times New Roman" w:cs="Times New Roman"/>
          <w:color w:val="000000"/>
          <w:kern w:val="0"/>
          <w:sz w:val="24"/>
          <w:szCs w:val="24"/>
          <w:lang w:val="en-IN" w:eastAsia="en-IN"/>
          <w14:ligatures w14:val="none"/>
        </w:rPr>
        <w:t xml:space="preserve">Unfortunately, this report has now been removed. However, it is also a well-known fact that the </w:t>
      </w:r>
      <w:hyperlink r:id="rId33" w:history="1">
        <w:r w:rsidR="002504E2" w:rsidRPr="002504E2">
          <w:rPr>
            <w:rStyle w:val="Hyperlink"/>
            <w:rFonts w:ascii="Times New Roman" w:eastAsia="Times New Roman" w:hAnsi="Times New Roman" w:cs="Times New Roman"/>
            <w:kern w:val="0"/>
            <w:sz w:val="24"/>
            <w:szCs w:val="24"/>
            <w:lang w:val="en-IN" w:eastAsia="en-IN"/>
            <w14:ligatures w14:val="none"/>
          </w:rPr>
          <w:t>GoI faces serious allegations of misusing law enforcement agencies,</w:t>
        </w:r>
      </w:hyperlink>
      <w:r w:rsidR="002504E2">
        <w:rPr>
          <w:rFonts w:ascii="Times New Roman" w:eastAsia="Times New Roman" w:hAnsi="Times New Roman" w:cs="Times New Roman"/>
          <w:color w:val="000000"/>
          <w:kern w:val="0"/>
          <w:sz w:val="24"/>
          <w:szCs w:val="24"/>
          <w:lang w:val="en-IN" w:eastAsia="en-IN"/>
          <w14:ligatures w14:val="none"/>
        </w:rPr>
        <w:t xml:space="preserve"> such as the Enforcement Directorate (ED), against journalists and opposition figures. Whether that is the case </w:t>
      </w:r>
      <w:hyperlink r:id="rId34" w:history="1">
        <w:r w:rsidR="002504E2" w:rsidRPr="002504E2">
          <w:rPr>
            <w:rStyle w:val="Hyperlink"/>
            <w:rFonts w:ascii="Times New Roman" w:eastAsia="Times New Roman" w:hAnsi="Times New Roman" w:cs="Times New Roman"/>
            <w:kern w:val="0"/>
            <w:sz w:val="24"/>
            <w:szCs w:val="24"/>
            <w:lang w:val="en-IN" w:eastAsia="en-IN"/>
            <w14:ligatures w14:val="none"/>
          </w:rPr>
          <w:t>here</w:t>
        </w:r>
      </w:hyperlink>
      <w:r w:rsidR="002504E2">
        <w:rPr>
          <w:rFonts w:ascii="Times New Roman" w:eastAsia="Times New Roman" w:hAnsi="Times New Roman" w:cs="Times New Roman"/>
          <w:color w:val="000000"/>
          <w:kern w:val="0"/>
          <w:sz w:val="24"/>
          <w:szCs w:val="24"/>
          <w:lang w:val="en-IN" w:eastAsia="en-IN"/>
          <w14:ligatures w14:val="none"/>
        </w:rPr>
        <w:t xml:space="preserve"> is unknown.</w:t>
      </w:r>
    </w:p>
    <w:p w14:paraId="0E3CB4C4" w14:textId="77777777" w:rsidR="005E0FCC" w:rsidRDefault="005E0FC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010515C5" w14:textId="0DE9A852" w:rsidR="005E0FCC" w:rsidRDefault="005E0FCC"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 xml:space="preserve">Additionally, the GoI </w:t>
      </w:r>
      <w:r w:rsidR="002504E2">
        <w:rPr>
          <w:rFonts w:ascii="Times New Roman" w:eastAsia="Times New Roman" w:hAnsi="Times New Roman" w:cs="Times New Roman"/>
          <w:color w:val="000000"/>
          <w:kern w:val="0"/>
          <w:sz w:val="24"/>
          <w:szCs w:val="24"/>
          <w:lang w:val="en-IN" w:eastAsia="en-IN"/>
          <w14:ligatures w14:val="none"/>
        </w:rPr>
        <w:t>cannot</w:t>
      </w:r>
      <w:r>
        <w:rPr>
          <w:rFonts w:ascii="Times New Roman" w:eastAsia="Times New Roman" w:hAnsi="Times New Roman" w:cs="Times New Roman"/>
          <w:color w:val="000000"/>
          <w:kern w:val="0"/>
          <w:sz w:val="24"/>
          <w:szCs w:val="24"/>
          <w:lang w:val="en-IN" w:eastAsia="en-IN"/>
          <w14:ligatures w14:val="none"/>
        </w:rPr>
        <w:t xml:space="preserve"> resolve the problems arising from Function Creep and the lack of Informed Consent, which are compounded by vague data regulations that bestow the GoI with sweeping powers.</w:t>
      </w:r>
    </w:p>
    <w:p w14:paraId="7EBA9132" w14:textId="77777777" w:rsidR="00F13370" w:rsidRDefault="00F13370"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52172F83" w14:textId="46C106D4" w:rsidR="00C53F2C" w:rsidRPr="00427BDE" w:rsidRDefault="00C53F2C" w:rsidP="005303D5">
      <w:pPr>
        <w:pStyle w:val="ListParagraph"/>
        <w:numPr>
          <w:ilvl w:val="0"/>
          <w:numId w:val="7"/>
        </w:num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u w:val="single"/>
          <w:lang w:val="en-IN" w:eastAsia="en-IN"/>
          <w14:ligatures w14:val="none"/>
        </w:rPr>
        <w:t>Measuring the Building Blocks of Inequalities in India</w:t>
      </w:r>
    </w:p>
    <w:p w14:paraId="5E869E50"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21034810" w14:textId="77AEB45A" w:rsidR="00C53F2C" w:rsidRDefault="00C53F2C" w:rsidP="00B5404F">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 xml:space="preserve">India has periodically implemented tools </w:t>
      </w:r>
      <w:r w:rsidR="00670903">
        <w:rPr>
          <w:rFonts w:ascii="Times New Roman" w:eastAsia="Times New Roman" w:hAnsi="Times New Roman" w:cs="Times New Roman"/>
          <w:color w:val="000000"/>
          <w:kern w:val="0"/>
          <w:sz w:val="24"/>
          <w:szCs w:val="24"/>
          <w:lang w:val="en-IN" w:eastAsia="en-IN"/>
          <w14:ligatures w14:val="none"/>
        </w:rPr>
        <w:t>that supplement the progress of SDG 10.1-oriented</w:t>
      </w:r>
      <w:r w:rsidRPr="00427BDE">
        <w:rPr>
          <w:rFonts w:ascii="Times New Roman" w:eastAsia="Times New Roman" w:hAnsi="Times New Roman" w:cs="Times New Roman"/>
          <w:color w:val="000000"/>
          <w:kern w:val="0"/>
          <w:sz w:val="24"/>
          <w:szCs w:val="24"/>
          <w:lang w:val="en-IN" w:eastAsia="en-IN"/>
          <w14:ligatures w14:val="none"/>
        </w:rPr>
        <w:t xml:space="preserve"> policy measures. The paper examines </w:t>
      </w:r>
      <w:r w:rsidR="00670903">
        <w:rPr>
          <w:rFonts w:ascii="Times New Roman" w:eastAsia="Times New Roman" w:hAnsi="Times New Roman" w:cs="Times New Roman"/>
          <w:color w:val="000000"/>
          <w:kern w:val="0"/>
          <w:sz w:val="24"/>
          <w:szCs w:val="24"/>
          <w:lang w:val="en-IN" w:eastAsia="en-IN"/>
          <w14:ligatures w14:val="none"/>
        </w:rPr>
        <w:t>tools</w:t>
      </w:r>
      <w:r w:rsidRPr="00427BDE">
        <w:rPr>
          <w:rFonts w:ascii="Times New Roman" w:eastAsia="Times New Roman" w:hAnsi="Times New Roman" w:cs="Times New Roman"/>
          <w:color w:val="000000"/>
          <w:kern w:val="0"/>
          <w:sz w:val="24"/>
          <w:szCs w:val="24"/>
          <w:lang w:val="en-IN" w:eastAsia="en-IN"/>
          <w14:ligatures w14:val="none"/>
        </w:rPr>
        <w:t xml:space="preserve"> primarily designed and implemented by the central government through which the success of its SDG 10.1 measures is assessed, either explicitly or implicitly.</w:t>
      </w:r>
    </w:p>
    <w:p w14:paraId="1FB8FB27" w14:textId="77777777" w:rsidR="00B5404F" w:rsidRPr="00427BDE" w:rsidRDefault="00B5404F" w:rsidP="00B5404F">
      <w:pPr>
        <w:spacing w:after="0" w:line="240" w:lineRule="auto"/>
        <w:jc w:val="both"/>
        <w:rPr>
          <w:rFonts w:ascii="Times New Roman" w:eastAsia="Times New Roman" w:hAnsi="Times New Roman" w:cs="Times New Roman"/>
          <w:kern w:val="0"/>
          <w:sz w:val="24"/>
          <w:szCs w:val="24"/>
          <w:lang w:val="en-IN" w:eastAsia="en-IN"/>
          <w14:ligatures w14:val="none"/>
        </w:rPr>
      </w:pPr>
    </w:p>
    <w:p w14:paraId="15F05ED0" w14:textId="55AB3AB6" w:rsidR="00C53F2C" w:rsidRPr="00427BDE" w:rsidRDefault="00C53F2C" w:rsidP="005303D5">
      <w:pPr>
        <w:pStyle w:val="ListParagraph"/>
        <w:numPr>
          <w:ilvl w:val="0"/>
          <w:numId w:val="8"/>
        </w:num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b/>
          <w:bCs/>
          <w:i/>
          <w:iCs/>
          <w:color w:val="000000"/>
          <w:kern w:val="0"/>
          <w:sz w:val="24"/>
          <w:szCs w:val="24"/>
          <w:lang w:val="en-IN" w:eastAsia="en-IN"/>
          <w14:ligatures w14:val="none"/>
        </w:rPr>
        <w:t>PLFS</w:t>
      </w:r>
    </w:p>
    <w:p w14:paraId="4172129A"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50406AE5" w14:textId="4C049162"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 xml:space="preserve">India enjoys a distinct advantage in the labour market due to the rapidly evolving age distribution of the population. However, an </w:t>
      </w:r>
      <w:r w:rsidR="00670903">
        <w:rPr>
          <w:rFonts w:ascii="Times New Roman" w:eastAsia="Times New Roman" w:hAnsi="Times New Roman" w:cs="Times New Roman"/>
          <w:color w:val="000000"/>
          <w:kern w:val="0"/>
          <w:sz w:val="24"/>
          <w:szCs w:val="24"/>
          <w:lang w:val="en-IN" w:eastAsia="en-IN"/>
          <w14:ligatures w14:val="none"/>
        </w:rPr>
        <w:t>upward trajectory of the labour economy does not guarantee that the growth in job and income opportunities would also be equal to that of the working-age population or higher than that</w:t>
      </w:r>
      <w:r w:rsidRPr="00427BDE">
        <w:rPr>
          <w:rFonts w:ascii="Times New Roman" w:eastAsia="Times New Roman" w:hAnsi="Times New Roman" w:cs="Times New Roman"/>
          <w:color w:val="000000"/>
          <w:kern w:val="0"/>
          <w:sz w:val="24"/>
          <w:szCs w:val="24"/>
          <w:lang w:val="en-IN" w:eastAsia="en-IN"/>
          <w14:ligatures w14:val="none"/>
        </w:rPr>
        <w:t xml:space="preserve"> after wiping out the backlog of unemployment. Coupled with India’s 83% unorganised sector, most of which goes undocumented and unsurveyed, tracking inequality through numbers might be the tip of the iceberg</w:t>
      </w:r>
      <w:r w:rsidR="00670903">
        <w:rPr>
          <w:rFonts w:ascii="Times New Roman" w:eastAsia="Times New Roman" w:hAnsi="Times New Roman" w:cs="Times New Roman"/>
          <w:color w:val="000000"/>
          <w:kern w:val="0"/>
          <w:sz w:val="24"/>
          <w:szCs w:val="24"/>
          <w:lang w:val="en-IN" w:eastAsia="en-IN"/>
          <w14:ligatures w14:val="none"/>
        </w:rPr>
        <w:t>. It might</w:t>
      </w:r>
      <w:r w:rsidRPr="00427BDE">
        <w:rPr>
          <w:rFonts w:ascii="Times New Roman" w:eastAsia="Times New Roman" w:hAnsi="Times New Roman" w:cs="Times New Roman"/>
          <w:color w:val="000000"/>
          <w:kern w:val="0"/>
          <w:sz w:val="24"/>
          <w:szCs w:val="24"/>
          <w:lang w:val="en-IN" w:eastAsia="en-IN"/>
          <w14:ligatures w14:val="none"/>
        </w:rPr>
        <w:t xml:space="preserve"> not adequately demonstrate the inequities within the labour market. </w:t>
      </w:r>
    </w:p>
    <w:p w14:paraId="5251C1EF"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2589D980" w14:textId="6D4CC3E8" w:rsidR="00C53F2C" w:rsidRPr="00427BDE" w:rsidRDefault="00670903" w:rsidP="005303D5">
      <w:pPr>
        <w:spacing w:after="0" w:line="240" w:lineRule="auto"/>
        <w:jc w:val="both"/>
        <w:rPr>
          <w:rFonts w:ascii="Times New Roman" w:eastAsia="Times New Roman" w:hAnsi="Times New Roman" w:cs="Times New Roman"/>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The</w:t>
      </w:r>
      <w:r w:rsidR="00C53F2C" w:rsidRPr="00427BDE">
        <w:rPr>
          <w:rFonts w:ascii="Times New Roman" w:eastAsia="Times New Roman" w:hAnsi="Times New Roman" w:cs="Times New Roman"/>
          <w:color w:val="000000"/>
          <w:kern w:val="0"/>
          <w:sz w:val="24"/>
          <w:szCs w:val="24"/>
          <w:lang w:val="en-IN" w:eastAsia="en-IN"/>
          <w14:ligatures w14:val="none"/>
        </w:rPr>
        <w:t xml:space="preserve"> Periodic Labour Force Survey (PLFS) is a crucial assessment tool developed by the government to document the inequality within the labour force. It is a quarterly survey launched and conducted by India’s National Sample Survey Office (NSSO). </w:t>
      </w:r>
      <w:r w:rsidR="00A20689" w:rsidRPr="00427BDE">
        <w:rPr>
          <w:rFonts w:ascii="Times New Roman" w:eastAsia="Times New Roman" w:hAnsi="Times New Roman" w:cs="Times New Roman"/>
          <w:color w:val="000000"/>
          <w:kern w:val="0"/>
          <w:sz w:val="24"/>
          <w:szCs w:val="24"/>
          <w:lang w:val="en-IN" w:eastAsia="en-IN"/>
          <w14:ligatures w14:val="none"/>
        </w:rPr>
        <w:t>Its</w:t>
      </w:r>
      <w:r w:rsidR="00C53F2C" w:rsidRPr="00427BDE">
        <w:rPr>
          <w:rFonts w:ascii="Times New Roman" w:eastAsia="Times New Roman" w:hAnsi="Times New Roman" w:cs="Times New Roman"/>
          <w:color w:val="000000"/>
          <w:kern w:val="0"/>
          <w:sz w:val="24"/>
          <w:szCs w:val="24"/>
          <w:lang w:val="en-IN" w:eastAsia="en-IN"/>
          <w14:ligatures w14:val="none"/>
        </w:rPr>
        <w:t xml:space="preserve"> objectives are twofold: </w:t>
      </w:r>
    </w:p>
    <w:p w14:paraId="3469B7A7"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kern w:val="0"/>
          <w:sz w:val="24"/>
          <w:szCs w:val="24"/>
          <w:lang w:val="en-IN" w:eastAsia="en-IN"/>
          <w14:ligatures w14:val="none"/>
        </w:rPr>
        <w:br/>
      </w:r>
    </w:p>
    <w:p w14:paraId="58198798" w14:textId="458BD557" w:rsidR="003818CA" w:rsidRPr="00427BDE" w:rsidRDefault="00C53F2C" w:rsidP="005303D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 xml:space="preserve">To estimate the </w:t>
      </w:r>
      <w:r w:rsidR="00670903">
        <w:rPr>
          <w:rFonts w:ascii="Times New Roman" w:eastAsia="Times New Roman" w:hAnsi="Times New Roman" w:cs="Times New Roman"/>
          <w:color w:val="000000"/>
          <w:kern w:val="0"/>
          <w:sz w:val="24"/>
          <w:szCs w:val="24"/>
          <w:lang w:val="en-IN" w:eastAsia="en-IN"/>
          <w14:ligatures w14:val="none"/>
        </w:rPr>
        <w:t>critical</w:t>
      </w:r>
      <w:r w:rsidRPr="00427BDE">
        <w:rPr>
          <w:rFonts w:ascii="Times New Roman" w:eastAsia="Times New Roman" w:hAnsi="Times New Roman" w:cs="Times New Roman"/>
          <w:color w:val="000000"/>
          <w:kern w:val="0"/>
          <w:sz w:val="24"/>
          <w:szCs w:val="24"/>
          <w:lang w:val="en-IN" w:eastAsia="en-IN"/>
          <w14:ligatures w14:val="none"/>
        </w:rPr>
        <w:t xml:space="preserve"> employment and unemployment indicators (viz. Worker Population Ratio, Labour Force Participation Rate, Unemployment Rate) in three months for the urban areas only in the ‘Current Weekly Status’ (CWS).</w:t>
      </w:r>
    </w:p>
    <w:p w14:paraId="18EDF050" w14:textId="2084444C" w:rsidR="00C53F2C" w:rsidRPr="00427BDE" w:rsidRDefault="00C53F2C" w:rsidP="005303D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To estimate employment and unemployment indicators in both ‘Usual Status’ (ps+ss) and CWS in rural and urban areas annually.</w:t>
      </w:r>
    </w:p>
    <w:p w14:paraId="7B28D91E"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4A6DC820" w14:textId="7249B491" w:rsidR="00C53F2C" w:rsidRDefault="00C53F2C" w:rsidP="002504E2">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 xml:space="preserve">PLFS covers </w:t>
      </w:r>
      <w:r w:rsidR="00670903">
        <w:rPr>
          <w:rFonts w:ascii="Times New Roman" w:eastAsia="Times New Roman" w:hAnsi="Times New Roman" w:cs="Times New Roman"/>
          <w:color w:val="000000"/>
          <w:kern w:val="0"/>
          <w:sz w:val="24"/>
          <w:szCs w:val="24"/>
          <w:lang w:val="en-IN" w:eastAsia="en-IN"/>
          <w14:ligatures w14:val="none"/>
        </w:rPr>
        <w:t>various</w:t>
      </w:r>
      <w:r w:rsidRPr="00427BDE">
        <w:rPr>
          <w:rFonts w:ascii="Times New Roman" w:eastAsia="Times New Roman" w:hAnsi="Times New Roman" w:cs="Times New Roman"/>
          <w:color w:val="000000"/>
          <w:kern w:val="0"/>
          <w:sz w:val="24"/>
          <w:szCs w:val="24"/>
          <w:lang w:val="en-IN" w:eastAsia="en-IN"/>
          <w14:ligatures w14:val="none"/>
        </w:rPr>
        <w:t xml:space="preserve"> labour market characteristics, including activity status, industries, and earnings. During this survey, sample households are interviewed </w:t>
      </w:r>
      <w:r w:rsidR="00670903">
        <w:rPr>
          <w:rFonts w:ascii="Times New Roman" w:eastAsia="Times New Roman" w:hAnsi="Times New Roman" w:cs="Times New Roman"/>
          <w:color w:val="000000"/>
          <w:kern w:val="0"/>
          <w:sz w:val="24"/>
          <w:szCs w:val="24"/>
          <w:lang w:val="en-IN" w:eastAsia="en-IN"/>
          <w14:ligatures w14:val="none"/>
        </w:rPr>
        <w:t>based on</w:t>
      </w:r>
      <w:r w:rsidRPr="00427BDE">
        <w:rPr>
          <w:rFonts w:ascii="Times New Roman" w:eastAsia="Times New Roman" w:hAnsi="Times New Roman" w:cs="Times New Roman"/>
          <w:color w:val="000000"/>
          <w:kern w:val="0"/>
          <w:sz w:val="24"/>
          <w:szCs w:val="24"/>
          <w:lang w:val="en-IN" w:eastAsia="en-IN"/>
          <w14:ligatures w14:val="none"/>
        </w:rPr>
        <w:t xml:space="preserve"> a random selection after due stratification of the households residing in the selected villages and urban blocks. </w:t>
      </w:r>
      <w:r w:rsidR="00670903">
        <w:rPr>
          <w:rFonts w:ascii="Times New Roman" w:eastAsia="Times New Roman" w:hAnsi="Times New Roman" w:cs="Times New Roman"/>
          <w:color w:val="000000"/>
          <w:kern w:val="0"/>
          <w:sz w:val="24"/>
          <w:szCs w:val="24"/>
          <w:lang w:val="en-IN" w:eastAsia="en-IN"/>
          <w14:ligatures w14:val="none"/>
        </w:rPr>
        <w:t xml:space="preserve">The IMF attempted an analysis using PLFS as a tool to cover inequality changes based on earned income per capita </w:t>
      </w:r>
      <w:r w:rsidRPr="00427BDE">
        <w:rPr>
          <w:rFonts w:ascii="Times New Roman" w:eastAsia="Times New Roman" w:hAnsi="Times New Roman" w:cs="Times New Roman"/>
          <w:color w:val="000000"/>
          <w:kern w:val="0"/>
          <w:sz w:val="24"/>
          <w:szCs w:val="24"/>
          <w:lang w:val="en-IN" w:eastAsia="en-IN"/>
          <w14:ligatures w14:val="none"/>
        </w:rPr>
        <w:t>in 2023.</w:t>
      </w:r>
    </w:p>
    <w:p w14:paraId="0F92166B" w14:textId="77777777" w:rsidR="002504E2" w:rsidRPr="00427BDE" w:rsidRDefault="002504E2" w:rsidP="002504E2">
      <w:pPr>
        <w:spacing w:after="0" w:line="240" w:lineRule="auto"/>
        <w:jc w:val="both"/>
        <w:rPr>
          <w:rFonts w:ascii="Times New Roman" w:eastAsia="Times New Roman" w:hAnsi="Times New Roman" w:cs="Times New Roman"/>
          <w:kern w:val="0"/>
          <w:sz w:val="24"/>
          <w:szCs w:val="24"/>
          <w:lang w:val="en-IN" w:eastAsia="en-IN"/>
          <w14:ligatures w14:val="none"/>
        </w:rPr>
      </w:pPr>
    </w:p>
    <w:p w14:paraId="70A34A17" w14:textId="441D74ED" w:rsidR="00C53F2C" w:rsidRPr="00427BDE" w:rsidRDefault="00C53F2C" w:rsidP="005303D5">
      <w:pPr>
        <w:pStyle w:val="ListParagraph"/>
        <w:numPr>
          <w:ilvl w:val="0"/>
          <w:numId w:val="8"/>
        </w:num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b/>
          <w:bCs/>
          <w:i/>
          <w:iCs/>
          <w:color w:val="000000"/>
          <w:kern w:val="0"/>
          <w:sz w:val="24"/>
          <w:szCs w:val="24"/>
          <w:lang w:val="en-IN" w:eastAsia="en-IN"/>
          <w14:ligatures w14:val="none"/>
        </w:rPr>
        <w:t>Monthly Per Capita Expenditure  </w:t>
      </w:r>
    </w:p>
    <w:p w14:paraId="435E45B9" w14:textId="77777777"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p>
    <w:p w14:paraId="38A29DA9" w14:textId="32C2DB20" w:rsidR="00C53F2C" w:rsidRPr="00427BDE" w:rsidRDefault="00C53F2C" w:rsidP="005303D5">
      <w:pPr>
        <w:spacing w:after="0" w:line="240" w:lineRule="auto"/>
        <w:jc w:val="both"/>
        <w:rPr>
          <w:rFonts w:ascii="Times New Roman" w:eastAsia="Times New Roman" w:hAnsi="Times New Roman" w:cs="Times New Roman"/>
          <w:kern w:val="0"/>
          <w:sz w:val="24"/>
          <w:szCs w:val="24"/>
          <w:lang w:val="en-IN" w:eastAsia="en-IN"/>
          <w14:ligatures w14:val="none"/>
        </w:rPr>
      </w:pPr>
      <w:r w:rsidRPr="00427BDE">
        <w:rPr>
          <w:rFonts w:ascii="Times New Roman" w:eastAsia="Times New Roman" w:hAnsi="Times New Roman" w:cs="Times New Roman"/>
          <w:color w:val="000000"/>
          <w:kern w:val="0"/>
          <w:sz w:val="24"/>
          <w:szCs w:val="24"/>
          <w:lang w:val="en-IN" w:eastAsia="en-IN"/>
          <w14:ligatures w14:val="none"/>
        </w:rPr>
        <w:t>In India, the NSSO periodically undertakes household consumer expenditure surveys</w:t>
      </w:r>
      <w:r w:rsidR="00670903">
        <w:rPr>
          <w:rFonts w:ascii="Times New Roman" w:eastAsia="Times New Roman" w:hAnsi="Times New Roman" w:cs="Times New Roman"/>
          <w:color w:val="000000"/>
          <w:kern w:val="0"/>
          <w:sz w:val="24"/>
          <w:szCs w:val="24"/>
          <w:lang w:val="en-IN" w:eastAsia="en-IN"/>
          <w14:ligatures w14:val="none"/>
        </w:rPr>
        <w:t xml:space="preserve">, which capture the Monthly Per Capita Expenditure (MPCE) based on the recall data of the </w:t>
      </w:r>
      <w:r w:rsidRPr="00427BDE">
        <w:rPr>
          <w:rFonts w:ascii="Times New Roman" w:eastAsia="Times New Roman" w:hAnsi="Times New Roman" w:cs="Times New Roman"/>
          <w:color w:val="000000"/>
          <w:kern w:val="0"/>
          <w:sz w:val="24"/>
          <w:szCs w:val="24"/>
          <w:lang w:val="en-IN" w:eastAsia="en-IN"/>
          <w14:ligatures w14:val="none"/>
        </w:rPr>
        <w:t xml:space="preserve">population. The MPCE data gives a broad idea </w:t>
      </w:r>
      <w:r w:rsidR="00670903">
        <w:rPr>
          <w:rFonts w:ascii="Times New Roman" w:eastAsia="Times New Roman" w:hAnsi="Times New Roman" w:cs="Times New Roman"/>
          <w:color w:val="000000"/>
          <w:kern w:val="0"/>
          <w:sz w:val="24"/>
          <w:szCs w:val="24"/>
          <w:lang w:val="en-IN" w:eastAsia="en-IN"/>
          <w14:ligatures w14:val="none"/>
        </w:rPr>
        <w:t>of</w:t>
      </w:r>
      <w:r w:rsidRPr="00427BDE">
        <w:rPr>
          <w:rFonts w:ascii="Times New Roman" w:eastAsia="Times New Roman" w:hAnsi="Times New Roman" w:cs="Times New Roman"/>
          <w:color w:val="000000"/>
          <w:kern w:val="0"/>
          <w:sz w:val="24"/>
          <w:szCs w:val="24"/>
          <w:lang w:val="en-IN" w:eastAsia="en-IN"/>
          <w14:ligatures w14:val="none"/>
        </w:rPr>
        <w:t xml:space="preserve"> consumption inequalities. It is argued that compared to income, consumption is a better parameter to analyse the status of bottom deciles, as it</w:t>
      </w:r>
      <w:r w:rsidR="00670903">
        <w:rPr>
          <w:rFonts w:ascii="Times New Roman" w:eastAsia="Times New Roman" w:hAnsi="Times New Roman" w:cs="Times New Roman"/>
          <w:color w:val="000000"/>
          <w:kern w:val="0"/>
          <w:sz w:val="24"/>
          <w:szCs w:val="24"/>
          <w:lang w:val="en-IN" w:eastAsia="en-IN"/>
          <w14:ligatures w14:val="none"/>
        </w:rPr>
        <w:t>,</w:t>
      </w:r>
      <w:r w:rsidRPr="00427BDE">
        <w:rPr>
          <w:rFonts w:ascii="Times New Roman" w:eastAsia="Times New Roman" w:hAnsi="Times New Roman" w:cs="Times New Roman"/>
          <w:color w:val="000000"/>
          <w:kern w:val="0"/>
          <w:sz w:val="24"/>
          <w:szCs w:val="24"/>
          <w:lang w:val="en-IN" w:eastAsia="en-IN"/>
          <w14:ligatures w14:val="none"/>
        </w:rPr>
        <w:t xml:space="preserve"> </w:t>
      </w:r>
      <w:r w:rsidR="00670903">
        <w:rPr>
          <w:rFonts w:ascii="Times New Roman" w:eastAsia="Times New Roman" w:hAnsi="Times New Roman" w:cs="Times New Roman"/>
          <w:color w:val="000000"/>
          <w:kern w:val="0"/>
          <w:sz w:val="24"/>
          <w:szCs w:val="24"/>
          <w:lang w:val="en-IN" w:eastAsia="en-IN"/>
          <w14:ligatures w14:val="none"/>
        </w:rPr>
        <w:t>among other things,</w:t>
      </w:r>
      <w:r w:rsidRPr="00427BDE">
        <w:rPr>
          <w:rFonts w:ascii="Times New Roman" w:eastAsia="Times New Roman" w:hAnsi="Times New Roman" w:cs="Times New Roman"/>
          <w:color w:val="000000"/>
          <w:kern w:val="0"/>
          <w:sz w:val="24"/>
          <w:szCs w:val="24"/>
          <w:lang w:val="en-IN" w:eastAsia="en-IN"/>
          <w14:ligatures w14:val="none"/>
        </w:rPr>
        <w:t xml:space="preserve"> includes transfer payments received as safety nets, pension schemes</w:t>
      </w:r>
      <w:r w:rsidR="00670903">
        <w:rPr>
          <w:rFonts w:ascii="Times New Roman" w:eastAsia="Times New Roman" w:hAnsi="Times New Roman" w:cs="Times New Roman"/>
          <w:color w:val="000000"/>
          <w:kern w:val="0"/>
          <w:sz w:val="24"/>
          <w:szCs w:val="24"/>
          <w:lang w:val="en-IN" w:eastAsia="en-IN"/>
          <w14:ligatures w14:val="none"/>
        </w:rPr>
        <w:t>,</w:t>
      </w:r>
      <w:r w:rsidRPr="00427BDE">
        <w:rPr>
          <w:rFonts w:ascii="Times New Roman" w:eastAsia="Times New Roman" w:hAnsi="Times New Roman" w:cs="Times New Roman"/>
          <w:color w:val="000000"/>
          <w:kern w:val="0"/>
          <w:sz w:val="24"/>
          <w:szCs w:val="24"/>
          <w:lang w:val="en-IN" w:eastAsia="en-IN"/>
          <w14:ligatures w14:val="none"/>
        </w:rPr>
        <w:t xml:space="preserve"> and differential of social assistance availed below market price, which </w:t>
      </w:r>
      <w:r w:rsidR="00670903">
        <w:rPr>
          <w:rFonts w:ascii="Times New Roman" w:eastAsia="Times New Roman" w:hAnsi="Times New Roman" w:cs="Times New Roman"/>
          <w:color w:val="000000"/>
          <w:kern w:val="0"/>
          <w:sz w:val="24"/>
          <w:szCs w:val="24"/>
          <w:lang w:val="en-IN" w:eastAsia="en-IN"/>
          <w14:ligatures w14:val="none"/>
        </w:rPr>
        <w:t>is</w:t>
      </w:r>
      <w:r w:rsidRPr="00427BDE">
        <w:rPr>
          <w:rFonts w:ascii="Times New Roman" w:eastAsia="Times New Roman" w:hAnsi="Times New Roman" w:cs="Times New Roman"/>
          <w:color w:val="000000"/>
          <w:kern w:val="0"/>
          <w:sz w:val="24"/>
          <w:szCs w:val="24"/>
          <w:lang w:val="en-IN" w:eastAsia="en-IN"/>
          <w14:ligatures w14:val="none"/>
        </w:rPr>
        <w:t xml:space="preserve"> funded by central government and topped up by the states/ UTs.</w:t>
      </w:r>
    </w:p>
    <w:p w14:paraId="427C1182" w14:textId="77777777" w:rsidR="00B5404F" w:rsidRDefault="00B5404F" w:rsidP="005303D5">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p>
    <w:p w14:paraId="744B5C30" w14:textId="5E28135F" w:rsidR="00427BDE" w:rsidRDefault="00427BDE" w:rsidP="005303D5">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r>
        <w:rPr>
          <w:rFonts w:ascii="Times New Roman" w:eastAsia="Times New Roman" w:hAnsi="Times New Roman" w:cs="Times New Roman"/>
          <w:b/>
          <w:bCs/>
          <w:color w:val="000000"/>
          <w:kern w:val="0"/>
          <w:sz w:val="24"/>
          <w:szCs w:val="24"/>
          <w:lang w:val="en-IN" w:eastAsia="en-IN"/>
          <w14:ligatures w14:val="none"/>
        </w:rPr>
        <w:t xml:space="preserve">Conclusion: </w:t>
      </w:r>
    </w:p>
    <w:p w14:paraId="4E299D5F" w14:textId="77777777" w:rsidR="00427BDE" w:rsidRDefault="00427BDE" w:rsidP="005303D5">
      <w:pPr>
        <w:spacing w:after="0" w:line="240" w:lineRule="auto"/>
        <w:jc w:val="both"/>
        <w:rPr>
          <w:rFonts w:ascii="Times New Roman" w:eastAsia="Times New Roman" w:hAnsi="Times New Roman" w:cs="Times New Roman"/>
          <w:b/>
          <w:bCs/>
          <w:color w:val="000000"/>
          <w:kern w:val="0"/>
          <w:sz w:val="24"/>
          <w:szCs w:val="24"/>
          <w:lang w:val="en-IN" w:eastAsia="en-IN"/>
          <w14:ligatures w14:val="none"/>
        </w:rPr>
      </w:pPr>
    </w:p>
    <w:p w14:paraId="3B5D2F20" w14:textId="5DBC5D9F" w:rsidR="00B5404F" w:rsidRDefault="00A20689"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 xml:space="preserve">Towards the end, as we understand the nuances and analyse the data provided above, we find that the question concerning the policies </w:t>
      </w:r>
      <w:r w:rsidR="00670903">
        <w:rPr>
          <w:rFonts w:ascii="Times New Roman" w:eastAsia="Times New Roman" w:hAnsi="Times New Roman" w:cs="Times New Roman"/>
          <w:color w:val="000000"/>
          <w:kern w:val="0"/>
          <w:sz w:val="24"/>
          <w:szCs w:val="24"/>
          <w:lang w:val="en-IN" w:eastAsia="en-IN"/>
          <w14:ligatures w14:val="none"/>
        </w:rPr>
        <w:t>about</w:t>
      </w:r>
      <w:r>
        <w:rPr>
          <w:rFonts w:ascii="Times New Roman" w:eastAsia="Times New Roman" w:hAnsi="Times New Roman" w:cs="Times New Roman"/>
          <w:color w:val="000000"/>
          <w:kern w:val="0"/>
          <w:sz w:val="24"/>
          <w:szCs w:val="24"/>
          <w:lang w:val="en-IN" w:eastAsia="en-IN"/>
          <w14:ligatures w14:val="none"/>
        </w:rPr>
        <w:t xml:space="preserve"> the socio-economic development of the bottom 40% </w:t>
      </w:r>
      <w:r w:rsidR="00670903">
        <w:rPr>
          <w:rFonts w:ascii="Times New Roman" w:eastAsia="Times New Roman" w:hAnsi="Times New Roman" w:cs="Times New Roman"/>
          <w:color w:val="000000"/>
          <w:kern w:val="0"/>
          <w:sz w:val="24"/>
          <w:szCs w:val="24"/>
          <w:lang w:val="en-IN" w:eastAsia="en-IN"/>
          <w14:ligatures w14:val="none"/>
        </w:rPr>
        <w:t>of the population of the country has had</w:t>
      </w:r>
      <w:r>
        <w:rPr>
          <w:rFonts w:ascii="Times New Roman" w:eastAsia="Times New Roman" w:hAnsi="Times New Roman" w:cs="Times New Roman"/>
          <w:color w:val="000000"/>
          <w:kern w:val="0"/>
          <w:sz w:val="24"/>
          <w:szCs w:val="24"/>
          <w:lang w:val="en-IN" w:eastAsia="en-IN"/>
          <w14:ligatures w14:val="none"/>
        </w:rPr>
        <w:t xml:space="preserve"> somewhat of a mixed effect. </w:t>
      </w:r>
      <w:r w:rsidR="005E0429">
        <w:rPr>
          <w:rFonts w:ascii="Times New Roman" w:eastAsia="Times New Roman" w:hAnsi="Times New Roman" w:cs="Times New Roman"/>
          <w:color w:val="000000"/>
          <w:kern w:val="0"/>
          <w:sz w:val="24"/>
          <w:szCs w:val="24"/>
          <w:lang w:val="en-IN" w:eastAsia="en-IN"/>
          <w14:ligatures w14:val="none"/>
        </w:rPr>
        <w:t xml:space="preserve">It is crucial to propound </w:t>
      </w:r>
      <w:hyperlink r:id="rId35" w:history="1">
        <w:r w:rsidR="005E0429" w:rsidRPr="00ED06ED">
          <w:rPr>
            <w:rStyle w:val="Hyperlink"/>
            <w:rFonts w:ascii="Times New Roman" w:eastAsia="Times New Roman" w:hAnsi="Times New Roman" w:cs="Times New Roman"/>
            <w:kern w:val="0"/>
            <w:sz w:val="24"/>
            <w:szCs w:val="24"/>
            <w:lang w:val="en-IN" w:eastAsia="en-IN"/>
            <w14:ligatures w14:val="none"/>
          </w:rPr>
          <w:t>‘Infrastructural Thinking’</w:t>
        </w:r>
      </w:hyperlink>
      <w:r w:rsidR="005E0429">
        <w:rPr>
          <w:rFonts w:ascii="Times New Roman" w:eastAsia="Times New Roman" w:hAnsi="Times New Roman" w:cs="Times New Roman"/>
          <w:color w:val="000000"/>
          <w:kern w:val="0"/>
          <w:sz w:val="24"/>
          <w:szCs w:val="24"/>
          <w:lang w:val="en-IN" w:eastAsia="en-IN"/>
          <w14:ligatures w14:val="none"/>
        </w:rPr>
        <w:t xml:space="preserve"> surrounding SDG 10 in India, for economic concerns are inextricably linked to the </w:t>
      </w:r>
      <w:hyperlink r:id="rId36" w:history="1">
        <w:r w:rsidR="005E0429" w:rsidRPr="00ED06ED">
          <w:rPr>
            <w:rStyle w:val="Hyperlink"/>
            <w:rFonts w:ascii="Times New Roman" w:eastAsia="Times New Roman" w:hAnsi="Times New Roman" w:cs="Times New Roman"/>
            <w:kern w:val="0"/>
            <w:sz w:val="24"/>
            <w:szCs w:val="24"/>
            <w:lang w:val="en-IN" w:eastAsia="en-IN"/>
            <w14:ligatures w14:val="none"/>
          </w:rPr>
          <w:t>ongoing arson on India’s social fabric</w:t>
        </w:r>
      </w:hyperlink>
      <w:r w:rsidR="005E0429">
        <w:rPr>
          <w:rFonts w:ascii="Times New Roman" w:eastAsia="Times New Roman" w:hAnsi="Times New Roman" w:cs="Times New Roman"/>
          <w:color w:val="000000"/>
          <w:kern w:val="0"/>
          <w:sz w:val="24"/>
          <w:szCs w:val="24"/>
          <w:lang w:val="en-IN" w:eastAsia="en-IN"/>
          <w14:ligatures w14:val="none"/>
        </w:rPr>
        <w:t xml:space="preserve"> led by sectarian forces.</w:t>
      </w:r>
    </w:p>
    <w:p w14:paraId="09BFA970" w14:textId="77777777" w:rsidR="00B5404F" w:rsidRDefault="00B5404F" w:rsidP="005303D5">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p w14:paraId="332781A5" w14:textId="418CD1E6" w:rsidR="00C60C1C" w:rsidRDefault="00C275AE" w:rsidP="002504E2">
      <w:pPr>
        <w:spacing w:after="0" w:line="240" w:lineRule="auto"/>
        <w:jc w:val="both"/>
      </w:pPr>
      <w:r>
        <w:rPr>
          <w:rFonts w:ascii="Times New Roman" w:eastAsia="Times New Roman" w:hAnsi="Times New Roman" w:cs="Times New Roman"/>
          <w:color w:val="000000"/>
          <w:kern w:val="0"/>
          <w:sz w:val="24"/>
          <w:szCs w:val="24"/>
          <w:lang w:val="en-IN" w:eastAsia="en-IN"/>
          <w14:ligatures w14:val="none"/>
        </w:rPr>
        <w:t xml:space="preserve">It is of prime importance that </w:t>
      </w:r>
      <w:r w:rsidR="00B5404F">
        <w:rPr>
          <w:rFonts w:ascii="Times New Roman" w:eastAsia="Times New Roman" w:hAnsi="Times New Roman" w:cs="Times New Roman"/>
          <w:color w:val="000000"/>
          <w:kern w:val="0"/>
          <w:sz w:val="24"/>
          <w:szCs w:val="24"/>
          <w:lang w:val="en-IN" w:eastAsia="en-IN"/>
          <w14:ligatures w14:val="none"/>
        </w:rPr>
        <w:t>the GoI focuses on reducing structural inequ</w:t>
      </w:r>
      <w:r w:rsidR="005E0429">
        <w:rPr>
          <w:rFonts w:ascii="Times New Roman" w:eastAsia="Times New Roman" w:hAnsi="Times New Roman" w:cs="Times New Roman"/>
          <w:color w:val="000000"/>
          <w:kern w:val="0"/>
          <w:sz w:val="24"/>
          <w:szCs w:val="24"/>
          <w:lang w:val="en-IN" w:eastAsia="en-IN"/>
          <w14:ligatures w14:val="none"/>
        </w:rPr>
        <w:t>iti</w:t>
      </w:r>
      <w:r w:rsidR="00B5404F">
        <w:rPr>
          <w:rFonts w:ascii="Times New Roman" w:eastAsia="Times New Roman" w:hAnsi="Times New Roman" w:cs="Times New Roman"/>
          <w:color w:val="000000"/>
          <w:kern w:val="0"/>
          <w:sz w:val="24"/>
          <w:szCs w:val="24"/>
          <w:lang w:val="en-IN" w:eastAsia="en-IN"/>
          <w14:ligatures w14:val="none"/>
        </w:rPr>
        <w:t>es while focusing on the challenges mentioned in the introductory section</w:t>
      </w:r>
      <w:r w:rsidR="002504E2">
        <w:rPr>
          <w:rFonts w:ascii="Times New Roman" w:eastAsia="Times New Roman" w:hAnsi="Times New Roman" w:cs="Times New Roman"/>
          <w:color w:val="000000"/>
          <w:kern w:val="0"/>
          <w:sz w:val="24"/>
          <w:szCs w:val="24"/>
          <w:lang w:val="en-IN" w:eastAsia="en-IN"/>
          <w14:ligatures w14:val="none"/>
        </w:rPr>
        <w:t xml:space="preserve">, principally through the propagation of cooperative federalism, enforcement of the rule of law and adherence with </w:t>
      </w:r>
      <w:r w:rsidR="002504E2">
        <w:rPr>
          <w:rFonts w:ascii="Times New Roman" w:eastAsia="Times New Roman" w:hAnsi="Times New Roman" w:cs="Times New Roman"/>
          <w:i/>
          <w:iCs/>
          <w:color w:val="000000"/>
          <w:kern w:val="0"/>
          <w:sz w:val="24"/>
          <w:szCs w:val="24"/>
          <w:lang w:val="en-IN" w:eastAsia="en-IN"/>
          <w14:ligatures w14:val="none"/>
        </w:rPr>
        <w:t>jus cogens</w:t>
      </w:r>
      <w:r w:rsidR="002504E2">
        <w:rPr>
          <w:rFonts w:ascii="Times New Roman" w:eastAsia="Times New Roman" w:hAnsi="Times New Roman" w:cs="Times New Roman"/>
          <w:color w:val="000000"/>
          <w:kern w:val="0"/>
          <w:sz w:val="24"/>
          <w:szCs w:val="24"/>
          <w:lang w:val="en-IN" w:eastAsia="en-IN"/>
          <w14:ligatures w14:val="none"/>
        </w:rPr>
        <w:t xml:space="preserve">, adherence to international best standards on public procurement and consumer data management, and by making efforts to ensure </w:t>
      </w:r>
      <w:hyperlink r:id="rId37" w:history="1">
        <w:r w:rsidR="002504E2" w:rsidRPr="005E0429">
          <w:rPr>
            <w:rStyle w:val="Hyperlink"/>
            <w:rFonts w:ascii="Times New Roman" w:eastAsia="Times New Roman" w:hAnsi="Times New Roman" w:cs="Times New Roman"/>
            <w:kern w:val="0"/>
            <w:sz w:val="24"/>
            <w:szCs w:val="24"/>
            <w:lang w:val="en-IN" w:eastAsia="en-IN"/>
            <w14:ligatures w14:val="none"/>
          </w:rPr>
          <w:t>constitutional morality</w:t>
        </w:r>
      </w:hyperlink>
      <w:r w:rsidR="002504E2">
        <w:rPr>
          <w:rFonts w:ascii="Times New Roman" w:eastAsia="Times New Roman" w:hAnsi="Times New Roman" w:cs="Times New Roman"/>
          <w:color w:val="000000"/>
          <w:kern w:val="0"/>
          <w:sz w:val="24"/>
          <w:szCs w:val="24"/>
          <w:lang w:val="en-IN" w:eastAsia="en-IN"/>
          <w14:ligatures w14:val="none"/>
        </w:rPr>
        <w:t xml:space="preserve"> – such as secularism, by avoiding public spending in order to promote sectarian agendas</w:t>
      </w:r>
      <w:r w:rsidR="00B5404F">
        <w:rPr>
          <w:rFonts w:ascii="Times New Roman" w:eastAsia="Times New Roman" w:hAnsi="Times New Roman" w:cs="Times New Roman"/>
          <w:color w:val="000000"/>
          <w:kern w:val="0"/>
          <w:sz w:val="24"/>
          <w:szCs w:val="24"/>
          <w:lang w:val="en-IN" w:eastAsia="en-IN"/>
          <w14:ligatures w14:val="none"/>
        </w:rPr>
        <w:t>.</w:t>
      </w:r>
      <w:r w:rsidR="005356BC">
        <w:t xml:space="preserve"> </w:t>
      </w:r>
    </w:p>
    <w:p w14:paraId="1B34201E" w14:textId="77777777" w:rsidR="00ED06ED" w:rsidRDefault="00ED06ED" w:rsidP="002504E2">
      <w:pPr>
        <w:spacing w:after="0" w:line="240" w:lineRule="auto"/>
        <w:jc w:val="both"/>
      </w:pPr>
    </w:p>
    <w:p w14:paraId="0DC8E4A4" w14:textId="2E28D9E8" w:rsidR="00ED06ED" w:rsidRDefault="00ED06ED" w:rsidP="00ED06ED">
      <w:pPr>
        <w:jc w:val="both"/>
        <w:rPr>
          <w:rFonts w:ascii="Times New Roman" w:hAnsi="Times New Roman" w:cs="Times New Roman"/>
          <w:sz w:val="24"/>
          <w:szCs w:val="24"/>
        </w:rPr>
      </w:pPr>
      <w:r>
        <w:rPr>
          <w:rFonts w:ascii="Times New Roman" w:hAnsi="Times New Roman" w:cs="Times New Roman"/>
          <w:sz w:val="24"/>
          <w:szCs w:val="24"/>
        </w:rPr>
        <w:t>Unless the aforementioned changes are made in earnest, complying with SDG 10 by the 2030 deadline is a pipe dream for India.</w:t>
      </w:r>
    </w:p>
    <w:p w14:paraId="3930520F" w14:textId="77777777" w:rsidR="00ED06ED" w:rsidRPr="002504E2" w:rsidRDefault="00ED06ED" w:rsidP="002504E2">
      <w:pPr>
        <w:spacing w:after="0" w:line="240" w:lineRule="auto"/>
        <w:jc w:val="both"/>
        <w:rPr>
          <w:rFonts w:ascii="Times New Roman" w:eastAsia="Times New Roman" w:hAnsi="Times New Roman" w:cs="Times New Roman"/>
          <w:color w:val="000000"/>
          <w:kern w:val="0"/>
          <w:sz w:val="24"/>
          <w:szCs w:val="24"/>
          <w:lang w:val="en-IN" w:eastAsia="en-IN"/>
          <w14:ligatures w14:val="none"/>
        </w:rPr>
      </w:pPr>
    </w:p>
    <w:sectPr w:rsidR="00ED06ED" w:rsidRPr="002504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45A3" w14:textId="77777777" w:rsidR="0038585A" w:rsidRDefault="0038585A" w:rsidP="00CB45A7">
      <w:pPr>
        <w:spacing w:after="0" w:line="240" w:lineRule="auto"/>
      </w:pPr>
      <w:r>
        <w:separator/>
      </w:r>
    </w:p>
  </w:endnote>
  <w:endnote w:type="continuationSeparator" w:id="0">
    <w:p w14:paraId="7CC14113" w14:textId="77777777" w:rsidR="0038585A" w:rsidRDefault="0038585A" w:rsidP="00CB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7C56" w14:textId="77777777" w:rsidR="0038585A" w:rsidRDefault="0038585A" w:rsidP="00CB45A7">
      <w:pPr>
        <w:spacing w:after="0" w:line="240" w:lineRule="auto"/>
      </w:pPr>
      <w:r>
        <w:separator/>
      </w:r>
    </w:p>
  </w:footnote>
  <w:footnote w:type="continuationSeparator" w:id="0">
    <w:p w14:paraId="35A1EDC3" w14:textId="77777777" w:rsidR="0038585A" w:rsidRDefault="0038585A" w:rsidP="00CB4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1BE"/>
    <w:multiLevelType w:val="hybridMultilevel"/>
    <w:tmpl w:val="8320F322"/>
    <w:lvl w:ilvl="0" w:tplc="61A678E6">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8329C9"/>
    <w:multiLevelType w:val="multilevel"/>
    <w:tmpl w:val="5D1436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D09FD"/>
    <w:multiLevelType w:val="hybridMultilevel"/>
    <w:tmpl w:val="EF8C6004"/>
    <w:lvl w:ilvl="0" w:tplc="0F94ED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100CE5"/>
    <w:multiLevelType w:val="multilevel"/>
    <w:tmpl w:val="AB6CE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97E16"/>
    <w:multiLevelType w:val="hybridMultilevel"/>
    <w:tmpl w:val="46743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025764"/>
    <w:multiLevelType w:val="multilevel"/>
    <w:tmpl w:val="C5F0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934DE"/>
    <w:multiLevelType w:val="multilevel"/>
    <w:tmpl w:val="EA2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864C30"/>
    <w:multiLevelType w:val="hybridMultilevel"/>
    <w:tmpl w:val="F3D2590E"/>
    <w:lvl w:ilvl="0" w:tplc="71D2E384">
      <w:start w:val="1"/>
      <w:numFmt w:val="lowerLetter"/>
      <w:lvlText w:val="(%1)"/>
      <w:lvlJc w:val="left"/>
      <w:pPr>
        <w:ind w:left="720" w:hanging="360"/>
      </w:pPr>
      <w:rPr>
        <w:rFonts w:ascii="EB Garamond" w:hAnsi="EB Garamond" w:hint="default"/>
        <w:b/>
        <w:i/>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970BEF"/>
    <w:multiLevelType w:val="hybridMultilevel"/>
    <w:tmpl w:val="A7169074"/>
    <w:lvl w:ilvl="0" w:tplc="67688EF4">
      <w:start w:val="1"/>
      <w:numFmt w:val="upperRoman"/>
      <w:lvlText w:val="%1."/>
      <w:lvlJc w:val="left"/>
      <w:pPr>
        <w:ind w:left="1080" w:hanging="720"/>
      </w:pPr>
      <w:rPr>
        <w:rFonts w:hint="default"/>
        <w:b/>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1017303">
    <w:abstractNumId w:val="4"/>
  </w:num>
  <w:num w:numId="2" w16cid:durableId="893547444">
    <w:abstractNumId w:val="2"/>
  </w:num>
  <w:num w:numId="3" w16cid:durableId="991254603">
    <w:abstractNumId w:val="5"/>
  </w:num>
  <w:num w:numId="4" w16cid:durableId="879707723">
    <w:abstractNumId w:val="1"/>
    <w:lvlOverride w:ilvl="0">
      <w:lvl w:ilvl="0">
        <w:numFmt w:val="decimal"/>
        <w:lvlText w:val="%1."/>
        <w:lvlJc w:val="left"/>
      </w:lvl>
    </w:lvlOverride>
  </w:num>
  <w:num w:numId="5" w16cid:durableId="1367635008">
    <w:abstractNumId w:val="6"/>
  </w:num>
  <w:num w:numId="6" w16cid:durableId="954214169">
    <w:abstractNumId w:val="3"/>
    <w:lvlOverride w:ilvl="0">
      <w:lvl w:ilvl="0">
        <w:numFmt w:val="decimal"/>
        <w:lvlText w:val="%1."/>
        <w:lvlJc w:val="left"/>
      </w:lvl>
    </w:lvlOverride>
  </w:num>
  <w:num w:numId="7" w16cid:durableId="723792746">
    <w:abstractNumId w:val="8"/>
  </w:num>
  <w:num w:numId="8" w16cid:durableId="1004625810">
    <w:abstractNumId w:val="7"/>
  </w:num>
  <w:num w:numId="9" w16cid:durableId="160472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9E"/>
    <w:rsid w:val="00001C9D"/>
    <w:rsid w:val="000D3452"/>
    <w:rsid w:val="001104A0"/>
    <w:rsid w:val="0011289E"/>
    <w:rsid w:val="00174EEE"/>
    <w:rsid w:val="002504E2"/>
    <w:rsid w:val="00315A6A"/>
    <w:rsid w:val="003818CA"/>
    <w:rsid w:val="0038585A"/>
    <w:rsid w:val="00427BDE"/>
    <w:rsid w:val="0044794D"/>
    <w:rsid w:val="00476E23"/>
    <w:rsid w:val="004C3B18"/>
    <w:rsid w:val="005303D5"/>
    <w:rsid w:val="005356BC"/>
    <w:rsid w:val="0054290E"/>
    <w:rsid w:val="0055258E"/>
    <w:rsid w:val="005E0429"/>
    <w:rsid w:val="005E0FCC"/>
    <w:rsid w:val="006220B6"/>
    <w:rsid w:val="00670903"/>
    <w:rsid w:val="006A0E48"/>
    <w:rsid w:val="006D1C6F"/>
    <w:rsid w:val="0077455A"/>
    <w:rsid w:val="009E486F"/>
    <w:rsid w:val="00A20689"/>
    <w:rsid w:val="00A55141"/>
    <w:rsid w:val="00A77681"/>
    <w:rsid w:val="00AA1C06"/>
    <w:rsid w:val="00AD2A45"/>
    <w:rsid w:val="00AF7167"/>
    <w:rsid w:val="00B5404F"/>
    <w:rsid w:val="00C275AE"/>
    <w:rsid w:val="00C53F2C"/>
    <w:rsid w:val="00C60C1C"/>
    <w:rsid w:val="00CB45A7"/>
    <w:rsid w:val="00D53AC1"/>
    <w:rsid w:val="00DE2CA5"/>
    <w:rsid w:val="00ED06ED"/>
    <w:rsid w:val="00F133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000F"/>
  <w15:chartTrackingRefBased/>
  <w15:docId w15:val="{B72535FA-98A4-4F33-BB17-8882837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6BC"/>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C53F2C"/>
    <w:rPr>
      <w:color w:val="0000FF"/>
      <w:u w:val="single"/>
    </w:rPr>
  </w:style>
  <w:style w:type="paragraph" w:styleId="ListParagraph">
    <w:name w:val="List Paragraph"/>
    <w:basedOn w:val="Normal"/>
    <w:uiPriority w:val="34"/>
    <w:qFormat/>
    <w:rsid w:val="00C53F2C"/>
    <w:pPr>
      <w:ind w:left="720"/>
      <w:contextualSpacing/>
    </w:pPr>
  </w:style>
  <w:style w:type="character" w:styleId="UnresolvedMention">
    <w:name w:val="Unresolved Mention"/>
    <w:basedOn w:val="DefaultParagraphFont"/>
    <w:uiPriority w:val="99"/>
    <w:semiHidden/>
    <w:unhideWhenUsed/>
    <w:rsid w:val="005303D5"/>
    <w:rPr>
      <w:color w:val="605E5C"/>
      <w:shd w:val="clear" w:color="auto" w:fill="E1DFDD"/>
    </w:rPr>
  </w:style>
  <w:style w:type="paragraph" w:styleId="FootnoteText">
    <w:name w:val="footnote text"/>
    <w:basedOn w:val="Normal"/>
    <w:link w:val="FootnoteTextChar"/>
    <w:uiPriority w:val="99"/>
    <w:semiHidden/>
    <w:unhideWhenUsed/>
    <w:rsid w:val="00CB4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5A7"/>
    <w:rPr>
      <w:sz w:val="20"/>
      <w:szCs w:val="20"/>
      <w:lang w:val="en-GB"/>
    </w:rPr>
  </w:style>
  <w:style w:type="character" w:styleId="FootnoteReference">
    <w:name w:val="footnote reference"/>
    <w:basedOn w:val="DefaultParagraphFont"/>
    <w:uiPriority w:val="99"/>
    <w:semiHidden/>
    <w:unhideWhenUsed/>
    <w:rsid w:val="00CB45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6715">
      <w:bodyDiv w:val="1"/>
      <w:marLeft w:val="0"/>
      <w:marRight w:val="0"/>
      <w:marTop w:val="0"/>
      <w:marBottom w:val="0"/>
      <w:divBdr>
        <w:top w:val="none" w:sz="0" w:space="0" w:color="auto"/>
        <w:left w:val="none" w:sz="0" w:space="0" w:color="auto"/>
        <w:bottom w:val="none" w:sz="0" w:space="0" w:color="auto"/>
        <w:right w:val="none" w:sz="0" w:space="0" w:color="auto"/>
      </w:divBdr>
    </w:div>
    <w:div w:id="1105921286">
      <w:bodyDiv w:val="1"/>
      <w:marLeft w:val="0"/>
      <w:marRight w:val="0"/>
      <w:marTop w:val="0"/>
      <w:marBottom w:val="0"/>
      <w:divBdr>
        <w:top w:val="none" w:sz="0" w:space="0" w:color="auto"/>
        <w:left w:val="none" w:sz="0" w:space="0" w:color="auto"/>
        <w:bottom w:val="none" w:sz="0" w:space="0" w:color="auto"/>
        <w:right w:val="none" w:sz="0" w:space="0" w:color="auto"/>
      </w:divBdr>
    </w:div>
    <w:div w:id="1526017237">
      <w:bodyDiv w:val="1"/>
      <w:marLeft w:val="0"/>
      <w:marRight w:val="0"/>
      <w:marTop w:val="0"/>
      <w:marBottom w:val="0"/>
      <w:divBdr>
        <w:top w:val="none" w:sz="0" w:space="0" w:color="auto"/>
        <w:left w:val="none" w:sz="0" w:space="0" w:color="auto"/>
        <w:bottom w:val="none" w:sz="0" w:space="0" w:color="auto"/>
        <w:right w:val="none" w:sz="0" w:space="0" w:color="auto"/>
      </w:divBdr>
    </w:div>
    <w:div w:id="1620183860">
      <w:bodyDiv w:val="1"/>
      <w:marLeft w:val="0"/>
      <w:marRight w:val="0"/>
      <w:marTop w:val="0"/>
      <w:marBottom w:val="0"/>
      <w:divBdr>
        <w:top w:val="none" w:sz="0" w:space="0" w:color="auto"/>
        <w:left w:val="none" w:sz="0" w:space="0" w:color="auto"/>
        <w:bottom w:val="none" w:sz="0" w:space="0" w:color="auto"/>
        <w:right w:val="none" w:sz="0" w:space="0" w:color="auto"/>
      </w:divBdr>
    </w:div>
    <w:div w:id="1862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jazeera.com/news/2023/12/19/why-141-india-opposition-mps-suspended-from-parliament" TargetMode="External"/><Relationship Id="rId18" Type="http://schemas.openxmlformats.org/officeDocument/2006/relationships/image" Target="media/image2.png"/><Relationship Id="rId26" Type="http://schemas.openxmlformats.org/officeDocument/2006/relationships/hyperlink" Target="https://theprint.in/economy/what-is-the-jan-dhan-account-aadhaar-mobile-trinity-has-it-aided-indias-war-on-poverty/1257768/" TargetMode="External"/><Relationship Id="rId39" Type="http://schemas.openxmlformats.org/officeDocument/2006/relationships/theme" Target="theme/theme1.xml"/><Relationship Id="rId21" Type="http://schemas.openxmlformats.org/officeDocument/2006/relationships/hyperlink" Target="https://www.bbc.com/news/world-asia-india-64282374" TargetMode="External"/><Relationship Id="rId34" Type="http://schemas.openxmlformats.org/officeDocument/2006/relationships/hyperlink" Target="https://economictimes.indiatimes.com/news/india/delhi-police-conducts-raids-at-residences-of-the-wire-editors-electronic-evidence-seized/articleshow/95210732.cms?from=mdr"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etitiveness.in/wp-content/uploads/2022/05/Report_on_State_of_Inequality-in_India_Web_Version.pdf" TargetMode="External"/><Relationship Id="rId20" Type="http://schemas.openxmlformats.org/officeDocument/2006/relationships/hyperlink" Target="https://carnegieendowment.org/2023/06/28/india-s-statistical-system-past-present-future-pub-90065" TargetMode="External"/><Relationship Id="rId29" Type="http://schemas.openxmlformats.org/officeDocument/2006/relationships/hyperlink" Target="https://www.epw.in/engage/article/financial-inclusion-india-achieving-quantity"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f.org/en/modi-ramps-online-censorship-india" TargetMode="External"/><Relationship Id="rId24" Type="http://schemas.openxmlformats.org/officeDocument/2006/relationships/hyperlink" Target="https://corporatefinanceinstitute.com/resources/economics/gini-coefficient/" TargetMode="External"/><Relationship Id="rId32" Type="http://schemas.openxmlformats.org/officeDocument/2006/relationships/hyperlink" Target="https://thewire.in/tekfog/en/1.html" TargetMode="External"/><Relationship Id="rId37" Type="http://schemas.openxmlformats.org/officeDocument/2006/relationships/hyperlink" Target="https://thediplomat.com/2018/08/in-india-constitutional-secularism-comes-under-threat/"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rsf.org/en/country/india" TargetMode="External"/><Relationship Id="rId23" Type="http://schemas.openxmlformats.org/officeDocument/2006/relationships/hyperlink" Target="https://www.nytimes.com/2023/02/04/business/adani-modi-india.html" TargetMode="External"/><Relationship Id="rId28" Type="http://schemas.openxmlformats.org/officeDocument/2006/relationships/hyperlink" Target="https://doi.org/10.1111/ecno.12186" TargetMode="External"/><Relationship Id="rId36" Type="http://schemas.openxmlformats.org/officeDocument/2006/relationships/hyperlink" Target="https://asiasociety.org/policy-institute/modis-india-rights-and-freedoms-erode-further-amid-covid-19" TargetMode="External"/><Relationship Id="rId10" Type="http://schemas.openxmlformats.org/officeDocument/2006/relationships/hyperlink" Target="https://www.cambridge.org/core/journals/transnational-environmental-law/article/soft-law-in-a-hard-shell-india-international-rulemaking-and-the-international-solar-alliance/9154D6AC033F6A028A00177F3826D509" TargetMode="External"/><Relationship Id="rId19" Type="http://schemas.openxmlformats.org/officeDocument/2006/relationships/hyperlink" Target="https://www.niti.gov.in/sites/default/files/2020-07/SDX_Index_India_Baseline_Report_21-12-2018.pdf" TargetMode="External"/><Relationship Id="rId31" Type="http://schemas.openxmlformats.org/officeDocument/2006/relationships/hyperlink" Target="https://www.sipune.com/" TargetMode="External"/><Relationship Id="rId4" Type="http://schemas.openxmlformats.org/officeDocument/2006/relationships/settings" Target="settings.xml"/><Relationship Id="rId9" Type="http://schemas.openxmlformats.org/officeDocument/2006/relationships/hyperlink" Target="https://asia.nikkei.com/Opinion/India-s-Modi-is-not-the-world-s-guru" TargetMode="External"/><Relationship Id="rId14" Type="http://schemas.openxmlformats.org/officeDocument/2006/relationships/hyperlink" Target="https://berkleycenter.georgetown.edu/responses/in-modi-s-india-press-freedom-is-curbed-and-journalists-are-under-threat-for-doing-their-jobs" TargetMode="External"/><Relationship Id="rId22" Type="http://schemas.openxmlformats.org/officeDocument/2006/relationships/hyperlink" Target="https://journals.sagepub.com/doi/10.1177/0149206318798026" TargetMode="External"/><Relationship Id="rId27" Type="http://schemas.openxmlformats.org/officeDocument/2006/relationships/hyperlink" Target="https://rchiips.org/nfhs/" TargetMode="External"/><Relationship Id="rId30" Type="http://schemas.openxmlformats.org/officeDocument/2006/relationships/hyperlink" Target="https://www.mantratec.com/" TargetMode="External"/><Relationship Id="rId35" Type="http://schemas.openxmlformats.org/officeDocument/2006/relationships/hyperlink" Target="https://www.iilj.org/infrareg/" TargetMode="External"/><Relationship Id="rId8" Type="http://schemas.openxmlformats.org/officeDocument/2006/relationships/hyperlink" Target="https://ijpiel.com/" TargetMode="External"/><Relationship Id="rId3" Type="http://schemas.openxmlformats.org/officeDocument/2006/relationships/styles" Target="styles.xml"/><Relationship Id="rId12" Type="http://schemas.openxmlformats.org/officeDocument/2006/relationships/hyperlink" Target="https://carnegieendowment.org/2020/08/18/mounting-majoritarianism-and-political-polarization-in-india-pub-82434" TargetMode="External"/><Relationship Id="rId17" Type="http://schemas.openxmlformats.org/officeDocument/2006/relationships/image" Target="media/image1.png"/><Relationship Id="rId25" Type="http://schemas.openxmlformats.org/officeDocument/2006/relationships/hyperlink" Target="https://www.unadap.org/post/india-s-stance-on-sdg-10-reduced-inequalities" TargetMode="External"/><Relationship Id="rId33" Type="http://schemas.openxmlformats.org/officeDocument/2006/relationships/hyperlink" Target="https://www.thehindu.com/news/national/14-opposition-parties-move-supreme-court-against-misuse-of-ed-cbi-by-government/article66656208.ece"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 Indian Journal of Projects, Infrastructure and Energy Law (IJPIEL)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213AD33-BA59-4FB5-BA95-3622967A0B14}">
  <ds:schemaRefs>
    <ds:schemaRef ds:uri="http://schemas.openxmlformats.org/officeDocument/2006/bibliography"/>
  </ds:schemaRefs>
</ds:datastoreItem>
</file>

<file path=customXml/itemProps2.xml><?xml version="1.0" encoding="utf-8"?>
<ds:datastoreItem xmlns:ds="http://schemas.openxmlformats.org/officeDocument/2006/customXml" ds:itemID="{E11C86D5-8995-46B9-9364-38D9BAB7CEA0}"/>
</file>

<file path=customXml/itemProps3.xml><?xml version="1.0" encoding="utf-8"?>
<ds:datastoreItem xmlns:ds="http://schemas.openxmlformats.org/officeDocument/2006/customXml" ds:itemID="{502E86CE-F274-432D-B989-B203DD3FB2B3}"/>
</file>

<file path=customXml/itemProps4.xml><?xml version="1.0" encoding="utf-8"?>
<ds:datastoreItem xmlns:ds="http://schemas.openxmlformats.org/officeDocument/2006/customXml" ds:itemID="{B67B197E-6A94-4334-A830-9E5A45F2F202}"/>
</file>

<file path=docProps/app.xml><?xml version="1.0" encoding="utf-8"?>
<Properties xmlns="http://schemas.openxmlformats.org/officeDocument/2006/extended-properties" xmlns:vt="http://schemas.openxmlformats.org/officeDocument/2006/docPropsVTypes">
  <Template>Normal.dotm</Template>
  <TotalTime>0</TotalTime>
  <Pages>3</Pages>
  <Words>2794</Words>
  <Characters>15929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Tiwari</dc:creator>
  <cp:keywords/>
  <dc:description/>
  <cp:lastModifiedBy>Patricia Varela Benzo</cp:lastModifiedBy>
  <cp:revision>2</cp:revision>
  <dcterms:created xsi:type="dcterms:W3CDTF">2024-01-24T14:45:00Z</dcterms:created>
  <dcterms:modified xsi:type="dcterms:W3CDTF">2024-01-24T14:45:00Z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aeaa222ff98c91138bc4f8625723ae7fbe66f09a29e1d91b4de1e372a50d8d22</vt:lpwstr>
  </property>
  <property fmtid="{D5CDD505-2E9C-101B-9397-08002B2CF9AE}" pid="3" name="ContentTypeId">
    <vt:lpwstr>0x0101009D953D6983EF5F4EB0B6A5354F975E96</vt:lpwstr>
  </property>
</Properties>
</file>