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56A" w:rsidRDefault="00E7156A">
      <w:pPr>
        <w:rPr>
          <w:rFonts w:ascii="Times New Roman" w:hAnsi="Times New Roman" w:cs="Times New Roman"/>
          <w:sz w:val="24"/>
          <w:szCs w:val="24"/>
        </w:rPr>
      </w:pPr>
    </w:p>
    <w:p w:rsidR="00E7156A" w:rsidRDefault="00E7156A" w:rsidP="00E7156A">
      <w:pPr>
        <w:jc w:val="center"/>
        <w:rPr>
          <w:rFonts w:ascii="Times New Roman" w:hAnsi="Times New Roman" w:cs="Times New Roman"/>
          <w:b/>
          <w:sz w:val="36"/>
          <w:szCs w:val="36"/>
        </w:rPr>
      </w:pPr>
      <w:r w:rsidRPr="00E7156A">
        <w:rPr>
          <w:rFonts w:ascii="Times New Roman" w:hAnsi="Times New Roman" w:cs="Times New Roman"/>
          <w:b/>
          <w:sz w:val="36"/>
          <w:szCs w:val="36"/>
        </w:rPr>
        <w:t>Humanise Property</w:t>
      </w:r>
      <w:r>
        <w:rPr>
          <w:rFonts w:ascii="Times New Roman" w:hAnsi="Times New Roman" w:cs="Times New Roman"/>
          <w:b/>
          <w:sz w:val="36"/>
          <w:szCs w:val="36"/>
        </w:rPr>
        <w:t xml:space="preserve">: </w:t>
      </w:r>
    </w:p>
    <w:p w:rsidR="00E7156A" w:rsidRPr="00E7156A" w:rsidRDefault="00E7156A" w:rsidP="00E7156A">
      <w:pPr>
        <w:jc w:val="center"/>
        <w:rPr>
          <w:rFonts w:ascii="Times New Roman" w:hAnsi="Times New Roman" w:cs="Times New Roman"/>
          <w:b/>
          <w:sz w:val="36"/>
          <w:szCs w:val="36"/>
        </w:rPr>
      </w:pPr>
      <w:r>
        <w:rPr>
          <w:rFonts w:ascii="Times New Roman" w:hAnsi="Times New Roman" w:cs="Times New Roman"/>
          <w:b/>
          <w:sz w:val="36"/>
          <w:szCs w:val="36"/>
        </w:rPr>
        <w:t>Proposal</w:t>
      </w:r>
      <w:r w:rsidR="00D548E4">
        <w:rPr>
          <w:rFonts w:ascii="Times New Roman" w:hAnsi="Times New Roman" w:cs="Times New Roman"/>
          <w:b/>
          <w:sz w:val="36"/>
          <w:szCs w:val="36"/>
        </w:rPr>
        <w:t>s</w:t>
      </w:r>
      <w:r>
        <w:rPr>
          <w:rFonts w:ascii="Times New Roman" w:hAnsi="Times New Roman" w:cs="Times New Roman"/>
          <w:b/>
          <w:sz w:val="36"/>
          <w:szCs w:val="36"/>
        </w:rPr>
        <w:t xml:space="preserve"> for Post-Growth Development Strategy</w:t>
      </w:r>
    </w:p>
    <w:p w:rsidR="00E7156A" w:rsidRDefault="00E7156A">
      <w:pPr>
        <w:rPr>
          <w:rFonts w:ascii="Times New Roman" w:hAnsi="Times New Roman" w:cs="Times New Roman"/>
          <w:sz w:val="24"/>
          <w:szCs w:val="24"/>
        </w:rPr>
      </w:pPr>
    </w:p>
    <w:p w:rsidR="009312F1" w:rsidRPr="00CC4CCF" w:rsidRDefault="009312F1">
      <w:pPr>
        <w:rPr>
          <w:rFonts w:ascii="Times New Roman" w:hAnsi="Times New Roman" w:cs="Times New Roman"/>
          <w:sz w:val="24"/>
          <w:szCs w:val="24"/>
        </w:rPr>
      </w:pPr>
      <w:r w:rsidRPr="00CC4CCF">
        <w:rPr>
          <w:rFonts w:ascii="Times New Roman" w:hAnsi="Times New Roman" w:cs="Times New Roman"/>
          <w:sz w:val="24"/>
          <w:szCs w:val="24"/>
        </w:rPr>
        <w:t xml:space="preserve">Submission by the research team </w:t>
      </w:r>
      <w:r w:rsidR="00D548E4">
        <w:rPr>
          <w:rFonts w:ascii="Times New Roman" w:hAnsi="Times New Roman" w:cs="Times New Roman"/>
          <w:sz w:val="24"/>
          <w:szCs w:val="24"/>
        </w:rPr>
        <w:t xml:space="preserve">from </w:t>
      </w:r>
      <w:r w:rsidRPr="00CC4CCF">
        <w:rPr>
          <w:rFonts w:ascii="Times New Roman" w:hAnsi="Times New Roman" w:cs="Times New Roman"/>
          <w:sz w:val="24"/>
          <w:szCs w:val="24"/>
        </w:rPr>
        <w:t>the Institute of Public Policy in collaboration with Centre for the Study of Social Exclusion and Inclusive Policy</w:t>
      </w:r>
      <w:r w:rsidR="00AA05F5">
        <w:rPr>
          <w:rFonts w:ascii="Times New Roman" w:hAnsi="Times New Roman" w:cs="Times New Roman"/>
          <w:sz w:val="24"/>
          <w:szCs w:val="24"/>
        </w:rPr>
        <w:t xml:space="preserve"> (CSSEIP)</w:t>
      </w:r>
      <w:r w:rsidRPr="00CC4CCF">
        <w:rPr>
          <w:rFonts w:ascii="Times New Roman" w:hAnsi="Times New Roman" w:cs="Times New Roman"/>
          <w:sz w:val="24"/>
          <w:szCs w:val="24"/>
        </w:rPr>
        <w:t>, National Law School of India University, Bangalore</w:t>
      </w:r>
      <w:r w:rsidR="00975494">
        <w:rPr>
          <w:rFonts w:ascii="Times New Roman" w:hAnsi="Times New Roman" w:cs="Times New Roman"/>
          <w:sz w:val="24"/>
          <w:szCs w:val="24"/>
        </w:rPr>
        <w:t>, India</w:t>
      </w:r>
      <w:r w:rsidR="00AA05F5">
        <w:rPr>
          <w:rFonts w:ascii="Times New Roman" w:hAnsi="Times New Roman" w:cs="Times New Roman"/>
          <w:sz w:val="24"/>
          <w:szCs w:val="24"/>
        </w:rPr>
        <w:t>.</w:t>
      </w:r>
    </w:p>
    <w:p w:rsidR="00F41C62" w:rsidRDefault="00F41C62" w:rsidP="00F41C62">
      <w:pPr>
        <w:jc w:val="center"/>
        <w:rPr>
          <w:rFonts w:ascii="Times New Roman" w:hAnsi="Times New Roman" w:cs="Times New Roman"/>
          <w:sz w:val="24"/>
          <w:szCs w:val="24"/>
        </w:rPr>
      </w:pPr>
    </w:p>
    <w:p w:rsidR="00CC4CCF" w:rsidRDefault="00F41C62" w:rsidP="00F41C62">
      <w:pPr>
        <w:jc w:val="center"/>
        <w:rPr>
          <w:rFonts w:ascii="Times New Roman" w:hAnsi="Times New Roman" w:cs="Times New Roman"/>
          <w:sz w:val="24"/>
          <w:szCs w:val="24"/>
        </w:rPr>
      </w:pPr>
      <w:r w:rsidRPr="00CC4CCF">
        <w:rPr>
          <w:rFonts w:ascii="Times New Roman" w:hAnsi="Times New Roman" w:cs="Times New Roman"/>
          <w:sz w:val="24"/>
          <w:szCs w:val="24"/>
        </w:rPr>
        <w:t>T</w:t>
      </w:r>
      <w:r w:rsidR="009312F1" w:rsidRPr="00CC4CCF">
        <w:rPr>
          <w:rFonts w:ascii="Times New Roman" w:hAnsi="Times New Roman" w:cs="Times New Roman"/>
          <w:sz w:val="24"/>
          <w:szCs w:val="24"/>
        </w:rPr>
        <w:t>o</w:t>
      </w:r>
      <w:r>
        <w:rPr>
          <w:rFonts w:ascii="Times New Roman" w:hAnsi="Times New Roman" w:cs="Times New Roman"/>
          <w:sz w:val="24"/>
          <w:szCs w:val="24"/>
        </w:rPr>
        <w:t>wards</w:t>
      </w:r>
    </w:p>
    <w:p w:rsidR="00F41C62" w:rsidRPr="00CC4CCF" w:rsidRDefault="00F41C62" w:rsidP="00F41C62">
      <w:pPr>
        <w:jc w:val="center"/>
        <w:rPr>
          <w:rFonts w:ascii="Times New Roman" w:hAnsi="Times New Roman" w:cs="Times New Roman"/>
          <w:sz w:val="24"/>
          <w:szCs w:val="24"/>
        </w:rPr>
      </w:pPr>
    </w:p>
    <w:p w:rsidR="00CC4CCF" w:rsidRPr="00CC4CCF" w:rsidRDefault="00F41C62" w:rsidP="00CC4CCF">
      <w:pPr>
        <w:rPr>
          <w:rFonts w:ascii="Times New Roman" w:hAnsi="Times New Roman" w:cs="Times New Roman"/>
          <w:sz w:val="24"/>
          <w:szCs w:val="24"/>
        </w:rPr>
      </w:pPr>
      <w:r>
        <w:rPr>
          <w:rFonts w:ascii="Times New Roman" w:eastAsia="Times New Roman" w:hAnsi="Times New Roman" w:cs="Times New Roman"/>
          <w:color w:val="000000"/>
          <w:sz w:val="24"/>
          <w:szCs w:val="24"/>
        </w:rPr>
        <w:t>T</w:t>
      </w:r>
      <w:r w:rsidR="00CC4CCF" w:rsidRPr="00CC4CCF">
        <w:rPr>
          <w:rFonts w:ascii="Times New Roman" w:eastAsia="Times New Roman" w:hAnsi="Times New Roman" w:cs="Times New Roman"/>
          <w:color w:val="000000"/>
          <w:sz w:val="24"/>
          <w:szCs w:val="24"/>
        </w:rPr>
        <w:t>hematic report to the UN Human Rights Council "Eradicating poverty in a post-growth context: preparing for the next Development Goals" by t</w:t>
      </w:r>
      <w:r w:rsidR="00CC4CCF" w:rsidRPr="00CC4CCF">
        <w:rPr>
          <w:rFonts w:ascii="Times New Roman" w:hAnsi="Times New Roman" w:cs="Times New Roman"/>
          <w:color w:val="4A4A4A"/>
          <w:spacing w:val="4"/>
          <w:sz w:val="24"/>
          <w:szCs w:val="24"/>
        </w:rPr>
        <w:t>he Special Rapporteur on extreme poverty and human rights, Olivier De Schutter</w:t>
      </w:r>
      <w:r w:rsidR="00E64436">
        <w:rPr>
          <w:rFonts w:ascii="Times New Roman" w:hAnsi="Times New Roman" w:cs="Times New Roman"/>
          <w:color w:val="4A4A4A"/>
          <w:spacing w:val="4"/>
          <w:sz w:val="24"/>
          <w:szCs w:val="24"/>
        </w:rPr>
        <w:t>,</w:t>
      </w:r>
      <w:r w:rsidR="00CC4CCF" w:rsidRPr="00CC4CCF">
        <w:rPr>
          <w:rFonts w:ascii="Times New Roman" w:hAnsi="Times New Roman" w:cs="Times New Roman"/>
          <w:color w:val="4A4A4A"/>
          <w:spacing w:val="4"/>
          <w:sz w:val="24"/>
          <w:szCs w:val="24"/>
        </w:rPr>
        <w:t xml:space="preserve"> </w:t>
      </w:r>
      <w:r>
        <w:rPr>
          <w:rFonts w:ascii="Times New Roman" w:hAnsi="Times New Roman" w:cs="Times New Roman"/>
          <w:color w:val="4A4A4A"/>
          <w:spacing w:val="4"/>
          <w:sz w:val="24"/>
          <w:szCs w:val="24"/>
        </w:rPr>
        <w:t>in the</w:t>
      </w:r>
      <w:r w:rsidR="00CC4CCF" w:rsidRPr="00CC4CCF">
        <w:rPr>
          <w:rFonts w:ascii="Times New Roman" w:hAnsi="Times New Roman" w:cs="Times New Roman"/>
          <w:color w:val="4A4A4A"/>
          <w:spacing w:val="4"/>
          <w:sz w:val="24"/>
          <w:szCs w:val="24"/>
        </w:rPr>
        <w:t xml:space="preserve"> 56</w:t>
      </w:r>
      <w:r w:rsidR="00CC4CCF" w:rsidRPr="00CC4CCF">
        <w:rPr>
          <w:rFonts w:ascii="Times New Roman" w:hAnsi="Times New Roman" w:cs="Times New Roman"/>
          <w:color w:val="4A4A4A"/>
          <w:spacing w:val="4"/>
          <w:sz w:val="24"/>
          <w:szCs w:val="24"/>
          <w:vertAlign w:val="superscript"/>
        </w:rPr>
        <w:t>th</w:t>
      </w:r>
      <w:r w:rsidR="00CC4CCF" w:rsidRPr="00CC4CCF">
        <w:rPr>
          <w:rFonts w:ascii="Times New Roman" w:hAnsi="Times New Roman" w:cs="Times New Roman"/>
          <w:color w:val="4A4A4A"/>
          <w:spacing w:val="4"/>
          <w:sz w:val="24"/>
          <w:szCs w:val="24"/>
        </w:rPr>
        <w:t> session of the Human Rights Council.</w:t>
      </w:r>
    </w:p>
    <w:p w:rsidR="009312F1" w:rsidRPr="00CC4CCF" w:rsidRDefault="009312F1">
      <w:pPr>
        <w:rPr>
          <w:rFonts w:ascii="Times New Roman" w:hAnsi="Times New Roman" w:cs="Times New Roman"/>
          <w:sz w:val="24"/>
          <w:szCs w:val="24"/>
        </w:rPr>
      </w:pPr>
    </w:p>
    <w:p w:rsidR="009312F1" w:rsidRDefault="009312F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27"/>
        <w:gridCol w:w="4623"/>
      </w:tblGrid>
      <w:tr w:rsidR="00CC4CCF" w:rsidTr="00CC4CCF">
        <w:tc>
          <w:tcPr>
            <w:tcW w:w="4788" w:type="dxa"/>
          </w:tcPr>
          <w:p w:rsidR="00CC4CCF" w:rsidRPr="00975494" w:rsidRDefault="00CC4CCF">
            <w:pPr>
              <w:rPr>
                <w:rFonts w:ascii="Times New Roman" w:hAnsi="Times New Roman" w:cs="Times New Roman"/>
                <w:b/>
                <w:sz w:val="24"/>
                <w:szCs w:val="24"/>
              </w:rPr>
            </w:pPr>
            <w:r w:rsidRPr="00975494">
              <w:rPr>
                <w:rFonts w:ascii="Times New Roman" w:hAnsi="Times New Roman" w:cs="Times New Roman"/>
                <w:b/>
                <w:sz w:val="24"/>
                <w:szCs w:val="24"/>
              </w:rPr>
              <w:t>Team of Submission Preparation</w:t>
            </w:r>
          </w:p>
        </w:tc>
        <w:tc>
          <w:tcPr>
            <w:tcW w:w="4680" w:type="dxa"/>
          </w:tcPr>
          <w:p w:rsidR="00CC4CCF" w:rsidRPr="00975494" w:rsidRDefault="00CC4CCF" w:rsidP="00486209">
            <w:pPr>
              <w:rPr>
                <w:rFonts w:ascii="Times New Roman" w:hAnsi="Times New Roman" w:cs="Times New Roman"/>
                <w:b/>
                <w:sz w:val="24"/>
                <w:szCs w:val="24"/>
              </w:rPr>
            </w:pPr>
            <w:r w:rsidRPr="00975494">
              <w:rPr>
                <w:rFonts w:ascii="Times New Roman" w:hAnsi="Times New Roman" w:cs="Times New Roman"/>
                <w:b/>
                <w:sz w:val="24"/>
                <w:szCs w:val="24"/>
              </w:rPr>
              <w:t>Respondents to the submission in the roundtable held on 1</w:t>
            </w:r>
            <w:r w:rsidR="00486209">
              <w:rPr>
                <w:rFonts w:ascii="Times New Roman" w:hAnsi="Times New Roman" w:cs="Times New Roman"/>
                <w:b/>
                <w:sz w:val="24"/>
                <w:szCs w:val="24"/>
              </w:rPr>
              <w:t>3</w:t>
            </w:r>
            <w:r w:rsidRPr="00975494">
              <w:rPr>
                <w:rFonts w:ascii="Times New Roman" w:hAnsi="Times New Roman" w:cs="Times New Roman"/>
                <w:b/>
                <w:sz w:val="24"/>
                <w:szCs w:val="24"/>
              </w:rPr>
              <w:t xml:space="preserve"> January 2024</w:t>
            </w:r>
          </w:p>
        </w:tc>
      </w:tr>
      <w:tr w:rsidR="00CC4CCF" w:rsidTr="00CC4CCF">
        <w:tc>
          <w:tcPr>
            <w:tcW w:w="4788" w:type="dxa"/>
          </w:tcPr>
          <w:p w:rsidR="00CC4CCF" w:rsidRDefault="00CC4CCF">
            <w:pPr>
              <w:rPr>
                <w:rFonts w:ascii="Times New Roman" w:hAnsi="Times New Roman" w:cs="Times New Roman"/>
                <w:sz w:val="24"/>
                <w:szCs w:val="24"/>
              </w:rPr>
            </w:pPr>
            <w:r>
              <w:rPr>
                <w:rFonts w:ascii="Times New Roman" w:hAnsi="Times New Roman" w:cs="Times New Roman"/>
                <w:sz w:val="24"/>
                <w:szCs w:val="24"/>
              </w:rPr>
              <w:t>Sony Pellissery (Lead)</w:t>
            </w:r>
          </w:p>
          <w:p w:rsidR="00975494" w:rsidRDefault="00975494">
            <w:pPr>
              <w:rPr>
                <w:rFonts w:ascii="Times New Roman" w:hAnsi="Times New Roman" w:cs="Times New Roman"/>
                <w:sz w:val="24"/>
                <w:szCs w:val="24"/>
              </w:rPr>
            </w:pPr>
            <w:r>
              <w:rPr>
                <w:rFonts w:ascii="Times New Roman" w:hAnsi="Times New Roman" w:cs="Times New Roman"/>
                <w:sz w:val="24"/>
                <w:szCs w:val="24"/>
              </w:rPr>
              <w:t>Anushka Verma</w:t>
            </w:r>
          </w:p>
          <w:p w:rsidR="00CC4CCF" w:rsidRDefault="00CC4CCF">
            <w:pPr>
              <w:rPr>
                <w:rFonts w:ascii="Times New Roman" w:hAnsi="Times New Roman" w:cs="Times New Roman"/>
                <w:sz w:val="24"/>
                <w:szCs w:val="24"/>
              </w:rPr>
            </w:pPr>
            <w:r>
              <w:rPr>
                <w:rFonts w:ascii="Times New Roman" w:hAnsi="Times New Roman" w:cs="Times New Roman"/>
                <w:sz w:val="24"/>
                <w:szCs w:val="24"/>
              </w:rPr>
              <w:t>Atish Padhy</w:t>
            </w:r>
          </w:p>
          <w:p w:rsidR="00975494" w:rsidRDefault="00975494">
            <w:pPr>
              <w:rPr>
                <w:rFonts w:ascii="Times New Roman" w:hAnsi="Times New Roman" w:cs="Times New Roman"/>
                <w:sz w:val="24"/>
                <w:szCs w:val="24"/>
              </w:rPr>
            </w:pPr>
            <w:r>
              <w:rPr>
                <w:rFonts w:ascii="Times New Roman" w:hAnsi="Times New Roman" w:cs="Times New Roman"/>
                <w:sz w:val="24"/>
                <w:szCs w:val="24"/>
              </w:rPr>
              <w:t xml:space="preserve">Neel </w:t>
            </w:r>
            <w:r w:rsidR="00D548E4">
              <w:rPr>
                <w:rFonts w:ascii="Times New Roman" w:hAnsi="Times New Roman" w:cs="Times New Roman"/>
                <w:sz w:val="24"/>
                <w:szCs w:val="24"/>
              </w:rPr>
              <w:t xml:space="preserve">Lohit </w:t>
            </w:r>
            <w:r>
              <w:rPr>
                <w:rFonts w:ascii="Times New Roman" w:hAnsi="Times New Roman" w:cs="Times New Roman"/>
                <w:sz w:val="24"/>
                <w:szCs w:val="24"/>
              </w:rPr>
              <w:t>Pandey</w:t>
            </w:r>
          </w:p>
          <w:p w:rsidR="00CC4CCF" w:rsidRDefault="00975494">
            <w:pPr>
              <w:rPr>
                <w:rFonts w:ascii="Times New Roman" w:hAnsi="Times New Roman" w:cs="Times New Roman"/>
                <w:sz w:val="24"/>
                <w:szCs w:val="24"/>
              </w:rPr>
            </w:pPr>
            <w:r>
              <w:rPr>
                <w:rFonts w:ascii="Times New Roman" w:hAnsi="Times New Roman" w:cs="Times New Roman"/>
                <w:sz w:val="24"/>
                <w:szCs w:val="24"/>
              </w:rPr>
              <w:t>Riah Rath</w:t>
            </w:r>
          </w:p>
          <w:p w:rsidR="00975494" w:rsidRDefault="00975494">
            <w:pPr>
              <w:rPr>
                <w:rFonts w:ascii="Times New Roman" w:hAnsi="Times New Roman" w:cs="Times New Roman"/>
                <w:sz w:val="24"/>
                <w:szCs w:val="24"/>
              </w:rPr>
            </w:pPr>
            <w:r>
              <w:rPr>
                <w:rFonts w:ascii="Times New Roman" w:hAnsi="Times New Roman" w:cs="Times New Roman"/>
                <w:sz w:val="24"/>
                <w:szCs w:val="24"/>
              </w:rPr>
              <w:t>Shivangi</w:t>
            </w:r>
            <w:r w:rsidR="00D47C18">
              <w:rPr>
                <w:rFonts w:ascii="Times New Roman" w:hAnsi="Times New Roman" w:cs="Times New Roman"/>
                <w:sz w:val="24"/>
                <w:szCs w:val="24"/>
              </w:rPr>
              <w:t xml:space="preserve"> Garg</w:t>
            </w:r>
          </w:p>
          <w:p w:rsidR="00975494" w:rsidRDefault="00975494">
            <w:pPr>
              <w:rPr>
                <w:rFonts w:ascii="Times New Roman" w:hAnsi="Times New Roman" w:cs="Times New Roman"/>
                <w:sz w:val="24"/>
                <w:szCs w:val="24"/>
              </w:rPr>
            </w:pPr>
            <w:r>
              <w:rPr>
                <w:rFonts w:ascii="Times New Roman" w:hAnsi="Times New Roman" w:cs="Times New Roman"/>
                <w:sz w:val="24"/>
                <w:szCs w:val="24"/>
              </w:rPr>
              <w:t>Sithara</w:t>
            </w:r>
            <w:r w:rsidR="00D47C18">
              <w:rPr>
                <w:rFonts w:ascii="Times New Roman" w:hAnsi="Times New Roman" w:cs="Times New Roman"/>
                <w:sz w:val="24"/>
                <w:szCs w:val="24"/>
              </w:rPr>
              <w:t xml:space="preserve"> Babu</w:t>
            </w:r>
          </w:p>
          <w:p w:rsidR="00CC4CCF" w:rsidRDefault="00CC4CCF">
            <w:pPr>
              <w:rPr>
                <w:rFonts w:ascii="Times New Roman" w:hAnsi="Times New Roman" w:cs="Times New Roman"/>
                <w:sz w:val="24"/>
                <w:szCs w:val="24"/>
              </w:rPr>
            </w:pPr>
          </w:p>
          <w:p w:rsidR="00CC4CCF" w:rsidRDefault="00CC4CCF">
            <w:pPr>
              <w:rPr>
                <w:rFonts w:ascii="Times New Roman" w:hAnsi="Times New Roman" w:cs="Times New Roman"/>
                <w:sz w:val="24"/>
                <w:szCs w:val="24"/>
              </w:rPr>
            </w:pPr>
          </w:p>
        </w:tc>
        <w:tc>
          <w:tcPr>
            <w:tcW w:w="4680" w:type="dxa"/>
          </w:tcPr>
          <w:p w:rsidR="00CC4CCF" w:rsidRDefault="00486209">
            <w:pPr>
              <w:rPr>
                <w:rFonts w:ascii="Times New Roman" w:hAnsi="Times New Roman" w:cs="Times New Roman"/>
                <w:sz w:val="24"/>
                <w:szCs w:val="24"/>
              </w:rPr>
            </w:pPr>
            <w:r>
              <w:rPr>
                <w:rFonts w:ascii="Times New Roman" w:hAnsi="Times New Roman" w:cs="Times New Roman"/>
                <w:sz w:val="24"/>
                <w:szCs w:val="24"/>
              </w:rPr>
              <w:t>Radhika Chitkare</w:t>
            </w:r>
          </w:p>
          <w:p w:rsidR="00486209" w:rsidRDefault="00486209">
            <w:pPr>
              <w:rPr>
                <w:rFonts w:ascii="Times New Roman" w:hAnsi="Times New Roman" w:cs="Times New Roman"/>
                <w:sz w:val="24"/>
                <w:szCs w:val="24"/>
              </w:rPr>
            </w:pPr>
            <w:r>
              <w:rPr>
                <w:rFonts w:ascii="Times New Roman" w:hAnsi="Times New Roman" w:cs="Times New Roman"/>
                <w:sz w:val="24"/>
                <w:szCs w:val="24"/>
              </w:rPr>
              <w:t>Neel D’Souza</w:t>
            </w:r>
          </w:p>
          <w:p w:rsidR="00486209" w:rsidRDefault="00486209">
            <w:pPr>
              <w:rPr>
                <w:rFonts w:ascii="Times New Roman" w:hAnsi="Times New Roman" w:cs="Times New Roman"/>
                <w:sz w:val="24"/>
                <w:szCs w:val="24"/>
              </w:rPr>
            </w:pPr>
            <w:r>
              <w:rPr>
                <w:rFonts w:ascii="Times New Roman" w:hAnsi="Times New Roman" w:cs="Times New Roman"/>
                <w:sz w:val="24"/>
                <w:szCs w:val="24"/>
              </w:rPr>
              <w:t>Sarthak Wadhwa</w:t>
            </w:r>
          </w:p>
          <w:p w:rsidR="00D548E4" w:rsidRDefault="00D548E4">
            <w:pPr>
              <w:rPr>
                <w:rFonts w:ascii="Times New Roman" w:hAnsi="Times New Roman" w:cs="Times New Roman"/>
                <w:sz w:val="24"/>
                <w:szCs w:val="24"/>
              </w:rPr>
            </w:pPr>
            <w:r>
              <w:rPr>
                <w:rFonts w:ascii="Times New Roman" w:hAnsi="Times New Roman" w:cs="Times New Roman"/>
                <w:sz w:val="24"/>
                <w:szCs w:val="24"/>
              </w:rPr>
              <w:t xml:space="preserve">Sapni G. K. </w:t>
            </w:r>
          </w:p>
          <w:p w:rsidR="00486209" w:rsidRDefault="00486209">
            <w:pPr>
              <w:rPr>
                <w:rFonts w:ascii="Times New Roman" w:hAnsi="Times New Roman" w:cs="Times New Roman"/>
                <w:sz w:val="24"/>
                <w:szCs w:val="24"/>
              </w:rPr>
            </w:pPr>
            <w:r>
              <w:rPr>
                <w:rFonts w:ascii="Times New Roman" w:hAnsi="Times New Roman" w:cs="Times New Roman"/>
                <w:sz w:val="24"/>
                <w:szCs w:val="24"/>
              </w:rPr>
              <w:t>V. Ashish</w:t>
            </w:r>
          </w:p>
          <w:p w:rsidR="00486209" w:rsidRDefault="00D548E4">
            <w:pPr>
              <w:rPr>
                <w:rFonts w:ascii="Times New Roman" w:hAnsi="Times New Roman" w:cs="Times New Roman"/>
                <w:sz w:val="24"/>
                <w:szCs w:val="24"/>
              </w:rPr>
            </w:pPr>
            <w:r>
              <w:rPr>
                <w:rFonts w:ascii="Times New Roman" w:hAnsi="Times New Roman" w:cs="Times New Roman"/>
                <w:sz w:val="24"/>
                <w:szCs w:val="24"/>
              </w:rPr>
              <w:t>Saumya Singh</w:t>
            </w:r>
          </w:p>
        </w:tc>
      </w:tr>
    </w:tbl>
    <w:p w:rsidR="00CC4CCF" w:rsidRPr="00CC4CCF" w:rsidRDefault="00CC4CCF">
      <w:pPr>
        <w:rPr>
          <w:rFonts w:ascii="Times New Roman" w:hAnsi="Times New Roman" w:cs="Times New Roman"/>
          <w:sz w:val="24"/>
          <w:szCs w:val="24"/>
        </w:rPr>
      </w:pPr>
    </w:p>
    <w:p w:rsidR="00CF6E2F" w:rsidRDefault="00CF6E2F"/>
    <w:p w:rsidR="00DA7F51" w:rsidRDefault="00DA7F51"/>
    <w:p w:rsidR="00DA7F51" w:rsidRDefault="00DA7F51"/>
    <w:p w:rsidR="00DA7F51" w:rsidRDefault="00DA7F51"/>
    <w:p w:rsidR="009312F1" w:rsidRPr="00686F8D" w:rsidRDefault="009312F1">
      <w:pPr>
        <w:rPr>
          <w:rFonts w:ascii="Times New Roman" w:hAnsi="Times New Roman" w:cs="Times New Roman"/>
          <w:b/>
          <w:sz w:val="24"/>
          <w:szCs w:val="24"/>
        </w:rPr>
      </w:pPr>
      <w:r w:rsidRPr="00686F8D">
        <w:rPr>
          <w:rFonts w:ascii="Times New Roman" w:hAnsi="Times New Roman" w:cs="Times New Roman"/>
          <w:b/>
          <w:sz w:val="24"/>
          <w:szCs w:val="24"/>
        </w:rPr>
        <w:lastRenderedPageBreak/>
        <w:t>Introduction</w:t>
      </w:r>
    </w:p>
    <w:p w:rsidR="0033688C" w:rsidRPr="007F215C" w:rsidRDefault="009312F1" w:rsidP="007F215C">
      <w:pPr>
        <w:spacing w:line="360" w:lineRule="auto"/>
        <w:jc w:val="both"/>
        <w:rPr>
          <w:rFonts w:ascii="Times New Roman" w:hAnsi="Times New Roman" w:cs="Times New Roman"/>
          <w:sz w:val="24"/>
          <w:szCs w:val="24"/>
        </w:rPr>
      </w:pPr>
      <w:r w:rsidRPr="007F215C">
        <w:rPr>
          <w:rFonts w:ascii="Times New Roman" w:hAnsi="Times New Roman" w:cs="Times New Roman"/>
          <w:sz w:val="24"/>
          <w:szCs w:val="24"/>
        </w:rPr>
        <w:t xml:space="preserve">The reasons for search </w:t>
      </w:r>
      <w:r w:rsidR="000A37AA" w:rsidRPr="007F215C">
        <w:rPr>
          <w:rFonts w:ascii="Times New Roman" w:hAnsi="Times New Roman" w:cs="Times New Roman"/>
          <w:sz w:val="24"/>
          <w:szCs w:val="24"/>
        </w:rPr>
        <w:t xml:space="preserve">of post-growth welfare models are hugely different in the Global North and South. On the one hand, </w:t>
      </w:r>
      <w:r w:rsidRPr="007F215C">
        <w:rPr>
          <w:rFonts w:ascii="Times New Roman" w:hAnsi="Times New Roman" w:cs="Times New Roman"/>
          <w:color w:val="222222"/>
          <w:sz w:val="24"/>
          <w:szCs w:val="24"/>
          <w:shd w:val="clear" w:color="auto" w:fill="FFFFFF"/>
        </w:rPr>
        <w:t xml:space="preserve">for last 40 years there been </w:t>
      </w:r>
      <w:r w:rsidR="000977F1" w:rsidRPr="007F215C">
        <w:rPr>
          <w:rFonts w:ascii="Times New Roman" w:hAnsi="Times New Roman" w:cs="Times New Roman"/>
          <w:color w:val="222222"/>
          <w:sz w:val="24"/>
          <w:szCs w:val="24"/>
          <w:shd w:val="clear" w:color="auto" w:fill="FFFFFF"/>
        </w:rPr>
        <w:t xml:space="preserve">negative or </w:t>
      </w:r>
      <w:r w:rsidR="000A37AA" w:rsidRPr="007F215C">
        <w:rPr>
          <w:rFonts w:ascii="Times New Roman" w:hAnsi="Times New Roman" w:cs="Times New Roman"/>
          <w:color w:val="222222"/>
          <w:sz w:val="24"/>
          <w:szCs w:val="24"/>
          <w:shd w:val="clear" w:color="auto" w:fill="FFFFFF"/>
        </w:rPr>
        <w:t>zero growth in Europe</w:t>
      </w:r>
      <w:r w:rsidRPr="007F215C">
        <w:rPr>
          <w:rFonts w:ascii="Times New Roman" w:hAnsi="Times New Roman" w:cs="Times New Roman"/>
          <w:color w:val="222222"/>
          <w:sz w:val="24"/>
          <w:szCs w:val="24"/>
          <w:shd w:val="clear" w:color="auto" w:fill="FFFFFF"/>
        </w:rPr>
        <w:t xml:space="preserve">. </w:t>
      </w:r>
      <w:r w:rsidR="000A37AA" w:rsidRPr="007F215C">
        <w:rPr>
          <w:rFonts w:ascii="Times New Roman" w:hAnsi="Times New Roman" w:cs="Times New Roman"/>
          <w:color w:val="222222"/>
          <w:sz w:val="24"/>
          <w:szCs w:val="24"/>
          <w:shd w:val="clear" w:color="auto" w:fill="FFFFFF"/>
        </w:rPr>
        <w:t xml:space="preserve"> This implies search for alternative models of welfare arrangements those were made in the Golden era of welfare state (</w:t>
      </w:r>
      <w:hyperlink r:id="rId8" w:history="1">
        <w:r w:rsidR="000A37AA" w:rsidRPr="007F215C">
          <w:rPr>
            <w:rStyle w:val="Hyperlink"/>
            <w:rFonts w:ascii="Times New Roman" w:hAnsi="Times New Roman" w:cs="Times New Roman"/>
            <w:sz w:val="24"/>
            <w:szCs w:val="24"/>
            <w:shd w:val="clear" w:color="auto" w:fill="FFFFFF"/>
          </w:rPr>
          <w:t>Walker et al, 2021</w:t>
        </w:r>
      </w:hyperlink>
      <w:r w:rsidR="000A37AA" w:rsidRPr="007F215C">
        <w:rPr>
          <w:rFonts w:ascii="Times New Roman" w:hAnsi="Times New Roman" w:cs="Times New Roman"/>
          <w:color w:val="222222"/>
          <w:sz w:val="24"/>
          <w:szCs w:val="24"/>
          <w:shd w:val="clear" w:color="auto" w:fill="FFFFFF"/>
        </w:rPr>
        <w:t xml:space="preserve">). On the other hand, </w:t>
      </w:r>
      <w:r w:rsidRPr="007F215C">
        <w:rPr>
          <w:rFonts w:ascii="Times New Roman" w:hAnsi="Times New Roman" w:cs="Times New Roman"/>
          <w:color w:val="222222"/>
          <w:sz w:val="24"/>
          <w:szCs w:val="24"/>
          <w:shd w:val="clear" w:color="auto" w:fill="FFFFFF"/>
        </w:rPr>
        <w:t>growth is possible and is taking place</w:t>
      </w:r>
      <w:r w:rsidR="000A37AA" w:rsidRPr="007F215C">
        <w:rPr>
          <w:rFonts w:ascii="Times New Roman" w:hAnsi="Times New Roman" w:cs="Times New Roman"/>
          <w:color w:val="222222"/>
          <w:sz w:val="24"/>
          <w:szCs w:val="24"/>
          <w:shd w:val="clear" w:color="auto" w:fill="FFFFFF"/>
        </w:rPr>
        <w:t xml:space="preserve"> in the South.  But, the </w:t>
      </w:r>
      <w:r w:rsidRPr="007F215C">
        <w:rPr>
          <w:rFonts w:ascii="Times New Roman" w:hAnsi="Times New Roman" w:cs="Times New Roman"/>
          <w:color w:val="222222"/>
          <w:sz w:val="24"/>
          <w:szCs w:val="24"/>
          <w:shd w:val="clear" w:color="auto" w:fill="FFFFFF"/>
        </w:rPr>
        <w:t xml:space="preserve">outcomes </w:t>
      </w:r>
      <w:r w:rsidR="000A37AA" w:rsidRPr="007F215C">
        <w:rPr>
          <w:rFonts w:ascii="Times New Roman" w:hAnsi="Times New Roman" w:cs="Times New Roman"/>
          <w:color w:val="222222"/>
          <w:sz w:val="24"/>
          <w:szCs w:val="24"/>
          <w:shd w:val="clear" w:color="auto" w:fill="FFFFFF"/>
        </w:rPr>
        <w:t xml:space="preserve">of economic </w:t>
      </w:r>
      <w:r w:rsidRPr="007F215C">
        <w:rPr>
          <w:rFonts w:ascii="Times New Roman" w:hAnsi="Times New Roman" w:cs="Times New Roman"/>
          <w:color w:val="222222"/>
          <w:sz w:val="24"/>
          <w:szCs w:val="24"/>
          <w:shd w:val="clear" w:color="auto" w:fill="FFFFFF"/>
        </w:rPr>
        <w:t xml:space="preserve">growth are </w:t>
      </w:r>
      <w:r w:rsidR="001776B0" w:rsidRPr="007F215C">
        <w:rPr>
          <w:rFonts w:ascii="Times New Roman" w:hAnsi="Times New Roman" w:cs="Times New Roman"/>
          <w:sz w:val="24"/>
          <w:szCs w:val="24"/>
          <w:shd w:val="clear" w:color="auto" w:fill="FFFFFF"/>
        </w:rPr>
        <w:t xml:space="preserve">far from </w:t>
      </w:r>
      <w:r w:rsidRPr="007F215C">
        <w:rPr>
          <w:rFonts w:ascii="Times New Roman" w:hAnsi="Times New Roman" w:cs="Times New Roman"/>
          <w:sz w:val="24"/>
          <w:szCs w:val="24"/>
          <w:shd w:val="clear" w:color="auto" w:fill="FFFFFF"/>
        </w:rPr>
        <w:t>desirable</w:t>
      </w:r>
      <w:r w:rsidRPr="007F215C">
        <w:rPr>
          <w:rFonts w:ascii="Times New Roman" w:hAnsi="Times New Roman" w:cs="Times New Roman"/>
          <w:color w:val="222222"/>
          <w:sz w:val="24"/>
          <w:szCs w:val="24"/>
          <w:shd w:val="clear" w:color="auto" w:fill="FFFFFF"/>
        </w:rPr>
        <w:t xml:space="preserve"> (e.g. inequality has increased in countries where growth has taken place in last two decades namely India and China</w:t>
      </w:r>
      <w:r w:rsidR="0033688C" w:rsidRPr="007F215C">
        <w:rPr>
          <w:rFonts w:ascii="Times New Roman" w:hAnsi="Times New Roman" w:cs="Times New Roman"/>
          <w:color w:val="222222"/>
          <w:sz w:val="24"/>
          <w:szCs w:val="24"/>
          <w:shd w:val="clear" w:color="auto" w:fill="FFFFFF"/>
        </w:rPr>
        <w:t>; similarly, environmental outcomes due to growth models are discouraging</w:t>
      </w:r>
      <w:r w:rsidRPr="007F215C">
        <w:rPr>
          <w:rFonts w:ascii="Times New Roman" w:hAnsi="Times New Roman" w:cs="Times New Roman"/>
          <w:color w:val="222222"/>
          <w:sz w:val="24"/>
          <w:szCs w:val="24"/>
          <w:shd w:val="clear" w:color="auto" w:fill="FFFFFF"/>
        </w:rPr>
        <w:t xml:space="preserve">). </w:t>
      </w:r>
      <w:r w:rsidR="000A37AA" w:rsidRPr="007F215C">
        <w:rPr>
          <w:rFonts w:ascii="Times New Roman" w:hAnsi="Times New Roman" w:cs="Times New Roman"/>
          <w:color w:val="222222"/>
          <w:sz w:val="24"/>
          <w:szCs w:val="24"/>
          <w:shd w:val="clear" w:color="auto" w:fill="FFFFFF"/>
        </w:rPr>
        <w:t>This submission is looking for alternative welfare arrangements in the light of propositions for post-growth welfare society (</w:t>
      </w:r>
      <w:hyperlink r:id="rId9" w:history="1">
        <w:r w:rsidR="000A37AA" w:rsidRPr="007F215C">
          <w:rPr>
            <w:rStyle w:val="Hyperlink"/>
            <w:rFonts w:ascii="Times New Roman" w:hAnsi="Times New Roman" w:cs="Times New Roman"/>
            <w:sz w:val="24"/>
            <w:szCs w:val="24"/>
          </w:rPr>
          <w:t>Pellissery</w:t>
        </w:r>
        <w:r w:rsidR="00F40B0B" w:rsidRPr="007F215C">
          <w:rPr>
            <w:rStyle w:val="Hyperlink"/>
            <w:rFonts w:ascii="Times New Roman" w:hAnsi="Times New Roman" w:cs="Times New Roman"/>
            <w:sz w:val="24"/>
            <w:szCs w:val="24"/>
          </w:rPr>
          <w:t>,</w:t>
        </w:r>
        <w:r w:rsidR="000A37AA" w:rsidRPr="007F215C">
          <w:rPr>
            <w:rStyle w:val="Hyperlink"/>
            <w:rFonts w:ascii="Times New Roman" w:hAnsi="Times New Roman" w:cs="Times New Roman"/>
            <w:sz w:val="24"/>
            <w:szCs w:val="24"/>
          </w:rPr>
          <w:t xml:space="preserve"> 2024</w:t>
        </w:r>
      </w:hyperlink>
      <w:r w:rsidR="000A37AA" w:rsidRPr="007F215C">
        <w:rPr>
          <w:rFonts w:ascii="Times New Roman" w:hAnsi="Times New Roman" w:cs="Times New Roman"/>
          <w:sz w:val="24"/>
          <w:szCs w:val="24"/>
        </w:rPr>
        <w:t>).</w:t>
      </w:r>
      <w:r w:rsidR="00D52A9E" w:rsidRPr="007F215C">
        <w:rPr>
          <w:rFonts w:ascii="Times New Roman" w:hAnsi="Times New Roman" w:cs="Times New Roman"/>
          <w:sz w:val="24"/>
          <w:szCs w:val="24"/>
        </w:rPr>
        <w:t xml:space="preserve"> The running theme through the proposal made in this submission is measures for advancing social function of property by reimagining a new relationship between work and property.</w:t>
      </w:r>
    </w:p>
    <w:p w:rsidR="0032078E" w:rsidRDefault="0032078E"/>
    <w:p w:rsidR="0070739F" w:rsidRPr="00686F8D" w:rsidRDefault="00042043">
      <w:pPr>
        <w:rPr>
          <w:rFonts w:ascii="Times New Roman" w:hAnsi="Times New Roman" w:cs="Times New Roman"/>
          <w:b/>
          <w:sz w:val="24"/>
          <w:szCs w:val="24"/>
        </w:rPr>
      </w:pPr>
      <w:r w:rsidRPr="00686F8D">
        <w:rPr>
          <w:rFonts w:ascii="Times New Roman" w:hAnsi="Times New Roman" w:cs="Times New Roman"/>
          <w:b/>
          <w:sz w:val="24"/>
          <w:szCs w:val="24"/>
        </w:rPr>
        <w:t>Self-Sufficiency approaches in food production reduced quality of land and sustenance</w:t>
      </w:r>
    </w:p>
    <w:p w:rsidR="00022BCC" w:rsidRDefault="00022BCC" w:rsidP="007F215C">
      <w:pPr>
        <w:spacing w:line="360" w:lineRule="auto"/>
        <w:jc w:val="both"/>
        <w:rPr>
          <w:rFonts w:ascii="Times New Roman" w:hAnsi="Times New Roman"/>
          <w:sz w:val="24"/>
          <w:szCs w:val="24"/>
        </w:rPr>
      </w:pPr>
      <w:r>
        <w:rPr>
          <w:rFonts w:ascii="Times New Roman" w:hAnsi="Times New Roman"/>
          <w:sz w:val="24"/>
          <w:szCs w:val="24"/>
        </w:rPr>
        <w:t xml:space="preserve">India’s commitment to self sufficiency in food can be </w:t>
      </w:r>
      <w:r w:rsidR="007F215C">
        <w:rPr>
          <w:rFonts w:ascii="Times New Roman" w:hAnsi="Times New Roman"/>
          <w:sz w:val="24"/>
          <w:szCs w:val="24"/>
        </w:rPr>
        <w:t>t</w:t>
      </w:r>
      <w:r>
        <w:rPr>
          <w:rFonts w:ascii="Times New Roman" w:hAnsi="Times New Roman"/>
          <w:sz w:val="24"/>
          <w:szCs w:val="24"/>
        </w:rPr>
        <w:t>raced b</w:t>
      </w:r>
      <w:r w:rsidR="00304A05">
        <w:rPr>
          <w:rFonts w:ascii="Times New Roman" w:hAnsi="Times New Roman"/>
          <w:sz w:val="24"/>
          <w:szCs w:val="24"/>
        </w:rPr>
        <w:t>ack</w:t>
      </w:r>
      <w:r>
        <w:rPr>
          <w:rFonts w:ascii="Times New Roman" w:hAnsi="Times New Roman"/>
          <w:sz w:val="24"/>
          <w:szCs w:val="24"/>
        </w:rPr>
        <w:t xml:space="preserve"> to the Green Revolution. The Green Revolution was India’s solution to its vulnerability to famine</w:t>
      </w:r>
      <w:r w:rsidR="007F215C">
        <w:rPr>
          <w:rFonts w:ascii="Times New Roman" w:hAnsi="Times New Roman"/>
          <w:sz w:val="24"/>
          <w:szCs w:val="24"/>
        </w:rPr>
        <w:t xml:space="preserve"> in 194</w:t>
      </w:r>
      <w:r w:rsidR="0032078E">
        <w:rPr>
          <w:rFonts w:ascii="Times New Roman" w:hAnsi="Times New Roman"/>
          <w:sz w:val="24"/>
          <w:szCs w:val="24"/>
        </w:rPr>
        <w:t>0s</w:t>
      </w:r>
      <w:r>
        <w:rPr>
          <w:rFonts w:ascii="Times New Roman" w:hAnsi="Times New Roman"/>
          <w:sz w:val="24"/>
          <w:szCs w:val="24"/>
        </w:rPr>
        <w:t>. Despite the food production being consistently higher than India’s 2.14% population growth, the per capita availability of food grains had remained static till the 1990s.</w:t>
      </w:r>
      <w:r w:rsidR="007F215C">
        <w:rPr>
          <w:rFonts w:ascii="Times New Roman" w:hAnsi="Times New Roman"/>
          <w:sz w:val="24"/>
          <w:szCs w:val="24"/>
        </w:rPr>
        <w:t xml:space="preserve"> </w:t>
      </w:r>
      <w:r>
        <w:rPr>
          <w:rFonts w:ascii="Times New Roman" w:hAnsi="Times New Roman"/>
          <w:sz w:val="24"/>
          <w:szCs w:val="24"/>
        </w:rPr>
        <w:t>While the Green Revolution increased the productivity in the Northern Indian states especially Punjab and Haryana, it ushered in sharp deceleration in per hectare productivity in the southern states. During the periods 1970-73 to 1980-83, per hectare productivity declined in Tamil Nadu, Karnataka and Kerala.</w:t>
      </w:r>
    </w:p>
    <w:p w:rsidR="00304A05" w:rsidRDefault="00304A05" w:rsidP="007F215C">
      <w:pPr>
        <w:pStyle w:val="Body"/>
        <w:spacing w:after="2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With majority of the farmers belonging to small and marginal category with 86.2% of land holdings </w:t>
      </w:r>
      <w:r w:rsidR="002240E1">
        <w:rPr>
          <w:rFonts w:ascii="Times New Roman" w:hAnsi="Times New Roman"/>
          <w:sz w:val="24"/>
          <w:szCs w:val="24"/>
        </w:rPr>
        <w:t>being less than 2 hectares (ha)</w:t>
      </w:r>
      <w:r>
        <w:rPr>
          <w:rFonts w:ascii="Times New Roman" w:hAnsi="Times New Roman"/>
          <w:sz w:val="24"/>
          <w:szCs w:val="24"/>
        </w:rPr>
        <w:t xml:space="preserve">, there is a need to apply a “food system approach” which draws out the interactions between economic growth, self-sufficiency, agricultural production and nutritional outcomes. </w:t>
      </w:r>
    </w:p>
    <w:p w:rsidR="00304A05" w:rsidRDefault="00304A05" w:rsidP="007F215C">
      <w:pPr>
        <w:spacing w:line="360" w:lineRule="auto"/>
        <w:jc w:val="both"/>
        <w:rPr>
          <w:rFonts w:ascii="Times New Roman" w:hAnsi="Times New Roman"/>
          <w:sz w:val="24"/>
          <w:szCs w:val="24"/>
        </w:rPr>
      </w:pPr>
      <w:r>
        <w:rPr>
          <w:rFonts w:ascii="Times New Roman" w:hAnsi="Times New Roman"/>
          <w:sz w:val="24"/>
          <w:szCs w:val="24"/>
        </w:rPr>
        <w:t xml:space="preserve">One example of this is the nitrogen </w:t>
      </w:r>
      <w:r w:rsidR="00F70716">
        <w:rPr>
          <w:rFonts w:ascii="Times New Roman" w:hAnsi="Times New Roman"/>
          <w:sz w:val="24"/>
          <w:szCs w:val="24"/>
        </w:rPr>
        <w:t>fertilizer</w:t>
      </w:r>
      <w:r>
        <w:rPr>
          <w:rFonts w:ascii="Times New Roman" w:hAnsi="Times New Roman"/>
          <w:sz w:val="24"/>
          <w:szCs w:val="24"/>
        </w:rPr>
        <w:t xml:space="preserve"> subsidies which are </w:t>
      </w:r>
      <w:r w:rsidR="00F70716">
        <w:rPr>
          <w:rFonts w:ascii="Times New Roman" w:hAnsi="Times New Roman"/>
          <w:sz w:val="24"/>
          <w:szCs w:val="24"/>
        </w:rPr>
        <w:t>subsidized</w:t>
      </w:r>
      <w:r>
        <w:rPr>
          <w:rFonts w:ascii="Times New Roman" w:hAnsi="Times New Roman"/>
          <w:sz w:val="24"/>
          <w:szCs w:val="24"/>
        </w:rPr>
        <w:t xml:space="preserve"> nearly to 75% of their cost which has resulted in massive overuse of the nitrogen based </w:t>
      </w:r>
      <w:r w:rsidR="00F70716">
        <w:rPr>
          <w:rFonts w:ascii="Times New Roman" w:hAnsi="Times New Roman"/>
          <w:sz w:val="24"/>
          <w:szCs w:val="24"/>
        </w:rPr>
        <w:t>fertilizers</w:t>
      </w:r>
      <w:r>
        <w:rPr>
          <w:rFonts w:ascii="Times New Roman" w:hAnsi="Times New Roman"/>
          <w:sz w:val="24"/>
          <w:szCs w:val="24"/>
        </w:rPr>
        <w:t xml:space="preserve"> which in turn has reduced soil fertility while polluting the local water bodies.  The self-sufficiency in </w:t>
      </w:r>
      <w:r>
        <w:rPr>
          <w:rFonts w:ascii="Times New Roman" w:hAnsi="Times New Roman"/>
          <w:sz w:val="24"/>
          <w:szCs w:val="24"/>
        </w:rPr>
        <w:lastRenderedPageBreak/>
        <w:t xml:space="preserve">agriculture has also come at the cost of our groundwater resources. </w:t>
      </w:r>
      <w:r w:rsidR="007E2DC2">
        <w:rPr>
          <w:rFonts w:ascii="Times New Roman" w:hAnsi="Times New Roman"/>
          <w:sz w:val="24"/>
          <w:szCs w:val="24"/>
        </w:rPr>
        <w:t>Electricity subsidy provided to farmers to pump group water for production, has led to production of water intensive crops like rice and sugarcane, though the eco system in those regions primarily suited for sustainable crops like millets. An</w:t>
      </w:r>
      <w:r>
        <w:rPr>
          <w:rFonts w:ascii="Times New Roman" w:hAnsi="Times New Roman"/>
          <w:sz w:val="24"/>
          <w:szCs w:val="24"/>
        </w:rPr>
        <w:t xml:space="preserve"> assessment done by </w:t>
      </w:r>
      <w:r w:rsidR="007E2DC2">
        <w:rPr>
          <w:rFonts w:ascii="Times New Roman" w:hAnsi="Times New Roman"/>
          <w:sz w:val="24"/>
          <w:szCs w:val="24"/>
        </w:rPr>
        <w:t xml:space="preserve">Indian </w:t>
      </w:r>
      <w:r>
        <w:rPr>
          <w:rFonts w:ascii="Times New Roman" w:hAnsi="Times New Roman"/>
          <w:sz w:val="24"/>
          <w:szCs w:val="24"/>
        </w:rPr>
        <w:t>Central Ground Water Board (CGWB) which covered 6854 blocks, found that 1034 units were “over-exploited”, 253 were “critical” and 681 were “semi-critical”.</w:t>
      </w:r>
    </w:p>
    <w:p w:rsidR="0070739F" w:rsidRDefault="00983870" w:rsidP="007F215C">
      <w:pPr>
        <w:spacing w:line="360" w:lineRule="auto"/>
        <w:jc w:val="both"/>
        <w:rPr>
          <w:rFonts w:ascii="Times New Roman" w:hAnsi="Times New Roman"/>
          <w:sz w:val="24"/>
          <w:szCs w:val="24"/>
        </w:rPr>
      </w:pPr>
      <w:r>
        <w:rPr>
          <w:rFonts w:ascii="Times New Roman" w:hAnsi="Times New Roman"/>
          <w:sz w:val="24"/>
          <w:szCs w:val="24"/>
        </w:rPr>
        <w:t xml:space="preserve">Contrasting examples are </w:t>
      </w:r>
      <w:r w:rsidR="00B86431">
        <w:rPr>
          <w:rFonts w:ascii="Times New Roman" w:hAnsi="Times New Roman"/>
          <w:sz w:val="24"/>
          <w:szCs w:val="24"/>
        </w:rPr>
        <w:t>from Latin America. In the case of Colombia, the right to a balanced diet has been recognised by its constitution which has been interpreted by its court as the right to food security along with right to timely access to food adequate for meeting minimum nutritional needs. The Court’s have taken a broader understanding of food sovereignty which includes respecting and upholding the rights of local communities to forms of food production.</w:t>
      </w:r>
    </w:p>
    <w:p w:rsidR="008F64DE" w:rsidRDefault="008F64DE" w:rsidP="007F215C">
      <w:pPr>
        <w:spacing w:line="360" w:lineRule="auto"/>
        <w:jc w:val="both"/>
        <w:rPr>
          <w:rFonts w:ascii="Times New Roman" w:hAnsi="Times New Roman"/>
          <w:sz w:val="24"/>
          <w:szCs w:val="24"/>
        </w:rPr>
      </w:pPr>
      <w:r>
        <w:rPr>
          <w:rFonts w:ascii="Times New Roman" w:hAnsi="Times New Roman"/>
          <w:sz w:val="24"/>
          <w:szCs w:val="24"/>
        </w:rPr>
        <w:t>Both Colombia and Peru have advanced food sovereignty through peasants and indigenous organisations. The National Agrarian Confederation (CNA) has played a major role in this regard as it has shaped government policies throughout its criticism of the prioritisation given to  agribusinesses and international market over local production while calling for the prioritisation of ancestral agricultural practices, land security and ensuring just access to markets. The farmers face losses due to prioritisation given to the agro-export companies</w:t>
      </w:r>
      <w:r w:rsidR="007F215C">
        <w:rPr>
          <w:rFonts w:ascii="Times New Roman" w:hAnsi="Times New Roman"/>
          <w:sz w:val="24"/>
          <w:szCs w:val="24"/>
        </w:rPr>
        <w:t>,</w:t>
      </w:r>
      <w:r>
        <w:rPr>
          <w:rFonts w:ascii="Times New Roman" w:hAnsi="Times New Roman"/>
          <w:sz w:val="24"/>
          <w:szCs w:val="24"/>
        </w:rPr>
        <w:t xml:space="preserve"> which have operated in the country as part of the Food Trade </w:t>
      </w:r>
      <w:r w:rsidR="009E5682">
        <w:rPr>
          <w:rFonts w:ascii="Times New Roman" w:hAnsi="Times New Roman"/>
          <w:sz w:val="24"/>
          <w:szCs w:val="24"/>
        </w:rPr>
        <w:t>Agreement</w:t>
      </w:r>
      <w:r>
        <w:rPr>
          <w:rFonts w:ascii="Times New Roman" w:hAnsi="Times New Roman"/>
          <w:sz w:val="24"/>
          <w:szCs w:val="24"/>
        </w:rPr>
        <w:t>.</w:t>
      </w:r>
    </w:p>
    <w:p w:rsidR="00B86431" w:rsidRDefault="00B86431"/>
    <w:p w:rsidR="00FE3B02" w:rsidRPr="00686F8D" w:rsidRDefault="0033688C">
      <w:pPr>
        <w:rPr>
          <w:rFonts w:ascii="Times New Roman" w:hAnsi="Times New Roman" w:cs="Times New Roman"/>
          <w:b/>
          <w:sz w:val="24"/>
          <w:szCs w:val="24"/>
        </w:rPr>
      </w:pPr>
      <w:r w:rsidRPr="007F09C3">
        <w:rPr>
          <w:rFonts w:ascii="Times New Roman" w:hAnsi="Times New Roman" w:cs="Times New Roman"/>
          <w:b/>
          <w:sz w:val="24"/>
          <w:szCs w:val="24"/>
        </w:rPr>
        <w:t>H</w:t>
      </w:r>
      <w:r w:rsidR="00FE3B02" w:rsidRPr="00686F8D">
        <w:rPr>
          <w:rFonts w:ascii="Times New Roman" w:hAnsi="Times New Roman" w:cs="Times New Roman"/>
          <w:b/>
          <w:sz w:val="24"/>
          <w:szCs w:val="24"/>
        </w:rPr>
        <w:t>umanise the property by bringing social function upfront</w:t>
      </w:r>
    </w:p>
    <w:p w:rsidR="00FE3B02" w:rsidRPr="00686F8D" w:rsidRDefault="000221DE" w:rsidP="00286203">
      <w:pPr>
        <w:spacing w:line="360" w:lineRule="auto"/>
        <w:jc w:val="both"/>
        <w:rPr>
          <w:rFonts w:ascii="Times New Roman" w:hAnsi="Times New Roman" w:cs="Times New Roman"/>
          <w:sz w:val="24"/>
          <w:szCs w:val="24"/>
        </w:rPr>
      </w:pPr>
      <w:r w:rsidRPr="00686F8D">
        <w:rPr>
          <w:rFonts w:ascii="Times New Roman" w:hAnsi="Times New Roman" w:cs="Times New Roman"/>
          <w:sz w:val="24"/>
          <w:szCs w:val="24"/>
        </w:rPr>
        <w:t xml:space="preserve">Value creation of property by holding out, is clearly anti-labour. </w:t>
      </w:r>
      <w:r w:rsidR="00A053F9">
        <w:rPr>
          <w:rFonts w:ascii="Times New Roman" w:hAnsi="Times New Roman" w:cs="Times New Roman"/>
          <w:sz w:val="24"/>
          <w:szCs w:val="24"/>
        </w:rPr>
        <w:t xml:space="preserve">The land titling initiatives that swept across the world in last century has intensified this process of holding out. </w:t>
      </w:r>
      <w:r w:rsidRPr="00686F8D">
        <w:rPr>
          <w:rFonts w:ascii="Times New Roman" w:hAnsi="Times New Roman" w:cs="Times New Roman"/>
          <w:sz w:val="24"/>
          <w:szCs w:val="24"/>
        </w:rPr>
        <w:t xml:space="preserve">One of the ways to humanize property is making </w:t>
      </w:r>
      <w:r w:rsidR="00B9086E">
        <w:rPr>
          <w:rFonts w:ascii="Times New Roman" w:hAnsi="Times New Roman" w:cs="Times New Roman"/>
          <w:sz w:val="24"/>
          <w:szCs w:val="24"/>
        </w:rPr>
        <w:t>property</w:t>
      </w:r>
      <w:r w:rsidRPr="00686F8D">
        <w:rPr>
          <w:rFonts w:ascii="Times New Roman" w:hAnsi="Times New Roman" w:cs="Times New Roman"/>
          <w:sz w:val="24"/>
          <w:szCs w:val="24"/>
        </w:rPr>
        <w:t xml:space="preserve"> less exclusionary by putting it out for human flourishment purposes (Alexander </w:t>
      </w:r>
      <w:r w:rsidR="00943112" w:rsidRPr="00686F8D">
        <w:rPr>
          <w:rFonts w:ascii="Times New Roman" w:hAnsi="Times New Roman" w:cs="Times New Roman"/>
          <w:sz w:val="24"/>
          <w:szCs w:val="24"/>
        </w:rPr>
        <w:t>2018</w:t>
      </w:r>
      <w:r w:rsidRPr="00686F8D">
        <w:rPr>
          <w:rFonts w:ascii="Times New Roman" w:hAnsi="Times New Roman" w:cs="Times New Roman"/>
          <w:sz w:val="24"/>
          <w:szCs w:val="24"/>
        </w:rPr>
        <w:t>; Pellissery and Lodemel</w:t>
      </w:r>
      <w:r w:rsidR="00494E5D" w:rsidRPr="00686F8D">
        <w:rPr>
          <w:rFonts w:ascii="Times New Roman" w:hAnsi="Times New Roman" w:cs="Times New Roman"/>
          <w:sz w:val="24"/>
          <w:szCs w:val="24"/>
        </w:rPr>
        <w:t xml:space="preserve"> 2020</w:t>
      </w:r>
      <w:r w:rsidRPr="00686F8D">
        <w:rPr>
          <w:rFonts w:ascii="Times New Roman" w:hAnsi="Times New Roman" w:cs="Times New Roman"/>
          <w:sz w:val="24"/>
          <w:szCs w:val="24"/>
        </w:rPr>
        <w:t xml:space="preserve">). </w:t>
      </w:r>
    </w:p>
    <w:p w:rsidR="00EC161F" w:rsidRPr="00686F8D" w:rsidRDefault="00DC3DFC" w:rsidP="00286203">
      <w:pPr>
        <w:spacing w:line="360" w:lineRule="auto"/>
        <w:jc w:val="both"/>
        <w:rPr>
          <w:rFonts w:ascii="Times New Roman" w:hAnsi="Times New Roman" w:cs="Times New Roman"/>
          <w:sz w:val="24"/>
          <w:szCs w:val="24"/>
        </w:rPr>
      </w:pPr>
      <w:r w:rsidRPr="00686F8D">
        <w:rPr>
          <w:rFonts w:ascii="Times New Roman" w:hAnsi="Times New Roman" w:cs="Times New Roman"/>
          <w:sz w:val="24"/>
          <w:szCs w:val="24"/>
        </w:rPr>
        <w:t xml:space="preserve">India’s real estate sector is an example of loss of public interest due to nexus between the government and business firms. </w:t>
      </w:r>
      <w:r w:rsidR="00CF6834" w:rsidRPr="00686F8D">
        <w:rPr>
          <w:rFonts w:ascii="Times New Roman" w:hAnsi="Times New Roman" w:cs="Times New Roman"/>
          <w:sz w:val="24"/>
          <w:szCs w:val="24"/>
        </w:rPr>
        <w:t xml:space="preserve">Regulatory capture when insiders manipulate building permits, zoning laws and </w:t>
      </w:r>
      <w:r w:rsidR="00564114" w:rsidRPr="00686F8D">
        <w:rPr>
          <w:rFonts w:ascii="Times New Roman" w:hAnsi="Times New Roman" w:cs="Times New Roman"/>
          <w:sz w:val="24"/>
          <w:szCs w:val="24"/>
        </w:rPr>
        <w:t>land supply. The price inflation that benefits builders exclude the poorest people, leading to creation of slums</w:t>
      </w:r>
      <w:r w:rsidR="00BE2DD0">
        <w:rPr>
          <w:rFonts w:ascii="Times New Roman" w:hAnsi="Times New Roman" w:cs="Times New Roman"/>
          <w:sz w:val="24"/>
          <w:szCs w:val="24"/>
        </w:rPr>
        <w:t xml:space="preserve"> / informal settlements</w:t>
      </w:r>
      <w:r w:rsidR="00564114" w:rsidRPr="00686F8D">
        <w:rPr>
          <w:rFonts w:ascii="Times New Roman" w:hAnsi="Times New Roman" w:cs="Times New Roman"/>
          <w:sz w:val="24"/>
          <w:szCs w:val="24"/>
        </w:rPr>
        <w:t xml:space="preserve">. </w:t>
      </w:r>
      <w:r w:rsidR="00EC1E23" w:rsidRPr="00686F8D">
        <w:rPr>
          <w:rFonts w:ascii="Times New Roman" w:hAnsi="Times New Roman" w:cs="Times New Roman"/>
          <w:sz w:val="24"/>
          <w:szCs w:val="24"/>
        </w:rPr>
        <w:t xml:space="preserve">There </w:t>
      </w:r>
      <w:r w:rsidR="00BE2DD0">
        <w:rPr>
          <w:rFonts w:ascii="Times New Roman" w:hAnsi="Times New Roman" w:cs="Times New Roman"/>
          <w:sz w:val="24"/>
          <w:szCs w:val="24"/>
        </w:rPr>
        <w:t>are</w:t>
      </w:r>
      <w:r w:rsidR="00EC1E23" w:rsidRPr="00686F8D">
        <w:rPr>
          <w:rFonts w:ascii="Times New Roman" w:hAnsi="Times New Roman" w:cs="Times New Roman"/>
          <w:sz w:val="24"/>
          <w:szCs w:val="24"/>
        </w:rPr>
        <w:t xml:space="preserve"> more than 11 million vacant houses in Urban India. It is exactly in these cities one finds large number of people struggling to find a place to live (Pellissery and Kaur 2022). </w:t>
      </w:r>
    </w:p>
    <w:p w:rsidR="00D57E2E" w:rsidRPr="00686F8D" w:rsidRDefault="00B9086E" w:rsidP="00286203">
      <w:pPr>
        <w:spacing w:line="360" w:lineRule="auto"/>
        <w:jc w:val="both"/>
        <w:rPr>
          <w:rFonts w:ascii="Times New Roman" w:hAnsi="Times New Roman" w:cs="Times New Roman"/>
          <w:sz w:val="24"/>
          <w:szCs w:val="24"/>
        </w:rPr>
      </w:pPr>
      <w:r w:rsidRPr="003552E8">
        <w:rPr>
          <w:rFonts w:ascii="Times New Roman" w:hAnsi="Times New Roman" w:cs="Times New Roman"/>
          <w:sz w:val="24"/>
          <w:szCs w:val="24"/>
        </w:rPr>
        <w:t xml:space="preserve">Increasingly, neo-liberal interpretations of courts on </w:t>
      </w:r>
      <w:r w:rsidR="00494E5D" w:rsidRPr="003552E8">
        <w:rPr>
          <w:rFonts w:ascii="Times New Roman" w:hAnsi="Times New Roman" w:cs="Times New Roman"/>
          <w:sz w:val="24"/>
          <w:szCs w:val="24"/>
        </w:rPr>
        <w:t>Rent Control Act</w:t>
      </w:r>
      <w:r w:rsidRPr="003552E8">
        <w:rPr>
          <w:rFonts w:ascii="Times New Roman" w:hAnsi="Times New Roman" w:cs="Times New Roman"/>
          <w:sz w:val="24"/>
          <w:szCs w:val="24"/>
        </w:rPr>
        <w:t xml:space="preserve"> are disproportionately favouring property owners, rather than tenents. </w:t>
      </w:r>
      <w:r w:rsidR="00D57E2E" w:rsidRPr="00686F8D">
        <w:rPr>
          <w:rFonts w:ascii="Times New Roman" w:hAnsi="Times New Roman" w:cs="Times New Roman"/>
          <w:sz w:val="24"/>
          <w:szCs w:val="24"/>
        </w:rPr>
        <w:t>Regulatory capture through collusion</w:t>
      </w:r>
      <w:r w:rsidR="003552E8">
        <w:rPr>
          <w:rFonts w:ascii="Times New Roman" w:hAnsi="Times New Roman" w:cs="Times New Roman"/>
          <w:sz w:val="24"/>
          <w:szCs w:val="24"/>
        </w:rPr>
        <w:t>,</w:t>
      </w:r>
      <w:r w:rsidR="00D57E2E" w:rsidRPr="00686F8D">
        <w:rPr>
          <w:rFonts w:ascii="Times New Roman" w:hAnsi="Times New Roman" w:cs="Times New Roman"/>
          <w:sz w:val="24"/>
          <w:szCs w:val="24"/>
        </w:rPr>
        <w:t xml:space="preserve"> as well as rental provisions that favour property owners</w:t>
      </w:r>
      <w:r w:rsidR="003552E8">
        <w:rPr>
          <w:rFonts w:ascii="Times New Roman" w:hAnsi="Times New Roman" w:cs="Times New Roman"/>
          <w:sz w:val="24"/>
          <w:szCs w:val="24"/>
        </w:rPr>
        <w:t>,</w:t>
      </w:r>
      <w:r w:rsidR="00D57E2E" w:rsidRPr="00686F8D">
        <w:rPr>
          <w:rFonts w:ascii="Times New Roman" w:hAnsi="Times New Roman" w:cs="Times New Roman"/>
          <w:sz w:val="24"/>
          <w:szCs w:val="24"/>
        </w:rPr>
        <w:t xml:space="preserve"> </w:t>
      </w:r>
      <w:r w:rsidR="001F2E53" w:rsidRPr="00686F8D">
        <w:rPr>
          <w:rFonts w:ascii="Times New Roman" w:hAnsi="Times New Roman" w:cs="Times New Roman"/>
          <w:sz w:val="24"/>
          <w:szCs w:val="24"/>
        </w:rPr>
        <w:t xml:space="preserve">lead to holding out property for </w:t>
      </w:r>
      <w:r w:rsidR="00BE2DD0">
        <w:rPr>
          <w:rFonts w:ascii="Times New Roman" w:hAnsi="Times New Roman" w:cs="Times New Roman"/>
          <w:sz w:val="24"/>
          <w:szCs w:val="24"/>
        </w:rPr>
        <w:t xml:space="preserve">value </w:t>
      </w:r>
      <w:r w:rsidR="00EC161F" w:rsidRPr="00686F8D">
        <w:rPr>
          <w:rFonts w:ascii="Times New Roman" w:hAnsi="Times New Roman" w:cs="Times New Roman"/>
          <w:sz w:val="24"/>
          <w:szCs w:val="24"/>
        </w:rPr>
        <w:t xml:space="preserve">appreciation, rather than use. This </w:t>
      </w:r>
      <w:r w:rsidR="00BE2DD0">
        <w:rPr>
          <w:rFonts w:ascii="Times New Roman" w:hAnsi="Times New Roman" w:cs="Times New Roman"/>
          <w:sz w:val="24"/>
          <w:szCs w:val="24"/>
        </w:rPr>
        <w:t xml:space="preserve">analysis suggests </w:t>
      </w:r>
      <w:r w:rsidR="00EC161F" w:rsidRPr="00686F8D">
        <w:rPr>
          <w:rFonts w:ascii="Times New Roman" w:hAnsi="Times New Roman" w:cs="Times New Roman"/>
          <w:sz w:val="24"/>
          <w:szCs w:val="24"/>
        </w:rPr>
        <w:t>two indicators to ensure social function of property. First, the measures the state takes to eliminate regulatory capture. Second, imposing higher tax on holding out property</w:t>
      </w:r>
      <w:r w:rsidR="00834F3E">
        <w:rPr>
          <w:rFonts w:ascii="Times New Roman" w:hAnsi="Times New Roman" w:cs="Times New Roman"/>
          <w:sz w:val="24"/>
          <w:szCs w:val="24"/>
        </w:rPr>
        <w:t>, could increase the supply of housing units</w:t>
      </w:r>
      <w:r w:rsidR="00EC161F" w:rsidRPr="00686F8D">
        <w:rPr>
          <w:rFonts w:ascii="Times New Roman" w:hAnsi="Times New Roman" w:cs="Times New Roman"/>
          <w:sz w:val="24"/>
          <w:szCs w:val="24"/>
        </w:rPr>
        <w:t xml:space="preserve">. </w:t>
      </w:r>
    </w:p>
    <w:p w:rsidR="00FE3B02" w:rsidRDefault="00FE3B02"/>
    <w:p w:rsidR="00D460DF" w:rsidRPr="00286203" w:rsidRDefault="00D460DF">
      <w:pPr>
        <w:rPr>
          <w:rFonts w:ascii="Times New Roman" w:hAnsi="Times New Roman" w:cs="Times New Roman"/>
          <w:b/>
          <w:sz w:val="24"/>
          <w:szCs w:val="24"/>
        </w:rPr>
      </w:pPr>
      <w:r w:rsidRPr="00286203">
        <w:rPr>
          <w:rFonts w:ascii="Times New Roman" w:hAnsi="Times New Roman" w:cs="Times New Roman"/>
          <w:b/>
          <w:sz w:val="24"/>
          <w:szCs w:val="24"/>
        </w:rPr>
        <w:t>Taking different forms of capital seriously</w:t>
      </w:r>
    </w:p>
    <w:p w:rsidR="00DC1397" w:rsidRDefault="00E50A7E" w:rsidP="006A5E39">
      <w:pPr>
        <w:spacing w:line="360" w:lineRule="auto"/>
        <w:jc w:val="both"/>
      </w:pPr>
      <w:r>
        <w:rPr>
          <w:rFonts w:ascii="Times New Roman" w:eastAsia="Times New Roman" w:hAnsi="Times New Roman" w:cs="Times New Roman"/>
          <w:sz w:val="24"/>
          <w:szCs w:val="24"/>
        </w:rPr>
        <w:t>W</w:t>
      </w:r>
      <w:r w:rsidR="00E41A41">
        <w:rPr>
          <w:rFonts w:ascii="Times New Roman" w:eastAsia="Times New Roman" w:hAnsi="Times New Roman" w:cs="Times New Roman"/>
          <w:sz w:val="24"/>
          <w:szCs w:val="24"/>
        </w:rPr>
        <w:t xml:space="preserve">elfare policies </w:t>
      </w:r>
      <w:r>
        <w:rPr>
          <w:rFonts w:ascii="Times New Roman" w:eastAsia="Times New Roman" w:hAnsi="Times New Roman" w:cs="Times New Roman"/>
          <w:sz w:val="24"/>
          <w:szCs w:val="24"/>
        </w:rPr>
        <w:t xml:space="preserve">designed as ‘tax and </w:t>
      </w:r>
      <w:r w:rsidR="00E41A41">
        <w:rPr>
          <w:rFonts w:ascii="Times New Roman" w:eastAsia="Times New Roman" w:hAnsi="Times New Roman" w:cs="Times New Roman"/>
          <w:sz w:val="24"/>
          <w:szCs w:val="24"/>
        </w:rPr>
        <w:t>redistribut</w:t>
      </w:r>
      <w:r>
        <w:rPr>
          <w:rFonts w:ascii="Times New Roman" w:eastAsia="Times New Roman" w:hAnsi="Times New Roman" w:cs="Times New Roman"/>
          <w:sz w:val="24"/>
          <w:szCs w:val="24"/>
        </w:rPr>
        <w:t xml:space="preserve">e’ are essentially ineffective </w:t>
      </w:r>
      <w:r w:rsidR="00E41A4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post-growth approach since </w:t>
      </w:r>
      <w:r w:rsidR="00E41A41">
        <w:rPr>
          <w:rFonts w:ascii="Times New Roman" w:eastAsia="Times New Roman" w:hAnsi="Times New Roman" w:cs="Times New Roman"/>
          <w:sz w:val="24"/>
          <w:szCs w:val="24"/>
        </w:rPr>
        <w:t>the fundamental root of inequality—wealth</w:t>
      </w:r>
      <w:r>
        <w:rPr>
          <w:rFonts w:ascii="Times New Roman" w:eastAsia="Times New Roman" w:hAnsi="Times New Roman" w:cs="Times New Roman"/>
          <w:sz w:val="24"/>
          <w:szCs w:val="24"/>
        </w:rPr>
        <w:t xml:space="preserve"> – remains unaddressed</w:t>
      </w:r>
      <w:r w:rsidR="00D90953">
        <w:rPr>
          <w:rStyle w:val="FootnoteReference"/>
          <w:rFonts w:ascii="Times New Roman" w:eastAsia="Times New Roman" w:hAnsi="Times New Roman" w:cs="Times New Roman"/>
          <w:sz w:val="24"/>
          <w:szCs w:val="24"/>
        </w:rPr>
        <w:footnoteReference w:id="1"/>
      </w:r>
      <w:r w:rsidR="00E41A41">
        <w:rPr>
          <w:rFonts w:ascii="Times New Roman" w:eastAsia="Times New Roman" w:hAnsi="Times New Roman" w:cs="Times New Roman"/>
          <w:sz w:val="24"/>
          <w:szCs w:val="24"/>
        </w:rPr>
        <w:t>. The accumulation and distribution of wealth itself isn’t a purely economic phenomenon insofar as largely immutable social identities, such as gender, race, ethnicity and religion, play a significant role. The centrality of ‘social capital’ holds true for other Asian, African and Latin American countries as well where one’s life’s outcomes are fundamentally influenced by one’s caste, ethnic and racial (indigenous vs white) identities.</w:t>
      </w:r>
    </w:p>
    <w:p w:rsidR="001C23FA" w:rsidRDefault="001C23FA" w:rsidP="006A5E39">
      <w:pPr>
        <w:spacing w:line="360" w:lineRule="auto"/>
        <w:jc w:val="both"/>
      </w:pPr>
      <w:r>
        <w:rPr>
          <w:rFonts w:ascii="Times New Roman" w:eastAsia="Times New Roman" w:hAnsi="Times New Roman" w:cs="Times New Roman"/>
          <w:sz w:val="24"/>
          <w:szCs w:val="24"/>
          <w:highlight w:val="white"/>
        </w:rPr>
        <w:t xml:space="preserve">In some ways, the approaches taken by India and Japan to deal with similar problems have been fundamentally different. </w:t>
      </w:r>
      <w:r w:rsidR="00D74898">
        <w:rPr>
          <w:rFonts w:ascii="Times New Roman" w:eastAsia="Times New Roman" w:hAnsi="Times New Roman" w:cs="Times New Roman"/>
          <w:sz w:val="24"/>
          <w:szCs w:val="24"/>
          <w:highlight w:val="white"/>
        </w:rPr>
        <w:t xml:space="preserve">The contrast offers good policy lessons. </w:t>
      </w:r>
      <w:r w:rsidR="000236E0">
        <w:rPr>
          <w:rFonts w:ascii="Times New Roman" w:eastAsia="Times New Roman" w:hAnsi="Times New Roman" w:cs="Times New Roman"/>
          <w:sz w:val="24"/>
          <w:szCs w:val="24"/>
          <w:highlight w:val="white"/>
        </w:rPr>
        <w:t>In India, 16% of population belongs to Schedule Castes (historically untouchables). In Japan</w:t>
      </w:r>
      <w:r w:rsidR="005B79EA">
        <w:rPr>
          <w:rFonts w:ascii="Times New Roman" w:eastAsia="Times New Roman" w:hAnsi="Times New Roman" w:cs="Times New Roman"/>
          <w:sz w:val="24"/>
          <w:szCs w:val="24"/>
          <w:highlight w:val="white"/>
        </w:rPr>
        <w:t>,</w:t>
      </w:r>
      <w:r w:rsidR="000236E0">
        <w:rPr>
          <w:rFonts w:ascii="Times New Roman" w:eastAsia="Times New Roman" w:hAnsi="Times New Roman" w:cs="Times New Roman"/>
          <w:sz w:val="24"/>
          <w:szCs w:val="24"/>
          <w:highlight w:val="white"/>
        </w:rPr>
        <w:t xml:space="preserve"> </w:t>
      </w:r>
      <w:r w:rsidR="00B5631B">
        <w:rPr>
          <w:rFonts w:ascii="Times New Roman" w:eastAsia="Times New Roman" w:hAnsi="Times New Roman" w:cs="Times New Roman"/>
          <w:sz w:val="24"/>
          <w:szCs w:val="24"/>
          <w:highlight w:val="white"/>
        </w:rPr>
        <w:t xml:space="preserve">Barakumins accounts for less than two per cent of population. </w:t>
      </w:r>
      <w:r>
        <w:rPr>
          <w:rFonts w:ascii="Times New Roman" w:eastAsia="Times New Roman" w:hAnsi="Times New Roman" w:cs="Times New Roman"/>
          <w:sz w:val="24"/>
          <w:szCs w:val="24"/>
          <w:highlight w:val="white"/>
        </w:rPr>
        <w:t xml:space="preserve">While </w:t>
      </w:r>
      <w:r w:rsidR="00B5631B">
        <w:rPr>
          <w:rFonts w:ascii="Times New Roman" w:eastAsia="Times New Roman" w:hAnsi="Times New Roman" w:cs="Times New Roman"/>
          <w:sz w:val="24"/>
          <w:szCs w:val="24"/>
          <w:highlight w:val="white"/>
        </w:rPr>
        <w:t>India</w:t>
      </w:r>
      <w:r>
        <w:rPr>
          <w:rFonts w:ascii="Times New Roman" w:eastAsia="Times New Roman" w:hAnsi="Times New Roman" w:cs="Times New Roman"/>
          <w:sz w:val="24"/>
          <w:szCs w:val="24"/>
          <w:highlight w:val="white"/>
        </w:rPr>
        <w:t xml:space="preserve"> implemented </w:t>
      </w:r>
      <w:r w:rsidR="00B5631B">
        <w:rPr>
          <w:rFonts w:ascii="Times New Roman" w:eastAsia="Times New Roman" w:hAnsi="Times New Roman" w:cs="Times New Roman"/>
          <w:sz w:val="24"/>
          <w:szCs w:val="24"/>
          <w:highlight w:val="white"/>
        </w:rPr>
        <w:t xml:space="preserve">its reservation policy </w:t>
      </w:r>
      <w:r>
        <w:rPr>
          <w:rFonts w:ascii="Times New Roman" w:eastAsia="Times New Roman" w:hAnsi="Times New Roman" w:cs="Times New Roman"/>
          <w:sz w:val="24"/>
          <w:szCs w:val="24"/>
          <w:highlight w:val="white"/>
        </w:rPr>
        <w:t xml:space="preserve">centrally and targeted the educational and economic outcomes of individual marginalized caste members through direct reservation, </w:t>
      </w:r>
      <w:r w:rsidR="00B5631B">
        <w:rPr>
          <w:rFonts w:ascii="Times New Roman" w:eastAsia="Times New Roman" w:hAnsi="Times New Roman" w:cs="Times New Roman"/>
          <w:sz w:val="24"/>
          <w:szCs w:val="24"/>
          <w:highlight w:val="white"/>
        </w:rPr>
        <w:t>Japan</w:t>
      </w:r>
      <w:r>
        <w:rPr>
          <w:rFonts w:ascii="Times New Roman" w:eastAsia="Times New Roman" w:hAnsi="Times New Roman" w:cs="Times New Roman"/>
          <w:sz w:val="24"/>
          <w:szCs w:val="24"/>
          <w:highlight w:val="white"/>
        </w:rPr>
        <w:t xml:space="preserve"> implemented at a municipal level and targeted the infrastructure in and around the areas where the marginalized group lived.</w:t>
      </w:r>
    </w:p>
    <w:p w:rsidR="001C5061" w:rsidRDefault="001C5061" w:rsidP="006A5E39">
      <w:pPr>
        <w:pStyle w:val="Normal1"/>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However, there is a lot that the Indian approach can learn from Japan as well, especially in terms of policy design. The involvement of municipal governments at the forefront of affirmative action was central to the success of the programme in Japan. India, where municipalities and rural local bodies continue to remain weak, can learn immensely from this and strengthen local bodies, which are best placed to identify the structural problems facing marginalized groups. More generally, a community-based approach that targets not just employment and education outcomes but also healthcare, housing and sanitation infrastructure will be central to transforming the symbolic successes of India’s reservation policies into more material successes.</w:t>
      </w:r>
    </w:p>
    <w:p w:rsidR="001C5061" w:rsidRDefault="001C5061" w:rsidP="006A5E39">
      <w:pPr>
        <w:spacing w:line="360" w:lineRule="auto"/>
      </w:pPr>
    </w:p>
    <w:p w:rsidR="00DC1397" w:rsidRPr="00A75B4B" w:rsidRDefault="00690D19">
      <w:pPr>
        <w:rPr>
          <w:rFonts w:ascii="Times New Roman" w:hAnsi="Times New Roman" w:cs="Times New Roman"/>
          <w:b/>
          <w:sz w:val="24"/>
          <w:szCs w:val="24"/>
        </w:rPr>
      </w:pPr>
      <w:r w:rsidRPr="00A75B4B">
        <w:rPr>
          <w:rFonts w:ascii="Times New Roman" w:hAnsi="Times New Roman" w:cs="Times New Roman"/>
          <w:b/>
          <w:sz w:val="24"/>
          <w:szCs w:val="24"/>
        </w:rPr>
        <w:t>Dignity requires reducing k</w:t>
      </w:r>
      <w:r w:rsidR="000940CC" w:rsidRPr="00A75B4B">
        <w:rPr>
          <w:rFonts w:ascii="Times New Roman" w:hAnsi="Times New Roman" w:cs="Times New Roman"/>
          <w:b/>
          <w:sz w:val="24"/>
          <w:szCs w:val="24"/>
        </w:rPr>
        <w:t xml:space="preserve">nowledge </w:t>
      </w:r>
      <w:r w:rsidRPr="00A75B4B">
        <w:rPr>
          <w:rFonts w:ascii="Times New Roman" w:hAnsi="Times New Roman" w:cs="Times New Roman"/>
          <w:b/>
          <w:sz w:val="24"/>
          <w:szCs w:val="24"/>
        </w:rPr>
        <w:t>inequality</w:t>
      </w:r>
      <w:r w:rsidR="005845D6" w:rsidRPr="00A75B4B">
        <w:rPr>
          <w:rFonts w:ascii="Times New Roman" w:hAnsi="Times New Roman" w:cs="Times New Roman"/>
          <w:b/>
          <w:sz w:val="24"/>
          <w:szCs w:val="24"/>
        </w:rPr>
        <w:t xml:space="preserve">: Recognition </w:t>
      </w:r>
      <w:r w:rsidR="009A4533" w:rsidRPr="00A75B4B">
        <w:rPr>
          <w:rFonts w:ascii="Times New Roman" w:hAnsi="Times New Roman" w:cs="Times New Roman"/>
          <w:b/>
          <w:sz w:val="24"/>
          <w:szCs w:val="24"/>
        </w:rPr>
        <w:t>i</w:t>
      </w:r>
      <w:r w:rsidR="005845D6" w:rsidRPr="00A75B4B">
        <w:rPr>
          <w:rFonts w:ascii="Times New Roman" w:hAnsi="Times New Roman" w:cs="Times New Roman"/>
          <w:b/>
          <w:sz w:val="24"/>
          <w:szCs w:val="24"/>
        </w:rPr>
        <w:t>s the key</w:t>
      </w:r>
    </w:p>
    <w:p w:rsidR="00690D19" w:rsidRPr="00A75B4B" w:rsidRDefault="005F5E02" w:rsidP="00A75B4B">
      <w:pPr>
        <w:spacing w:line="360" w:lineRule="auto"/>
        <w:jc w:val="both"/>
        <w:rPr>
          <w:rFonts w:ascii="Times New Roman" w:hAnsi="Times New Roman" w:cs="Times New Roman"/>
          <w:sz w:val="24"/>
          <w:szCs w:val="24"/>
        </w:rPr>
      </w:pPr>
      <w:r w:rsidRPr="00A75B4B">
        <w:rPr>
          <w:rFonts w:ascii="Times New Roman" w:hAnsi="Times New Roman" w:cs="Times New Roman"/>
          <w:sz w:val="24"/>
          <w:szCs w:val="24"/>
        </w:rPr>
        <w:t xml:space="preserve">UDHR (n 2) </w:t>
      </w:r>
      <w:r w:rsidR="00911428" w:rsidRPr="00A75B4B">
        <w:rPr>
          <w:rFonts w:ascii="Times New Roman" w:hAnsi="Times New Roman" w:cs="Times New Roman"/>
          <w:sz w:val="24"/>
          <w:szCs w:val="24"/>
        </w:rPr>
        <w:t>A</w:t>
      </w:r>
      <w:r w:rsidRPr="00A75B4B">
        <w:rPr>
          <w:rFonts w:ascii="Times New Roman" w:hAnsi="Times New Roman" w:cs="Times New Roman"/>
          <w:sz w:val="24"/>
          <w:szCs w:val="24"/>
        </w:rPr>
        <w:t>rt</w:t>
      </w:r>
      <w:r w:rsidR="00911428" w:rsidRPr="00A75B4B">
        <w:rPr>
          <w:rFonts w:ascii="Times New Roman" w:hAnsi="Times New Roman" w:cs="Times New Roman"/>
          <w:sz w:val="24"/>
          <w:szCs w:val="24"/>
        </w:rPr>
        <w:t>icle</w:t>
      </w:r>
      <w:r w:rsidRPr="00A75B4B">
        <w:rPr>
          <w:rFonts w:ascii="Times New Roman" w:hAnsi="Times New Roman" w:cs="Times New Roman"/>
          <w:sz w:val="24"/>
          <w:szCs w:val="24"/>
        </w:rPr>
        <w:t xml:space="preserve"> 22 </w:t>
      </w:r>
      <w:r w:rsidR="005845D6" w:rsidRPr="00A75B4B">
        <w:rPr>
          <w:rFonts w:ascii="Times New Roman" w:hAnsi="Times New Roman" w:cs="Times New Roman"/>
          <w:sz w:val="24"/>
          <w:szCs w:val="24"/>
        </w:rPr>
        <w:t>assures</w:t>
      </w:r>
      <w:r w:rsidR="00690D19" w:rsidRPr="00A75B4B">
        <w:rPr>
          <w:rFonts w:ascii="Times New Roman" w:hAnsi="Times New Roman" w:cs="Times New Roman"/>
          <w:sz w:val="24"/>
          <w:szCs w:val="24"/>
        </w:rPr>
        <w:t xml:space="preserve"> everyone, as a member of society is entitled to </w:t>
      </w:r>
      <w:r w:rsidR="005845D6" w:rsidRPr="00A75B4B">
        <w:rPr>
          <w:rFonts w:ascii="Times New Roman" w:hAnsi="Times New Roman" w:cs="Times New Roman"/>
          <w:sz w:val="24"/>
          <w:szCs w:val="24"/>
        </w:rPr>
        <w:t xml:space="preserve">realization </w:t>
      </w:r>
      <w:r w:rsidR="00690D19" w:rsidRPr="00A75B4B">
        <w:rPr>
          <w:rFonts w:ascii="Times New Roman" w:hAnsi="Times New Roman" w:cs="Times New Roman"/>
          <w:sz w:val="24"/>
          <w:szCs w:val="24"/>
        </w:rPr>
        <w:t>of the economic, social and cultural right</w:t>
      </w:r>
      <w:r w:rsidR="005845D6" w:rsidRPr="00A75B4B">
        <w:rPr>
          <w:rFonts w:ascii="Times New Roman" w:hAnsi="Times New Roman" w:cs="Times New Roman"/>
          <w:sz w:val="24"/>
          <w:szCs w:val="24"/>
        </w:rPr>
        <w:t>s indispensable for his dignity.</w:t>
      </w:r>
      <w:r w:rsidR="00690D19" w:rsidRPr="00A75B4B">
        <w:rPr>
          <w:rFonts w:ascii="Times New Roman" w:hAnsi="Times New Roman" w:cs="Times New Roman"/>
          <w:sz w:val="24"/>
          <w:szCs w:val="24"/>
        </w:rPr>
        <w:t xml:space="preserve"> The dignity of the members of indigenous groups can be significantly prejudiced where the existing laws and policies for land and natural resource governance are based on external knowledge systems that are imposed in a top-down fashion, and invisibilise the indigenous groups’ local knowledge systems. This is because these knowledge systems can be an integral facet of an indigenous group’s identity. </w:t>
      </w:r>
    </w:p>
    <w:p w:rsidR="005F5E02" w:rsidRPr="00A75B4B" w:rsidRDefault="005845D6" w:rsidP="00A75B4B">
      <w:pPr>
        <w:spacing w:line="360" w:lineRule="auto"/>
        <w:jc w:val="both"/>
        <w:rPr>
          <w:rFonts w:ascii="Times New Roman" w:hAnsi="Times New Roman" w:cs="Times New Roman"/>
          <w:sz w:val="24"/>
          <w:szCs w:val="24"/>
        </w:rPr>
      </w:pPr>
      <w:r w:rsidRPr="00A75B4B">
        <w:rPr>
          <w:rFonts w:ascii="Times New Roman" w:hAnsi="Times New Roman" w:cs="Times New Roman"/>
          <w:sz w:val="24"/>
          <w:szCs w:val="24"/>
        </w:rPr>
        <w:t>Indian Forest Rights Act (2006)</w:t>
      </w:r>
      <w:r w:rsidR="002B2463" w:rsidRPr="00A75B4B">
        <w:rPr>
          <w:rFonts w:ascii="Times New Roman" w:hAnsi="Times New Roman" w:cs="Times New Roman"/>
          <w:sz w:val="24"/>
          <w:szCs w:val="24"/>
        </w:rPr>
        <w:t xml:space="preserve"> is a tremendous achievement to reduce the knowledge inequality. The Act recognizes </w:t>
      </w:r>
      <w:r w:rsidR="009A4533" w:rsidRPr="00A75B4B">
        <w:rPr>
          <w:rFonts w:ascii="Times New Roman" w:hAnsi="Times New Roman" w:cs="Times New Roman"/>
          <w:sz w:val="24"/>
          <w:szCs w:val="24"/>
        </w:rPr>
        <w:t>both individual rights and community rights. Since the implementation of land, 2.2 million individual rights, and 1.1 million community rights have been granted. 18 million acres of forest land has been given for access and to pursue livelihoods.</w:t>
      </w:r>
      <w:r w:rsidR="00944631">
        <w:rPr>
          <w:rStyle w:val="FootnoteReference"/>
          <w:rFonts w:ascii="Times New Roman" w:hAnsi="Times New Roman" w:cs="Times New Roman"/>
          <w:sz w:val="24"/>
          <w:szCs w:val="24"/>
        </w:rPr>
        <w:footnoteReference w:id="2"/>
      </w:r>
      <w:r w:rsidR="009A4533" w:rsidRPr="00A75B4B">
        <w:rPr>
          <w:rFonts w:ascii="Times New Roman" w:hAnsi="Times New Roman" w:cs="Times New Roman"/>
          <w:sz w:val="24"/>
          <w:szCs w:val="24"/>
        </w:rPr>
        <w:t xml:space="preserve">  </w:t>
      </w:r>
    </w:p>
    <w:p w:rsidR="005D5E9F" w:rsidRPr="00A75B4B" w:rsidRDefault="009D265C" w:rsidP="00A75B4B">
      <w:pPr>
        <w:spacing w:line="360" w:lineRule="auto"/>
        <w:jc w:val="both"/>
        <w:rPr>
          <w:rFonts w:ascii="Times New Roman" w:hAnsi="Times New Roman" w:cs="Times New Roman"/>
          <w:sz w:val="24"/>
          <w:szCs w:val="24"/>
        </w:rPr>
      </w:pPr>
      <w:r w:rsidRPr="00A75B4B">
        <w:rPr>
          <w:rFonts w:ascii="Times New Roman" w:hAnsi="Times New Roman" w:cs="Times New Roman"/>
          <w:sz w:val="24"/>
          <w:szCs w:val="24"/>
        </w:rPr>
        <w:t>T</w:t>
      </w:r>
      <w:r w:rsidR="005D5E9F" w:rsidRPr="00A75B4B">
        <w:rPr>
          <w:rFonts w:ascii="Times New Roman" w:hAnsi="Times New Roman" w:cs="Times New Roman"/>
          <w:sz w:val="24"/>
          <w:szCs w:val="24"/>
        </w:rPr>
        <w:t xml:space="preserve">here is </w:t>
      </w:r>
      <w:r w:rsidRPr="00A75B4B">
        <w:rPr>
          <w:rFonts w:ascii="Times New Roman" w:hAnsi="Times New Roman" w:cs="Times New Roman"/>
          <w:sz w:val="24"/>
          <w:szCs w:val="24"/>
        </w:rPr>
        <w:t>constant</w:t>
      </w:r>
      <w:r w:rsidR="005D5E9F" w:rsidRPr="00A75B4B">
        <w:rPr>
          <w:rFonts w:ascii="Times New Roman" w:hAnsi="Times New Roman" w:cs="Times New Roman"/>
          <w:sz w:val="24"/>
          <w:szCs w:val="24"/>
        </w:rPr>
        <w:t xml:space="preserve"> challenge against the Act from non-indigenous communities and corporations, which views forest merely as resource. This is where the recognition of conservation as development</w:t>
      </w:r>
      <w:r w:rsidR="00990B30" w:rsidRPr="00A75B4B">
        <w:rPr>
          <w:rStyle w:val="FootnoteReference"/>
          <w:rFonts w:ascii="Times New Roman" w:hAnsi="Times New Roman" w:cs="Times New Roman"/>
          <w:sz w:val="24"/>
          <w:szCs w:val="24"/>
        </w:rPr>
        <w:t xml:space="preserve"> </w:t>
      </w:r>
      <w:r w:rsidR="00990B30" w:rsidRPr="00A75B4B">
        <w:rPr>
          <w:rFonts w:ascii="Times New Roman" w:hAnsi="Times New Roman" w:cs="Times New Roman"/>
          <w:sz w:val="24"/>
          <w:szCs w:val="24"/>
        </w:rPr>
        <w:t xml:space="preserve">(Gupta 2021) </w:t>
      </w:r>
      <w:r w:rsidR="005D5E9F" w:rsidRPr="00A75B4B">
        <w:rPr>
          <w:rFonts w:ascii="Times New Roman" w:hAnsi="Times New Roman" w:cs="Times New Roman"/>
          <w:sz w:val="24"/>
          <w:szCs w:val="24"/>
        </w:rPr>
        <w:t xml:space="preserve">becomes important.  </w:t>
      </w:r>
      <w:r w:rsidR="00911428" w:rsidRPr="00A75B4B">
        <w:rPr>
          <w:rFonts w:ascii="Times New Roman" w:hAnsi="Times New Roman" w:cs="Times New Roman"/>
          <w:sz w:val="24"/>
          <w:szCs w:val="24"/>
        </w:rPr>
        <w:t>UNDRIP</w:t>
      </w:r>
      <w:r w:rsidR="00911428" w:rsidRPr="00A75B4B">
        <w:rPr>
          <w:rStyle w:val="FootnoteReference"/>
          <w:rFonts w:ascii="Times New Roman" w:hAnsi="Times New Roman" w:cs="Times New Roman"/>
          <w:sz w:val="24"/>
          <w:szCs w:val="24"/>
        </w:rPr>
        <w:footnoteReference w:id="3"/>
      </w:r>
      <w:r w:rsidR="00911428" w:rsidRPr="00A75B4B">
        <w:rPr>
          <w:rFonts w:ascii="Times New Roman" w:hAnsi="Times New Roman" w:cs="Times New Roman"/>
          <w:sz w:val="24"/>
          <w:szCs w:val="24"/>
        </w:rPr>
        <w:t xml:space="preserve"> (articles 19, 32, 10, 28 &amp; 29) provides the scope of Free Prior Informed Consent </w:t>
      </w:r>
      <w:r w:rsidR="008A0150" w:rsidRPr="00A75B4B">
        <w:rPr>
          <w:rFonts w:ascii="Times New Roman" w:hAnsi="Times New Roman" w:cs="Times New Roman"/>
          <w:sz w:val="24"/>
          <w:szCs w:val="24"/>
        </w:rPr>
        <w:t xml:space="preserve">(FPIC) </w:t>
      </w:r>
      <w:r w:rsidR="00911428" w:rsidRPr="00A75B4B">
        <w:rPr>
          <w:rFonts w:ascii="Times New Roman" w:hAnsi="Times New Roman" w:cs="Times New Roman"/>
          <w:sz w:val="24"/>
          <w:szCs w:val="24"/>
        </w:rPr>
        <w:t xml:space="preserve">to protect from </w:t>
      </w:r>
      <w:r w:rsidR="008A0150" w:rsidRPr="00A75B4B">
        <w:rPr>
          <w:rFonts w:ascii="Times New Roman" w:hAnsi="Times New Roman" w:cs="Times New Roman"/>
          <w:sz w:val="24"/>
          <w:szCs w:val="24"/>
        </w:rPr>
        <w:t>the capture by the state and corporations. ActionAid in India has developed a manual to educate communities about FPIC principles</w:t>
      </w:r>
      <w:r w:rsidR="008A0150" w:rsidRPr="00A75B4B">
        <w:rPr>
          <w:rStyle w:val="FootnoteReference"/>
          <w:rFonts w:ascii="Times New Roman" w:hAnsi="Times New Roman" w:cs="Times New Roman"/>
          <w:sz w:val="24"/>
          <w:szCs w:val="24"/>
        </w:rPr>
        <w:footnoteReference w:id="4"/>
      </w:r>
      <w:r w:rsidR="008A0150" w:rsidRPr="00A75B4B">
        <w:rPr>
          <w:rFonts w:ascii="Times New Roman" w:hAnsi="Times New Roman" w:cs="Times New Roman"/>
          <w:sz w:val="24"/>
          <w:szCs w:val="24"/>
        </w:rPr>
        <w:t xml:space="preserve">, and to be vigilant when incursions take place. </w:t>
      </w:r>
    </w:p>
    <w:p w:rsidR="000940CC" w:rsidRPr="00A75B4B" w:rsidRDefault="005F4B70" w:rsidP="00A75B4B">
      <w:pPr>
        <w:spacing w:line="360" w:lineRule="auto"/>
        <w:jc w:val="both"/>
        <w:rPr>
          <w:rFonts w:ascii="Times New Roman" w:hAnsi="Times New Roman" w:cs="Times New Roman"/>
          <w:sz w:val="24"/>
          <w:szCs w:val="24"/>
        </w:rPr>
      </w:pPr>
      <w:r w:rsidRPr="00A75B4B">
        <w:rPr>
          <w:rFonts w:ascii="Times New Roman" w:hAnsi="Times New Roman" w:cs="Times New Roman"/>
          <w:sz w:val="24"/>
          <w:szCs w:val="24"/>
        </w:rPr>
        <w:t>Some of the existing measures</w:t>
      </w:r>
      <w:r w:rsidR="0047280F" w:rsidRPr="00A75B4B">
        <w:rPr>
          <w:rFonts w:ascii="Times New Roman" w:hAnsi="Times New Roman" w:cs="Times New Roman"/>
          <w:sz w:val="24"/>
          <w:szCs w:val="24"/>
        </w:rPr>
        <w:t>,</w:t>
      </w:r>
      <w:r w:rsidRPr="00A75B4B">
        <w:rPr>
          <w:rFonts w:ascii="Times New Roman" w:hAnsi="Times New Roman" w:cs="Times New Roman"/>
          <w:sz w:val="24"/>
          <w:szCs w:val="24"/>
        </w:rPr>
        <w:t xml:space="preserve"> such as whether forest area have been increased/decreased</w:t>
      </w:r>
      <w:r w:rsidR="0047280F" w:rsidRPr="00A75B4B">
        <w:rPr>
          <w:rFonts w:ascii="Times New Roman" w:hAnsi="Times New Roman" w:cs="Times New Roman"/>
          <w:sz w:val="24"/>
          <w:szCs w:val="24"/>
        </w:rPr>
        <w:t>, are ineffective. For example, Indian forest survey has included plantations while counting forest area to show increase of forest areas</w:t>
      </w:r>
      <w:r w:rsidR="00671F77" w:rsidRPr="00A75B4B">
        <w:rPr>
          <w:rFonts w:ascii="Times New Roman" w:hAnsi="Times New Roman" w:cs="Times New Roman"/>
          <w:sz w:val="24"/>
          <w:szCs w:val="24"/>
        </w:rPr>
        <w:t xml:space="preserve"> (Madhusudan and Raman 2022)</w:t>
      </w:r>
      <w:r w:rsidR="0047280F" w:rsidRPr="00A75B4B">
        <w:rPr>
          <w:rFonts w:ascii="Times New Roman" w:hAnsi="Times New Roman" w:cs="Times New Roman"/>
          <w:sz w:val="24"/>
          <w:szCs w:val="24"/>
        </w:rPr>
        <w:t xml:space="preserve">. These plantations are often </w:t>
      </w:r>
      <w:r w:rsidR="009D79CE">
        <w:rPr>
          <w:rFonts w:ascii="Times New Roman" w:hAnsi="Times New Roman" w:cs="Times New Roman"/>
          <w:sz w:val="24"/>
          <w:szCs w:val="24"/>
        </w:rPr>
        <w:t xml:space="preserve">established through land grab or sometimes denying the rights of indigenous populations. </w:t>
      </w:r>
    </w:p>
    <w:p w:rsidR="005B79EA" w:rsidRDefault="005B79EA">
      <w:pPr>
        <w:rPr>
          <w:rFonts w:ascii="Times New Roman" w:hAnsi="Times New Roman" w:cs="Times New Roman"/>
          <w:b/>
          <w:sz w:val="24"/>
          <w:szCs w:val="24"/>
        </w:rPr>
      </w:pPr>
    </w:p>
    <w:p w:rsidR="00DC1397" w:rsidRPr="00A75B4B" w:rsidRDefault="00DC1397">
      <w:pPr>
        <w:rPr>
          <w:rFonts w:ascii="Times New Roman" w:hAnsi="Times New Roman" w:cs="Times New Roman"/>
          <w:b/>
          <w:sz w:val="24"/>
          <w:szCs w:val="24"/>
        </w:rPr>
      </w:pPr>
      <w:r w:rsidRPr="00A75B4B">
        <w:rPr>
          <w:rFonts w:ascii="Times New Roman" w:hAnsi="Times New Roman" w:cs="Times New Roman"/>
          <w:b/>
          <w:sz w:val="24"/>
          <w:szCs w:val="24"/>
        </w:rPr>
        <w:t>Disenfranchisement from natural resources leads to urban-centric growth models</w:t>
      </w:r>
      <w:r w:rsidR="00BD4155" w:rsidRPr="00A75B4B">
        <w:rPr>
          <w:rFonts w:ascii="Times New Roman" w:hAnsi="Times New Roman" w:cs="Times New Roman"/>
          <w:b/>
          <w:sz w:val="24"/>
          <w:szCs w:val="24"/>
        </w:rPr>
        <w:t>: Need of right to livelihood</w:t>
      </w:r>
    </w:p>
    <w:p w:rsidR="00DC3E2F" w:rsidRPr="00F70C79" w:rsidRDefault="009E5682" w:rsidP="00F70C79">
      <w:pPr>
        <w:spacing w:line="360" w:lineRule="auto"/>
        <w:jc w:val="both"/>
        <w:rPr>
          <w:rFonts w:ascii="Times New Roman" w:hAnsi="Times New Roman" w:cs="Times New Roman"/>
          <w:sz w:val="24"/>
          <w:szCs w:val="24"/>
        </w:rPr>
      </w:pPr>
      <w:r w:rsidRPr="00F70C79">
        <w:rPr>
          <w:rFonts w:ascii="Times New Roman" w:hAnsi="Times New Roman" w:cs="Times New Roman"/>
          <w:sz w:val="24"/>
          <w:szCs w:val="24"/>
        </w:rPr>
        <w:t xml:space="preserve">While the above example of recognizing the rights of forest dwellers is a positive example, many other communities which depend on natural resources are yet to realize equivalent right. Examples are fisher folk, salt workers etc. </w:t>
      </w:r>
      <w:r w:rsidR="00D50715">
        <w:rPr>
          <w:rFonts w:ascii="Times New Roman" w:hAnsi="Times New Roman" w:cs="Times New Roman"/>
          <w:sz w:val="24"/>
          <w:szCs w:val="24"/>
        </w:rPr>
        <w:t>Most of these self-employed entrepreneurs self-exploit to make the ends meet. Without worker status, a</w:t>
      </w:r>
      <w:r w:rsidRPr="00F70C79">
        <w:rPr>
          <w:rFonts w:ascii="Times New Roman" w:hAnsi="Times New Roman" w:cs="Times New Roman"/>
          <w:sz w:val="24"/>
          <w:szCs w:val="24"/>
        </w:rPr>
        <w:t xml:space="preserve">s the commons around the livelihood of these workers are either privatized or exhausted, they are expulsed to cities. </w:t>
      </w:r>
      <w:r w:rsidR="00967570" w:rsidRPr="00F70C79">
        <w:rPr>
          <w:rFonts w:ascii="Times New Roman" w:hAnsi="Times New Roman" w:cs="Times New Roman"/>
          <w:sz w:val="24"/>
          <w:szCs w:val="24"/>
        </w:rPr>
        <w:t xml:space="preserve">Without conscious of these underlying reasons, facilitating migration has been a development strategy (Human Development Report 2009). </w:t>
      </w:r>
      <w:r w:rsidR="00DC3E2F" w:rsidRPr="00F70C79">
        <w:rPr>
          <w:rFonts w:ascii="Times New Roman" w:hAnsi="Times New Roman" w:cs="Times New Roman"/>
          <w:sz w:val="24"/>
          <w:szCs w:val="24"/>
        </w:rPr>
        <w:t xml:space="preserve">One of the strategies of neo-liberal policies was to control the labour force by de-politicising it through migration, and politicizing the capital. As a result, deep and sharper inequality has emerged in the urban production hubs, where unskilled rural folks came in looking for opportunities. </w:t>
      </w:r>
    </w:p>
    <w:p w:rsidR="00DC1397" w:rsidRPr="00F70C79" w:rsidRDefault="002319CA" w:rsidP="00F70C79">
      <w:pPr>
        <w:spacing w:line="360" w:lineRule="auto"/>
        <w:jc w:val="both"/>
        <w:rPr>
          <w:rFonts w:ascii="Times New Roman" w:hAnsi="Times New Roman" w:cs="Times New Roman"/>
          <w:sz w:val="24"/>
          <w:szCs w:val="24"/>
        </w:rPr>
      </w:pPr>
      <w:r w:rsidRPr="00F70C79">
        <w:rPr>
          <w:rFonts w:ascii="Times New Roman" w:hAnsi="Times New Roman" w:cs="Times New Roman"/>
          <w:sz w:val="24"/>
          <w:szCs w:val="24"/>
        </w:rPr>
        <w:t xml:space="preserve">On the other hand, a balanced regional development is what is required in post-growth strategy. </w:t>
      </w:r>
      <w:r w:rsidR="005D3748" w:rsidRPr="00F70C79">
        <w:rPr>
          <w:rFonts w:ascii="Times New Roman" w:hAnsi="Times New Roman" w:cs="Times New Roman"/>
          <w:sz w:val="24"/>
          <w:szCs w:val="24"/>
        </w:rPr>
        <w:t xml:space="preserve">An example of the same is found in Indian state of Tamil Nadu. </w:t>
      </w:r>
      <w:r w:rsidR="00A21D07" w:rsidRPr="00F70C79">
        <w:rPr>
          <w:rFonts w:ascii="Times New Roman" w:hAnsi="Times New Roman" w:cs="Times New Roman"/>
          <w:sz w:val="24"/>
          <w:szCs w:val="24"/>
        </w:rPr>
        <w:t xml:space="preserve">Here, instead of GDP, Gross District Domestic Product (GDDP) calculates the value addition in each district. </w:t>
      </w:r>
      <w:r w:rsidR="004E25A9" w:rsidRPr="00F70C79">
        <w:rPr>
          <w:rFonts w:ascii="Times New Roman" w:hAnsi="Times New Roman" w:cs="Times New Roman"/>
          <w:sz w:val="24"/>
          <w:szCs w:val="24"/>
        </w:rPr>
        <w:t xml:space="preserve">An assessment of </w:t>
      </w:r>
      <w:r w:rsidR="00906C67" w:rsidRPr="00F70C79">
        <w:rPr>
          <w:rFonts w:ascii="Times New Roman" w:hAnsi="Times New Roman" w:cs="Times New Roman"/>
          <w:sz w:val="24"/>
          <w:szCs w:val="24"/>
        </w:rPr>
        <w:t xml:space="preserve">GDDP value among all districts of Tamil Nadu during 1993-2017 shows that </w:t>
      </w:r>
      <w:r w:rsidR="004E25A9" w:rsidRPr="00F70C79">
        <w:rPr>
          <w:rFonts w:ascii="Times New Roman" w:hAnsi="Times New Roman" w:cs="Times New Roman"/>
          <w:sz w:val="24"/>
          <w:szCs w:val="24"/>
        </w:rPr>
        <w:t>“only seven out 29 districts have more than one percentage point difference in the relative share of their GDDPs over the 27 years”</w:t>
      </w:r>
      <w:r w:rsidR="007E1190" w:rsidRPr="00F70C79">
        <w:rPr>
          <w:rFonts w:ascii="Times New Roman" w:hAnsi="Times New Roman" w:cs="Times New Roman"/>
          <w:sz w:val="24"/>
          <w:szCs w:val="24"/>
        </w:rPr>
        <w:t xml:space="preserve"> (State Planning Commission 2022)</w:t>
      </w:r>
      <w:r w:rsidR="004E25A9" w:rsidRPr="00F70C79">
        <w:rPr>
          <w:rFonts w:ascii="Times New Roman" w:hAnsi="Times New Roman" w:cs="Times New Roman"/>
          <w:sz w:val="24"/>
          <w:szCs w:val="24"/>
        </w:rPr>
        <w:t>.</w:t>
      </w:r>
      <w:r w:rsidR="007E1190" w:rsidRPr="00F70C79">
        <w:rPr>
          <w:rFonts w:ascii="Times New Roman" w:hAnsi="Times New Roman" w:cs="Times New Roman"/>
          <w:sz w:val="24"/>
          <w:szCs w:val="24"/>
        </w:rPr>
        <w:t xml:space="preserve"> This achievement is primarily by spreading productive activities to various locations, rather than capital investments and fund allocations primarily going to few metropolitan regions of the state. </w:t>
      </w:r>
      <w:r w:rsidR="00E2487C" w:rsidRPr="00F70C79">
        <w:rPr>
          <w:rFonts w:ascii="Times New Roman" w:hAnsi="Times New Roman" w:cs="Times New Roman"/>
          <w:sz w:val="24"/>
          <w:szCs w:val="24"/>
        </w:rPr>
        <w:t>In an important way, achieving balanced regional development requires local level planning, and strengthens participation and representation in the development strategies.</w:t>
      </w:r>
    </w:p>
    <w:p w:rsidR="005D3748" w:rsidRPr="00F70C79" w:rsidRDefault="005D3748" w:rsidP="00F70C79">
      <w:pPr>
        <w:spacing w:line="360" w:lineRule="auto"/>
        <w:jc w:val="both"/>
        <w:rPr>
          <w:rFonts w:ascii="Times New Roman" w:hAnsi="Times New Roman" w:cs="Times New Roman"/>
          <w:sz w:val="24"/>
          <w:szCs w:val="24"/>
        </w:rPr>
      </w:pPr>
      <w:r w:rsidRPr="00F70C79">
        <w:rPr>
          <w:rFonts w:ascii="Times New Roman" w:hAnsi="Times New Roman" w:cs="Times New Roman"/>
          <w:sz w:val="24"/>
          <w:szCs w:val="24"/>
        </w:rPr>
        <w:t>Another initiative that is available at national level is promotion of products with Geographic Indicator (GI) tags.</w:t>
      </w:r>
      <w:r w:rsidR="00990EC3" w:rsidRPr="00F70C79">
        <w:rPr>
          <w:rFonts w:ascii="Times New Roman" w:hAnsi="Times New Roman" w:cs="Times New Roman"/>
          <w:sz w:val="24"/>
          <w:szCs w:val="24"/>
        </w:rPr>
        <w:t xml:space="preserve"> FAO started promoting GI tag as a strategy for sustainability in 2009. In India, over 500 products have been given GI tag status. While, this has given impetus to give market access to products coming from rural areas, organizing the communities around the principles of benefit sharing is yet to take place. </w:t>
      </w:r>
      <w:r w:rsidRPr="00F70C79">
        <w:rPr>
          <w:rFonts w:ascii="Times New Roman" w:hAnsi="Times New Roman" w:cs="Times New Roman"/>
          <w:sz w:val="24"/>
          <w:szCs w:val="24"/>
        </w:rPr>
        <w:t xml:space="preserve"> </w:t>
      </w:r>
    </w:p>
    <w:p w:rsidR="000F2208" w:rsidRDefault="000F2208">
      <w:pPr>
        <w:rPr>
          <w:rFonts w:ascii="Times New Roman" w:hAnsi="Times New Roman" w:cs="Times New Roman"/>
          <w:b/>
          <w:sz w:val="24"/>
          <w:szCs w:val="24"/>
        </w:rPr>
      </w:pPr>
    </w:p>
    <w:p w:rsidR="00E7156A" w:rsidRPr="00F62D22" w:rsidRDefault="00CD16AE">
      <w:pPr>
        <w:rPr>
          <w:rFonts w:ascii="Times New Roman" w:hAnsi="Times New Roman" w:cs="Times New Roman"/>
          <w:b/>
          <w:sz w:val="24"/>
          <w:szCs w:val="24"/>
        </w:rPr>
      </w:pPr>
      <w:r w:rsidRPr="00F62D22">
        <w:rPr>
          <w:rFonts w:ascii="Times New Roman" w:hAnsi="Times New Roman" w:cs="Times New Roman"/>
          <w:b/>
          <w:sz w:val="24"/>
          <w:szCs w:val="24"/>
        </w:rPr>
        <w:t xml:space="preserve">Property is </w:t>
      </w:r>
      <w:r w:rsidR="002D5AD2" w:rsidRPr="00F62D22">
        <w:rPr>
          <w:rFonts w:ascii="Times New Roman" w:hAnsi="Times New Roman" w:cs="Times New Roman"/>
          <w:b/>
          <w:sz w:val="24"/>
          <w:szCs w:val="24"/>
        </w:rPr>
        <w:t>increasingly</w:t>
      </w:r>
      <w:r w:rsidRPr="00F62D22">
        <w:rPr>
          <w:rFonts w:ascii="Times New Roman" w:hAnsi="Times New Roman" w:cs="Times New Roman"/>
          <w:b/>
          <w:sz w:val="24"/>
          <w:szCs w:val="24"/>
        </w:rPr>
        <w:t xml:space="preserve"> becoming </w:t>
      </w:r>
      <w:r w:rsidR="002D5AD2" w:rsidRPr="00F62D22">
        <w:rPr>
          <w:rFonts w:ascii="Times New Roman" w:hAnsi="Times New Roman" w:cs="Times New Roman"/>
          <w:b/>
          <w:sz w:val="24"/>
          <w:szCs w:val="24"/>
        </w:rPr>
        <w:t>masculine</w:t>
      </w:r>
      <w:r w:rsidRPr="00F62D22">
        <w:rPr>
          <w:rFonts w:ascii="Times New Roman" w:hAnsi="Times New Roman" w:cs="Times New Roman"/>
          <w:b/>
          <w:sz w:val="24"/>
          <w:szCs w:val="24"/>
        </w:rPr>
        <w:t>: Initiatives for t</w:t>
      </w:r>
      <w:r w:rsidR="00E7156A" w:rsidRPr="00F62D22">
        <w:rPr>
          <w:rFonts w:ascii="Times New Roman" w:hAnsi="Times New Roman" w:cs="Times New Roman"/>
          <w:b/>
          <w:sz w:val="24"/>
          <w:szCs w:val="24"/>
        </w:rPr>
        <w:t>ransfer</w:t>
      </w:r>
      <w:r w:rsidRPr="00F62D22">
        <w:rPr>
          <w:rFonts w:ascii="Times New Roman" w:hAnsi="Times New Roman" w:cs="Times New Roman"/>
          <w:b/>
          <w:sz w:val="24"/>
          <w:szCs w:val="24"/>
        </w:rPr>
        <w:t xml:space="preserve">ring </w:t>
      </w:r>
      <w:r w:rsidR="00E7156A" w:rsidRPr="00F62D22">
        <w:rPr>
          <w:rFonts w:ascii="Times New Roman" w:hAnsi="Times New Roman" w:cs="Times New Roman"/>
          <w:b/>
          <w:sz w:val="24"/>
          <w:szCs w:val="24"/>
        </w:rPr>
        <w:t>property to woman</w:t>
      </w:r>
    </w:p>
    <w:p w:rsidR="007A0993" w:rsidRDefault="00B42E53" w:rsidP="00F62D22">
      <w:pPr>
        <w:spacing w:line="360" w:lineRule="auto"/>
        <w:jc w:val="both"/>
        <w:rPr>
          <w:rFonts w:ascii="Times New Roman" w:hAnsi="Times New Roman" w:cs="Times New Roman"/>
          <w:sz w:val="24"/>
          <w:szCs w:val="24"/>
        </w:rPr>
      </w:pPr>
      <w:r w:rsidRPr="00F62D22">
        <w:rPr>
          <w:rFonts w:ascii="Times New Roman" w:hAnsi="Times New Roman" w:cs="Times New Roman"/>
          <w:sz w:val="24"/>
          <w:szCs w:val="24"/>
        </w:rPr>
        <w:t>Despite of equal inheritance rights, several women have been forced to give up property rights</w:t>
      </w:r>
      <w:r w:rsidR="007B7DDB" w:rsidRPr="00F62D22">
        <w:rPr>
          <w:rFonts w:ascii="Times New Roman" w:hAnsi="Times New Roman" w:cs="Times New Roman"/>
          <w:sz w:val="24"/>
          <w:szCs w:val="24"/>
        </w:rPr>
        <w:t xml:space="preserve"> when mutation of property is carried out</w:t>
      </w:r>
      <w:r w:rsidR="004A57BF" w:rsidRPr="00F62D22">
        <w:rPr>
          <w:rFonts w:ascii="Times New Roman" w:hAnsi="Times New Roman" w:cs="Times New Roman"/>
          <w:sz w:val="24"/>
          <w:szCs w:val="24"/>
        </w:rPr>
        <w:t xml:space="preserve"> in the inheritance processes</w:t>
      </w:r>
      <w:r w:rsidRPr="00F62D22">
        <w:rPr>
          <w:rFonts w:ascii="Times New Roman" w:hAnsi="Times New Roman" w:cs="Times New Roman"/>
          <w:sz w:val="24"/>
          <w:szCs w:val="24"/>
        </w:rPr>
        <w:t>.</w:t>
      </w:r>
      <w:r w:rsidR="00974C63">
        <w:rPr>
          <w:rStyle w:val="FootnoteReference"/>
          <w:rFonts w:ascii="Times New Roman" w:hAnsi="Times New Roman" w:cs="Times New Roman"/>
          <w:sz w:val="24"/>
          <w:szCs w:val="24"/>
        </w:rPr>
        <w:footnoteReference w:id="5"/>
      </w:r>
      <w:r w:rsidR="007B7DDB" w:rsidRPr="00F62D22">
        <w:rPr>
          <w:rFonts w:ascii="Times New Roman" w:hAnsi="Times New Roman" w:cs="Times New Roman"/>
          <w:sz w:val="24"/>
          <w:szCs w:val="24"/>
        </w:rPr>
        <w:t xml:space="preserve"> </w:t>
      </w:r>
      <w:r w:rsidR="00DC0D10" w:rsidRPr="00F62D22">
        <w:rPr>
          <w:rFonts w:ascii="Times New Roman" w:hAnsi="Times New Roman" w:cs="Times New Roman"/>
          <w:sz w:val="24"/>
          <w:szCs w:val="24"/>
        </w:rPr>
        <w:t>Evidence shows that parents are investing</w:t>
      </w:r>
      <w:r w:rsidR="002D5AD2" w:rsidRPr="00F62D22">
        <w:rPr>
          <w:rFonts w:ascii="Times New Roman" w:hAnsi="Times New Roman" w:cs="Times New Roman"/>
          <w:sz w:val="24"/>
          <w:szCs w:val="24"/>
        </w:rPr>
        <w:t xml:space="preserve"> in</w:t>
      </w:r>
      <w:r w:rsidR="00DC0D10" w:rsidRPr="00F62D22">
        <w:rPr>
          <w:rFonts w:ascii="Times New Roman" w:hAnsi="Times New Roman" w:cs="Times New Roman"/>
          <w:sz w:val="24"/>
          <w:szCs w:val="24"/>
        </w:rPr>
        <w:t xml:space="preserve"> girls through other goods such as education.</w:t>
      </w:r>
      <w:r w:rsidRPr="00F62D22">
        <w:rPr>
          <w:rFonts w:ascii="Times New Roman" w:hAnsi="Times New Roman" w:cs="Times New Roman"/>
          <w:sz w:val="24"/>
          <w:szCs w:val="24"/>
        </w:rPr>
        <w:t xml:space="preserve"> </w:t>
      </w:r>
      <w:r w:rsidR="00DC0D10" w:rsidRPr="00F62D22">
        <w:rPr>
          <w:rFonts w:ascii="Times New Roman" w:hAnsi="Times New Roman" w:cs="Times New Roman"/>
          <w:sz w:val="24"/>
          <w:szCs w:val="24"/>
        </w:rPr>
        <w:t>As a result, property in land is increasingly becoming masculine. This has twin effects. First, women’s contribution to subsistence economy is steadily decreasing. Second, girls are viewed as burdensome</w:t>
      </w:r>
      <w:r w:rsidR="00317807" w:rsidRPr="00F62D22">
        <w:rPr>
          <w:rFonts w:ascii="Times New Roman" w:hAnsi="Times New Roman" w:cs="Times New Roman"/>
          <w:sz w:val="24"/>
          <w:szCs w:val="24"/>
        </w:rPr>
        <w:t xml:space="preserve"> and economically unproductive</w:t>
      </w:r>
      <w:r w:rsidR="00DC0D10" w:rsidRPr="00F62D22">
        <w:rPr>
          <w:rFonts w:ascii="Times New Roman" w:hAnsi="Times New Roman" w:cs="Times New Roman"/>
          <w:sz w:val="24"/>
          <w:szCs w:val="24"/>
        </w:rPr>
        <w:t>, often increasing in infanticide (some states in India such as Haryana has female child ratio as low as 830</w:t>
      </w:r>
      <w:r w:rsidR="005A2A41" w:rsidRPr="00F62D22">
        <w:rPr>
          <w:rFonts w:ascii="Times New Roman" w:hAnsi="Times New Roman" w:cs="Times New Roman"/>
          <w:sz w:val="24"/>
          <w:szCs w:val="24"/>
        </w:rPr>
        <w:t>)</w:t>
      </w:r>
      <w:r w:rsidR="00DC0D10" w:rsidRPr="00F62D22">
        <w:rPr>
          <w:rFonts w:ascii="Times New Roman" w:hAnsi="Times New Roman" w:cs="Times New Roman"/>
          <w:sz w:val="24"/>
          <w:szCs w:val="24"/>
        </w:rPr>
        <w:t>.</w:t>
      </w:r>
    </w:p>
    <w:p w:rsidR="00E7156A" w:rsidRPr="00F62D22" w:rsidRDefault="007A0993" w:rsidP="00F62D22">
      <w:pPr>
        <w:spacing w:line="360" w:lineRule="auto"/>
        <w:jc w:val="both"/>
        <w:rPr>
          <w:rFonts w:ascii="Times New Roman" w:hAnsi="Times New Roman" w:cs="Times New Roman"/>
          <w:sz w:val="24"/>
          <w:szCs w:val="24"/>
        </w:rPr>
      </w:pPr>
      <w:r>
        <w:rPr>
          <w:rFonts w:ascii="Times New Roman" w:hAnsi="Times New Roman" w:cs="Times New Roman"/>
          <w:sz w:val="24"/>
          <w:szCs w:val="24"/>
        </w:rPr>
        <w:t>An example to deal with this</w:t>
      </w:r>
      <w:r w:rsidR="00F70023">
        <w:rPr>
          <w:rFonts w:ascii="Times New Roman" w:hAnsi="Times New Roman" w:cs="Times New Roman"/>
          <w:sz w:val="24"/>
          <w:szCs w:val="24"/>
        </w:rPr>
        <w:t xml:space="preserve"> bias</w:t>
      </w:r>
      <w:r>
        <w:rPr>
          <w:rFonts w:ascii="Times New Roman" w:hAnsi="Times New Roman" w:cs="Times New Roman"/>
          <w:sz w:val="24"/>
          <w:szCs w:val="24"/>
        </w:rPr>
        <w:t xml:space="preserve"> exists in the land distribution programme for the lower castes in the state of Karnataka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2C4FE5">
        <w:rPr>
          <w:rFonts w:ascii="Times New Roman" w:hAnsi="Times New Roman" w:cs="Times New Roman"/>
          <w:sz w:val="24"/>
          <w:szCs w:val="24"/>
        </w:rPr>
        <w:t xml:space="preserve">Wherever, the state provides for land, it is made in the name of woman in the household. This could be extended to housing, credits and other welfare measures when provided by the state. </w:t>
      </w:r>
      <w:r w:rsidR="005D05DD">
        <w:rPr>
          <w:rFonts w:ascii="Times New Roman" w:hAnsi="Times New Roman" w:cs="Times New Roman"/>
          <w:sz w:val="24"/>
          <w:szCs w:val="24"/>
        </w:rPr>
        <w:t xml:space="preserve">Microfinance experience of Bangladesh shows that women as better custodian of resources for the household. </w:t>
      </w:r>
      <w:r w:rsidR="00DC0D10" w:rsidRPr="00F62D22">
        <w:rPr>
          <w:rFonts w:ascii="Times New Roman" w:hAnsi="Times New Roman" w:cs="Times New Roman"/>
          <w:sz w:val="24"/>
          <w:szCs w:val="24"/>
        </w:rPr>
        <w:t xml:space="preserve">  </w:t>
      </w:r>
    </w:p>
    <w:p w:rsidR="008E7742" w:rsidRDefault="008E7742" w:rsidP="008E7742">
      <w:pPr>
        <w:pStyle w:val="Normal1"/>
        <w:shd w:val="clear" w:color="auto" w:fill="FFFFFF"/>
        <w:spacing w:before="60" w:after="220"/>
        <w:ind w:left="720"/>
        <w:rPr>
          <w:highlight w:val="white"/>
        </w:rPr>
      </w:pPr>
    </w:p>
    <w:p w:rsidR="00A05AD9" w:rsidRPr="00E05BB1" w:rsidRDefault="00ED78B6">
      <w:pPr>
        <w:rPr>
          <w:rFonts w:ascii="Times New Roman" w:hAnsi="Times New Roman" w:cs="Times New Roman"/>
          <w:b/>
          <w:sz w:val="24"/>
          <w:szCs w:val="24"/>
        </w:rPr>
      </w:pPr>
      <w:r w:rsidRPr="00E05BB1">
        <w:rPr>
          <w:rFonts w:ascii="Times New Roman" w:hAnsi="Times New Roman" w:cs="Times New Roman"/>
          <w:b/>
          <w:sz w:val="24"/>
          <w:szCs w:val="24"/>
        </w:rPr>
        <w:t>References</w:t>
      </w:r>
    </w:p>
    <w:p w:rsidR="00943112" w:rsidRDefault="00943112">
      <w:pPr>
        <w:rPr>
          <w:rFonts w:ascii="Times New Roman" w:hAnsi="Times New Roman" w:cs="Times New Roman"/>
          <w:sz w:val="24"/>
          <w:szCs w:val="24"/>
        </w:rPr>
      </w:pPr>
      <w:r>
        <w:rPr>
          <w:rFonts w:ascii="Times New Roman" w:hAnsi="Times New Roman" w:cs="Times New Roman"/>
          <w:sz w:val="24"/>
          <w:szCs w:val="24"/>
        </w:rPr>
        <w:t xml:space="preserve">Alexander, A. (2018) </w:t>
      </w:r>
      <w:r w:rsidRPr="00943112">
        <w:rPr>
          <w:rFonts w:ascii="Times New Roman" w:hAnsi="Times New Roman" w:cs="Times New Roman"/>
          <w:i/>
          <w:sz w:val="24"/>
          <w:szCs w:val="24"/>
        </w:rPr>
        <w:t>Property and Human Flourishing</w:t>
      </w:r>
      <w:r>
        <w:rPr>
          <w:rFonts w:ascii="Times New Roman" w:hAnsi="Times New Roman" w:cs="Times New Roman"/>
          <w:sz w:val="24"/>
          <w:szCs w:val="24"/>
        </w:rPr>
        <w:t>, Oxford: Oxford University Press.</w:t>
      </w:r>
    </w:p>
    <w:p w:rsidR="00671F77" w:rsidRDefault="00990B30">
      <w:pPr>
        <w:rPr>
          <w:rFonts w:ascii="Times New Roman" w:hAnsi="Times New Roman" w:cs="Times New Roman"/>
          <w:sz w:val="24"/>
          <w:szCs w:val="24"/>
        </w:rPr>
      </w:pPr>
      <w:r w:rsidRPr="005F41D4">
        <w:rPr>
          <w:rFonts w:ascii="Times New Roman" w:hAnsi="Times New Roman" w:cs="Times New Roman"/>
          <w:sz w:val="24"/>
          <w:szCs w:val="24"/>
        </w:rPr>
        <w:t xml:space="preserve">Gupta, P. (2021) ‘Conservation Is Development in the Forests of Nagarahole Tiger Reserve, India’ </w:t>
      </w:r>
      <w:r w:rsidRPr="005F41D4">
        <w:rPr>
          <w:rFonts w:ascii="Times New Roman" w:hAnsi="Times New Roman" w:cs="Times New Roman"/>
          <w:i/>
          <w:sz w:val="24"/>
          <w:szCs w:val="24"/>
        </w:rPr>
        <w:t>Journal of South Asian Development</w:t>
      </w:r>
      <w:r w:rsidRPr="005F41D4">
        <w:rPr>
          <w:rFonts w:ascii="Times New Roman" w:hAnsi="Times New Roman" w:cs="Times New Roman"/>
          <w:sz w:val="24"/>
          <w:szCs w:val="24"/>
        </w:rPr>
        <w:t xml:space="preserve"> 16</w:t>
      </w:r>
      <w:r w:rsidR="00ED78B6" w:rsidRPr="005F41D4">
        <w:rPr>
          <w:rFonts w:ascii="Times New Roman" w:hAnsi="Times New Roman" w:cs="Times New Roman"/>
          <w:sz w:val="24"/>
          <w:szCs w:val="24"/>
        </w:rPr>
        <w:t xml:space="preserve"> (1)</w:t>
      </w:r>
      <w:r w:rsidRPr="005F41D4">
        <w:rPr>
          <w:rFonts w:ascii="Times New Roman" w:hAnsi="Times New Roman" w:cs="Times New Roman"/>
          <w:sz w:val="24"/>
          <w:szCs w:val="24"/>
        </w:rPr>
        <w:t xml:space="preserve"> pp. 54-</w:t>
      </w:r>
      <w:r w:rsidR="00ED78B6" w:rsidRPr="005F41D4">
        <w:rPr>
          <w:rFonts w:ascii="Times New Roman" w:hAnsi="Times New Roman" w:cs="Times New Roman"/>
          <w:sz w:val="24"/>
          <w:szCs w:val="24"/>
        </w:rPr>
        <w:t>74</w:t>
      </w:r>
      <w:r w:rsidRPr="005F41D4">
        <w:rPr>
          <w:rFonts w:ascii="Times New Roman" w:hAnsi="Times New Roman" w:cs="Times New Roman"/>
          <w:sz w:val="24"/>
          <w:szCs w:val="24"/>
        </w:rPr>
        <w:t>.</w:t>
      </w:r>
    </w:p>
    <w:p w:rsidR="00671F77" w:rsidRPr="00671F77" w:rsidRDefault="00671F77" w:rsidP="00671F77">
      <w:pPr>
        <w:pStyle w:val="Heading1"/>
        <w:shd w:val="clear" w:color="auto" w:fill="FFFFFF"/>
        <w:spacing w:before="150" w:after="150"/>
        <w:rPr>
          <w:rFonts w:ascii="Times New Roman" w:hAnsi="Times New Roman" w:cs="Times New Roman"/>
          <w:b w:val="0"/>
          <w:color w:val="000000"/>
          <w:sz w:val="24"/>
          <w:szCs w:val="24"/>
        </w:rPr>
      </w:pPr>
      <w:r w:rsidRPr="00671F77">
        <w:rPr>
          <w:rFonts w:ascii="Times New Roman" w:hAnsi="Times New Roman" w:cs="Times New Roman"/>
          <w:b w:val="0"/>
          <w:color w:val="auto"/>
          <w:sz w:val="24"/>
          <w:szCs w:val="24"/>
        </w:rPr>
        <w:t xml:space="preserve">Madhusudan, M. D. &amp; Raman, T R S (2022) </w:t>
      </w:r>
      <w:r w:rsidR="00990B30" w:rsidRPr="00671F77">
        <w:rPr>
          <w:rFonts w:ascii="Times New Roman" w:hAnsi="Times New Roman" w:cs="Times New Roman"/>
          <w:b w:val="0"/>
          <w:color w:val="auto"/>
          <w:sz w:val="24"/>
          <w:szCs w:val="24"/>
        </w:rPr>
        <w:t xml:space="preserve"> </w:t>
      </w:r>
      <w:r w:rsidRPr="00671F77">
        <w:rPr>
          <w:rFonts w:ascii="Times New Roman" w:hAnsi="Times New Roman" w:cs="Times New Roman"/>
          <w:b w:val="0"/>
          <w:color w:val="auto"/>
          <w:sz w:val="24"/>
          <w:szCs w:val="24"/>
        </w:rPr>
        <w:t>“</w:t>
      </w:r>
      <w:r w:rsidRPr="00671F77">
        <w:rPr>
          <w:rFonts w:ascii="Times New Roman" w:hAnsi="Times New Roman" w:cs="Times New Roman"/>
          <w:b w:val="0"/>
          <w:color w:val="000000"/>
          <w:sz w:val="24"/>
          <w:szCs w:val="24"/>
        </w:rPr>
        <w:t xml:space="preserve">Is India’s forest cover really increasing? Official maps don’t tell you the whole truth”, </w:t>
      </w:r>
      <w:r w:rsidRPr="00671F77">
        <w:rPr>
          <w:rFonts w:ascii="Times New Roman" w:hAnsi="Times New Roman" w:cs="Times New Roman"/>
          <w:b w:val="0"/>
          <w:i/>
          <w:color w:val="000000"/>
          <w:sz w:val="24"/>
          <w:szCs w:val="24"/>
        </w:rPr>
        <w:t>The Hindu</w:t>
      </w:r>
      <w:r w:rsidRPr="00671F77">
        <w:rPr>
          <w:rFonts w:ascii="Times New Roman" w:hAnsi="Times New Roman" w:cs="Times New Roman"/>
          <w:b w:val="0"/>
          <w:color w:val="000000"/>
          <w:sz w:val="24"/>
          <w:szCs w:val="24"/>
        </w:rPr>
        <w:t xml:space="preserve"> (accessible here: https://www.thehindu.com/sci-tech/energy-and-environment/is-indias-forest-cover-really-increasing-official-maps-dont-tell-you-the-whole-truth/article38412109.ece)</w:t>
      </w:r>
    </w:p>
    <w:p w:rsidR="00C6394A" w:rsidRDefault="00C6394A">
      <w:pPr>
        <w:rPr>
          <w:rFonts w:ascii="Times New Roman" w:hAnsi="Times New Roman" w:cs="Times New Roman"/>
          <w:color w:val="333333"/>
          <w:sz w:val="24"/>
          <w:szCs w:val="24"/>
          <w:shd w:val="clear" w:color="auto" w:fill="F3F3F3"/>
        </w:rPr>
      </w:pPr>
      <w:r w:rsidRPr="00C6394A">
        <w:rPr>
          <w:rFonts w:ascii="Times New Roman" w:hAnsi="Times New Roman" w:cs="Times New Roman"/>
          <w:sz w:val="24"/>
          <w:szCs w:val="24"/>
        </w:rPr>
        <w:t xml:space="preserve">Pellissery, S. &amp; </w:t>
      </w:r>
      <w:hyperlink r:id="rId10" w:history="1">
        <w:r w:rsidRPr="00C6394A">
          <w:rPr>
            <w:rStyle w:val="Hyperlink"/>
            <w:rFonts w:ascii="Times New Roman" w:hAnsi="Times New Roman" w:cs="Times New Roman"/>
            <w:color w:val="auto"/>
            <w:sz w:val="24"/>
            <w:szCs w:val="24"/>
            <w:u w:val="none"/>
            <w:bdr w:val="none" w:sz="0" w:space="0" w:color="auto" w:frame="1"/>
            <w:shd w:val="clear" w:color="auto" w:fill="FFFFFF"/>
          </w:rPr>
          <w:t>Lødemel</w:t>
        </w:r>
      </w:hyperlink>
      <w:r w:rsidRPr="00C6394A">
        <w:rPr>
          <w:rFonts w:ascii="Times New Roman" w:hAnsi="Times New Roman" w:cs="Times New Roman"/>
          <w:sz w:val="24"/>
          <w:szCs w:val="24"/>
        </w:rPr>
        <w:t>, I. (2020) “</w:t>
      </w:r>
      <w:r w:rsidRPr="00C6394A">
        <w:rPr>
          <w:rFonts w:ascii="Times New Roman" w:hAnsi="Times New Roman" w:cs="Times New Roman"/>
          <w:color w:val="2B2E4A"/>
          <w:sz w:val="24"/>
          <w:szCs w:val="24"/>
          <w:shd w:val="clear" w:color="auto" w:fill="F7F3EC"/>
        </w:rPr>
        <w:t xml:space="preserve">Property and Social Citizenship: Social Policy beyond the North”, </w:t>
      </w:r>
      <w:r w:rsidRPr="00C6394A">
        <w:rPr>
          <w:rFonts w:ascii="Times New Roman" w:hAnsi="Times New Roman" w:cs="Times New Roman"/>
          <w:i/>
          <w:color w:val="2B2E4A"/>
          <w:sz w:val="24"/>
          <w:szCs w:val="24"/>
          <w:shd w:val="clear" w:color="auto" w:fill="F7F3EC"/>
        </w:rPr>
        <w:t>Social Policy and Society</w:t>
      </w:r>
      <w:r w:rsidRPr="00C6394A">
        <w:rPr>
          <w:rFonts w:ascii="Times New Roman" w:hAnsi="Times New Roman" w:cs="Times New Roman"/>
          <w:color w:val="2B2E4A"/>
          <w:sz w:val="24"/>
          <w:szCs w:val="24"/>
          <w:shd w:val="clear" w:color="auto" w:fill="F7F3EC"/>
        </w:rPr>
        <w:t xml:space="preserve"> 19 (2) pp. </w:t>
      </w:r>
      <w:r w:rsidRPr="00C6394A">
        <w:rPr>
          <w:rFonts w:ascii="Times New Roman" w:hAnsi="Times New Roman" w:cs="Times New Roman"/>
          <w:color w:val="333333"/>
          <w:sz w:val="24"/>
          <w:szCs w:val="24"/>
          <w:shd w:val="clear" w:color="auto" w:fill="F3F3F3"/>
        </w:rPr>
        <w:t> 275 – 292.</w:t>
      </w:r>
    </w:p>
    <w:p w:rsidR="00EC1E23" w:rsidRPr="00C6394A" w:rsidRDefault="00EC1E23">
      <w:pPr>
        <w:rPr>
          <w:rFonts w:ascii="Times New Roman" w:hAnsi="Times New Roman" w:cs="Times New Roman"/>
          <w:sz w:val="24"/>
          <w:szCs w:val="24"/>
        </w:rPr>
      </w:pPr>
      <w:r>
        <w:rPr>
          <w:rFonts w:ascii="Times New Roman" w:hAnsi="Times New Roman" w:cs="Times New Roman"/>
          <w:color w:val="333333"/>
          <w:sz w:val="24"/>
          <w:szCs w:val="24"/>
          <w:shd w:val="clear" w:color="auto" w:fill="F3F3F3"/>
        </w:rPr>
        <w:t>Pellissery, S. &amp; Kaur, R. (2022) “The Social Q</w:t>
      </w:r>
      <w:r w:rsidRPr="00EC1E23">
        <w:rPr>
          <w:rFonts w:ascii="Times New Roman" w:hAnsi="Times New Roman" w:cs="Times New Roman"/>
          <w:color w:val="333333"/>
          <w:sz w:val="24"/>
          <w:szCs w:val="24"/>
          <w:shd w:val="clear" w:color="auto" w:fill="F3F3F3"/>
        </w:rPr>
        <w:t xml:space="preserve">uestion in Urban Centric Growth Models”, </w:t>
      </w:r>
      <w:r w:rsidRPr="00EC1E23">
        <w:rPr>
          <w:rFonts w:ascii="Times New Roman" w:hAnsi="Times New Roman" w:cs="Times New Roman"/>
          <w:color w:val="494949"/>
          <w:sz w:val="24"/>
          <w:szCs w:val="24"/>
          <w:shd w:val="clear" w:color="auto" w:fill="FFFFFF"/>
        </w:rPr>
        <w:t>SOCIUM SFB 1342 WorkingPapers, Breman.</w:t>
      </w:r>
    </w:p>
    <w:p w:rsidR="00D43DFA" w:rsidRPr="005F41D4" w:rsidRDefault="00D43DFA">
      <w:pPr>
        <w:rPr>
          <w:rFonts w:ascii="Times New Roman" w:hAnsi="Times New Roman" w:cs="Times New Roman"/>
          <w:sz w:val="24"/>
          <w:szCs w:val="24"/>
        </w:rPr>
      </w:pPr>
      <w:r w:rsidRPr="005F41D4">
        <w:rPr>
          <w:rFonts w:ascii="Times New Roman" w:hAnsi="Times New Roman" w:cs="Times New Roman"/>
          <w:sz w:val="24"/>
          <w:szCs w:val="24"/>
        </w:rPr>
        <w:t>Pellissery, S. (2024) “</w:t>
      </w:r>
      <w:r w:rsidRPr="005F41D4">
        <w:rPr>
          <w:rFonts w:ascii="Times New Roman" w:hAnsi="Times New Roman" w:cs="Times New Roman"/>
          <w:sz w:val="24"/>
          <w:szCs w:val="24"/>
          <w:shd w:val="clear" w:color="auto" w:fill="FFFFFF"/>
        </w:rPr>
        <w:t>Seven Propositions for Welfare State in Post-Growth Society”,  Available at SSRN:  </w:t>
      </w:r>
      <w:hyperlink r:id="rId11" w:history="1">
        <w:r w:rsidRPr="005F41D4">
          <w:rPr>
            <w:rStyle w:val="Hyperlink"/>
            <w:rFonts w:ascii="Times New Roman" w:hAnsi="Times New Roman" w:cs="Times New Roman"/>
            <w:color w:val="auto"/>
            <w:sz w:val="24"/>
            <w:szCs w:val="24"/>
            <w:shd w:val="clear" w:color="auto" w:fill="FFFFFF"/>
          </w:rPr>
          <w:t>http://dx.doi.org/10.2139/ssr.4671952</w:t>
        </w:r>
      </w:hyperlink>
    </w:p>
    <w:p w:rsidR="005F41D4" w:rsidRDefault="00802709">
      <w:pPr>
        <w:rPr>
          <w:rFonts w:ascii="Times New Roman" w:hAnsi="Times New Roman" w:cs="Times New Roman"/>
          <w:sz w:val="24"/>
          <w:szCs w:val="24"/>
        </w:rPr>
      </w:pPr>
      <w:r w:rsidRPr="005F41D4">
        <w:rPr>
          <w:rFonts w:ascii="Times New Roman" w:hAnsi="Times New Roman" w:cs="Times New Roman"/>
          <w:sz w:val="24"/>
          <w:szCs w:val="24"/>
        </w:rPr>
        <w:t xml:space="preserve">Piketty, T. (2014) </w:t>
      </w:r>
      <w:r w:rsidRPr="005F41D4">
        <w:rPr>
          <w:rFonts w:ascii="Times New Roman" w:hAnsi="Times New Roman" w:cs="Times New Roman"/>
          <w:i/>
          <w:sz w:val="24"/>
          <w:szCs w:val="24"/>
        </w:rPr>
        <w:t>Capital in the 21</w:t>
      </w:r>
      <w:r w:rsidRPr="005F41D4">
        <w:rPr>
          <w:rFonts w:ascii="Times New Roman" w:hAnsi="Times New Roman" w:cs="Times New Roman"/>
          <w:i/>
          <w:sz w:val="24"/>
          <w:szCs w:val="24"/>
          <w:vertAlign w:val="superscript"/>
        </w:rPr>
        <w:t>st</w:t>
      </w:r>
      <w:r w:rsidRPr="005F41D4">
        <w:rPr>
          <w:rFonts w:ascii="Times New Roman" w:hAnsi="Times New Roman" w:cs="Times New Roman"/>
          <w:i/>
          <w:sz w:val="24"/>
          <w:szCs w:val="24"/>
        </w:rPr>
        <w:t xml:space="preserve"> Century</w:t>
      </w:r>
      <w:r w:rsidRPr="005F41D4">
        <w:rPr>
          <w:rFonts w:ascii="Times New Roman" w:hAnsi="Times New Roman" w:cs="Times New Roman"/>
          <w:sz w:val="24"/>
          <w:szCs w:val="24"/>
        </w:rPr>
        <w:t>, Harvard: Belknap Press.</w:t>
      </w:r>
    </w:p>
    <w:p w:rsidR="00E2487C" w:rsidRDefault="00E2487C" w:rsidP="00E2487C">
      <w:r>
        <w:rPr>
          <w:rFonts w:ascii="Times New Roman" w:hAnsi="Times New Roman" w:cs="Times New Roman"/>
          <w:sz w:val="24"/>
          <w:szCs w:val="24"/>
        </w:rPr>
        <w:t xml:space="preserve">State Planning Board (2022) Regional Growth Patterns in Tamil Nadu (available at </w:t>
      </w:r>
      <w:hyperlink r:id="rId12" w:history="1">
        <w:r w:rsidRPr="00C959A3">
          <w:rPr>
            <w:rStyle w:val="Hyperlink"/>
          </w:rPr>
          <w:t>https://spc.tn.gov.in/spc_reports/Regional_Imbalance.pdf</w:t>
        </w:r>
      </w:hyperlink>
      <w:r>
        <w:t xml:space="preserve"> )</w:t>
      </w:r>
    </w:p>
    <w:p w:rsidR="00974C63" w:rsidRDefault="00974C63" w:rsidP="00E2487C">
      <w:r>
        <w:t>Valera, H., Yamana, T., Puskur, R., Veetil, P., Gupta, I., Ricarte, P., &amp; Mohan, R. (2018) Women’s land title ownership and empowerment. ABD Economics Working Paper Series No. 559.</w:t>
      </w:r>
    </w:p>
    <w:p w:rsidR="005F41D4" w:rsidRPr="005F41D4" w:rsidRDefault="005F41D4" w:rsidP="005F41D4">
      <w:pPr>
        <w:pStyle w:val="Heading1"/>
        <w:spacing w:before="0"/>
        <w:rPr>
          <w:rFonts w:ascii="Times New Roman" w:hAnsi="Times New Roman" w:cs="Times New Roman"/>
          <w:b w:val="0"/>
          <w:color w:val="auto"/>
          <w:sz w:val="24"/>
          <w:szCs w:val="24"/>
        </w:rPr>
      </w:pPr>
      <w:r w:rsidRPr="005F41D4">
        <w:rPr>
          <w:rFonts w:ascii="Times New Roman" w:hAnsi="Times New Roman" w:cs="Times New Roman"/>
          <w:b w:val="0"/>
          <w:color w:val="auto"/>
          <w:sz w:val="24"/>
          <w:szCs w:val="24"/>
        </w:rPr>
        <w:t>Walker, C. C., Druckman, A., &amp; Jackson, T. (2021) “</w:t>
      </w:r>
      <w:r w:rsidRPr="005F41D4">
        <w:rPr>
          <w:rStyle w:val="title-text"/>
          <w:rFonts w:ascii="Times New Roman" w:hAnsi="Times New Roman" w:cs="Times New Roman"/>
          <w:b w:val="0"/>
          <w:color w:val="auto"/>
          <w:sz w:val="24"/>
          <w:szCs w:val="24"/>
        </w:rPr>
        <w:t>Welfare systems without economic growth: A review of the challenges and next steps for the field”</w:t>
      </w:r>
      <w:r w:rsidRPr="005F41D4">
        <w:rPr>
          <w:rStyle w:val="title-text"/>
          <w:rFonts w:ascii="Times New Roman" w:hAnsi="Times New Roman" w:cs="Times New Roman"/>
          <w:b w:val="0"/>
          <w:i/>
          <w:color w:val="auto"/>
          <w:sz w:val="24"/>
          <w:szCs w:val="24"/>
        </w:rPr>
        <w:t xml:space="preserve"> Ecological Economics</w:t>
      </w:r>
      <w:r w:rsidRPr="005F41D4">
        <w:rPr>
          <w:rStyle w:val="title-text"/>
          <w:rFonts w:ascii="Times New Roman" w:hAnsi="Times New Roman" w:cs="Times New Roman"/>
          <w:b w:val="0"/>
          <w:color w:val="auto"/>
          <w:sz w:val="24"/>
          <w:szCs w:val="24"/>
        </w:rPr>
        <w:t xml:space="preserve"> Vol. 186.</w:t>
      </w:r>
    </w:p>
    <w:p w:rsidR="0080432F" w:rsidRDefault="00802709">
      <w:r>
        <w:rPr>
          <w:sz w:val="20"/>
          <w:szCs w:val="20"/>
        </w:rPr>
        <w:t xml:space="preserve"> </w:t>
      </w:r>
      <w:r w:rsidR="00990B30">
        <w:t xml:space="preserve"> </w:t>
      </w:r>
    </w:p>
    <w:p w:rsidR="0080432F" w:rsidRDefault="0080432F"/>
    <w:p w:rsidR="0080432F" w:rsidRDefault="0080432F"/>
    <w:p w:rsidR="0080432F" w:rsidRDefault="0080432F"/>
    <w:p w:rsidR="0080432F" w:rsidRDefault="0080432F">
      <w:r>
        <w:rPr>
          <w:noProof/>
        </w:rPr>
        <w:drawing>
          <wp:inline distT="0" distB="0" distL="0" distR="0">
            <wp:extent cx="5943600" cy="8409482"/>
            <wp:effectExtent l="19050" t="0" r="0" b="0"/>
            <wp:docPr id="1" name="Picture 1" descr="D:\user\downlods\Responses to Pove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ds\Responses to Poverty.jpg"/>
                    <pic:cNvPicPr>
                      <a:picLocks noChangeAspect="1" noChangeArrowheads="1"/>
                    </pic:cNvPicPr>
                  </pic:nvPicPr>
                  <pic:blipFill>
                    <a:blip r:embed="rId13"/>
                    <a:srcRect/>
                    <a:stretch>
                      <a:fillRect/>
                    </a:stretch>
                  </pic:blipFill>
                  <pic:spPr bwMode="auto">
                    <a:xfrm>
                      <a:off x="0" y="0"/>
                      <a:ext cx="5943600" cy="8409482"/>
                    </a:xfrm>
                    <a:prstGeom prst="rect">
                      <a:avLst/>
                    </a:prstGeom>
                    <a:noFill/>
                    <a:ln w="9525">
                      <a:noFill/>
                      <a:miter lim="800000"/>
                      <a:headEnd/>
                      <a:tailEnd/>
                    </a:ln>
                  </pic:spPr>
                </pic:pic>
              </a:graphicData>
            </a:graphic>
          </wp:inline>
        </w:drawing>
      </w:r>
    </w:p>
    <w:sectPr w:rsidR="0080432F" w:rsidSect="00575C1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29D" w:rsidRDefault="0050329D" w:rsidP="00990B30">
      <w:pPr>
        <w:spacing w:after="0" w:line="240" w:lineRule="auto"/>
      </w:pPr>
      <w:r>
        <w:separator/>
      </w:r>
    </w:p>
  </w:endnote>
  <w:endnote w:type="continuationSeparator" w:id="0">
    <w:p w:rsidR="0050329D" w:rsidRDefault="0050329D" w:rsidP="009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7C0" w:rsidRDefault="00DE7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739"/>
      <w:docPartObj>
        <w:docPartGallery w:val="Page Numbers (Bottom of Page)"/>
        <w:docPartUnique/>
      </w:docPartObj>
    </w:sdtPr>
    <w:sdtEndPr/>
    <w:sdtContent>
      <w:p w:rsidR="00DE77C0" w:rsidRDefault="00ED5DAA">
        <w:pPr>
          <w:pStyle w:val="Footer"/>
          <w:jc w:val="center"/>
        </w:pPr>
        <w:r>
          <w:fldChar w:fldCharType="begin"/>
        </w:r>
        <w:r>
          <w:instrText xml:space="preserve"> PAGE   \* MERGEFORMAT </w:instrText>
        </w:r>
        <w:r>
          <w:fldChar w:fldCharType="separate"/>
        </w:r>
        <w:r w:rsidR="000F2208">
          <w:rPr>
            <w:noProof/>
          </w:rPr>
          <w:t>1</w:t>
        </w:r>
        <w:r>
          <w:rPr>
            <w:noProof/>
          </w:rPr>
          <w:fldChar w:fldCharType="end"/>
        </w:r>
      </w:p>
    </w:sdtContent>
  </w:sdt>
  <w:p w:rsidR="00DE77C0" w:rsidRDefault="00DE7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7C0" w:rsidRDefault="00DE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29D" w:rsidRDefault="0050329D" w:rsidP="00990B30">
      <w:pPr>
        <w:spacing w:after="0" w:line="240" w:lineRule="auto"/>
      </w:pPr>
      <w:r>
        <w:separator/>
      </w:r>
    </w:p>
  </w:footnote>
  <w:footnote w:type="continuationSeparator" w:id="0">
    <w:p w:rsidR="0050329D" w:rsidRDefault="0050329D" w:rsidP="00990B30">
      <w:pPr>
        <w:spacing w:after="0" w:line="240" w:lineRule="auto"/>
      </w:pPr>
      <w:r>
        <w:continuationSeparator/>
      </w:r>
    </w:p>
  </w:footnote>
  <w:footnote w:id="1">
    <w:p w:rsidR="00D90953" w:rsidRDefault="00D90953">
      <w:pPr>
        <w:pStyle w:val="FootnoteText"/>
      </w:pPr>
      <w:r>
        <w:rPr>
          <w:rStyle w:val="FootnoteReference"/>
        </w:rPr>
        <w:footnoteRef/>
      </w:r>
      <w:r>
        <w:t xml:space="preserve"> Piketty’s </w:t>
      </w:r>
      <w:r w:rsidR="00802709">
        <w:t xml:space="preserve">(2014) </w:t>
      </w:r>
      <w:r>
        <w:t>work has shown how wealth, rather than capital, is the reason for perpetuating inequality. Primarily, by showing the formula of g</w:t>
      </w:r>
      <w:r w:rsidR="00506C85" w:rsidRPr="00802709">
        <w:rPr>
          <w:vertAlign w:val="subscript"/>
        </w:rPr>
        <w:t>y</w:t>
      </w:r>
      <w:r w:rsidR="00802709">
        <w:t xml:space="preserve"> &lt; r Piketty argues that inherited wealth is likely to grow faster than outputs, when rate of return on capital exceeds rate of growth of economy.</w:t>
      </w:r>
    </w:p>
  </w:footnote>
  <w:footnote w:id="2">
    <w:p w:rsidR="00944631" w:rsidRDefault="00944631">
      <w:pPr>
        <w:pStyle w:val="FootnoteText"/>
      </w:pPr>
      <w:r>
        <w:rPr>
          <w:rStyle w:val="FootnoteReference"/>
        </w:rPr>
        <w:footnoteRef/>
      </w:r>
      <w:r>
        <w:t xml:space="preserve"> Another example from Kenya is provided in the paper here: </w:t>
      </w:r>
      <w:r w:rsidRPr="00944631">
        <w:t>https://papers.ssrn.com/sol3/papers.cfm?abstract_id=4695291</w:t>
      </w:r>
    </w:p>
  </w:footnote>
  <w:footnote w:id="3">
    <w:p w:rsidR="00911428" w:rsidRDefault="00911428">
      <w:pPr>
        <w:pStyle w:val="FootnoteText"/>
      </w:pPr>
      <w:r>
        <w:rPr>
          <w:rStyle w:val="FootnoteReference"/>
        </w:rPr>
        <w:footnoteRef/>
      </w:r>
      <w:r>
        <w:t xml:space="preserve"> The United Nations Declaration on the Rights of Indigenous Peoples (adopted 13 September 2007 UNGA Res A/RES/61/295 (UNDRIP).  </w:t>
      </w:r>
    </w:p>
  </w:footnote>
  <w:footnote w:id="4">
    <w:p w:rsidR="008A0150" w:rsidRDefault="008A0150">
      <w:pPr>
        <w:pStyle w:val="FootnoteText"/>
      </w:pPr>
      <w:r>
        <w:rPr>
          <w:rStyle w:val="FootnoteReference"/>
        </w:rPr>
        <w:footnoteRef/>
      </w:r>
      <w:r>
        <w:t xml:space="preserve"> </w:t>
      </w:r>
      <w:r w:rsidRPr="008A0150">
        <w:t>https://www.actionaidindia.org/wp-content/uploads/2018/12/Free-Prior-Informed-Consent-English.pdf</w:t>
      </w:r>
    </w:p>
  </w:footnote>
  <w:footnote w:id="5">
    <w:p w:rsidR="00974C63" w:rsidRDefault="00974C63">
      <w:pPr>
        <w:pStyle w:val="FootnoteText"/>
      </w:pPr>
      <w:r>
        <w:rPr>
          <w:rStyle w:val="FootnoteReference"/>
        </w:rPr>
        <w:footnoteRef/>
      </w:r>
      <w:r>
        <w:t xml:space="preserve"> Valera et al (2018) showed that only 3.1 per cent of land titles are held by women in India. </w:t>
      </w:r>
    </w:p>
  </w:footnote>
  <w:footnote w:id="6">
    <w:p w:rsidR="007A0993" w:rsidRDefault="007A0993">
      <w:pPr>
        <w:pStyle w:val="FootnoteText"/>
      </w:pPr>
      <w:r>
        <w:rPr>
          <w:rStyle w:val="FootnoteReference"/>
        </w:rPr>
        <w:footnoteRef/>
      </w:r>
      <w:r>
        <w:t xml:space="preserve"> Details of this programme could be viewed here: </w:t>
      </w:r>
      <w:r w:rsidRPr="0033688C">
        <w:t>https://adijambava.karnataka.gov.in/6/land-ownership-scheme/en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7C0" w:rsidRDefault="00DE7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7C0" w:rsidRDefault="00DE7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7C0" w:rsidRDefault="00DE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FB4"/>
    <w:multiLevelType w:val="multilevel"/>
    <w:tmpl w:val="EBB8AD20"/>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244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35"/>
    <w:rsid w:val="00006FBC"/>
    <w:rsid w:val="000221DE"/>
    <w:rsid w:val="00022BCC"/>
    <w:rsid w:val="000236E0"/>
    <w:rsid w:val="00040712"/>
    <w:rsid w:val="00042043"/>
    <w:rsid w:val="0008145F"/>
    <w:rsid w:val="000940CC"/>
    <w:rsid w:val="000977F1"/>
    <w:rsid w:val="000A37AA"/>
    <w:rsid w:val="000E441A"/>
    <w:rsid w:val="000F2208"/>
    <w:rsid w:val="000F66A1"/>
    <w:rsid w:val="001054B6"/>
    <w:rsid w:val="001743CF"/>
    <w:rsid w:val="001776B0"/>
    <w:rsid w:val="001C23FA"/>
    <w:rsid w:val="001C5061"/>
    <w:rsid w:val="001F2E53"/>
    <w:rsid w:val="002240E1"/>
    <w:rsid w:val="002319CA"/>
    <w:rsid w:val="002401B7"/>
    <w:rsid w:val="00285791"/>
    <w:rsid w:val="00286203"/>
    <w:rsid w:val="00287E35"/>
    <w:rsid w:val="002A0F3D"/>
    <w:rsid w:val="002B2463"/>
    <w:rsid w:val="002C4FE5"/>
    <w:rsid w:val="002D5AD2"/>
    <w:rsid w:val="00302647"/>
    <w:rsid w:val="00304A05"/>
    <w:rsid w:val="0031217D"/>
    <w:rsid w:val="00317807"/>
    <w:rsid w:val="0032078E"/>
    <w:rsid w:val="0033688C"/>
    <w:rsid w:val="00345655"/>
    <w:rsid w:val="00353F35"/>
    <w:rsid w:val="003552E8"/>
    <w:rsid w:val="00372B46"/>
    <w:rsid w:val="00375E47"/>
    <w:rsid w:val="00410DEA"/>
    <w:rsid w:val="0047280F"/>
    <w:rsid w:val="00486209"/>
    <w:rsid w:val="00494E5D"/>
    <w:rsid w:val="004A57BF"/>
    <w:rsid w:val="004B04DF"/>
    <w:rsid w:val="004B6321"/>
    <w:rsid w:val="004D03C9"/>
    <w:rsid w:val="004E25A9"/>
    <w:rsid w:val="004F2A06"/>
    <w:rsid w:val="0050329D"/>
    <w:rsid w:val="00506C85"/>
    <w:rsid w:val="00520096"/>
    <w:rsid w:val="005263A3"/>
    <w:rsid w:val="00564114"/>
    <w:rsid w:val="00575C1D"/>
    <w:rsid w:val="005845D6"/>
    <w:rsid w:val="0058577C"/>
    <w:rsid w:val="005A2A41"/>
    <w:rsid w:val="005A75A7"/>
    <w:rsid w:val="005B79EA"/>
    <w:rsid w:val="005C32CA"/>
    <w:rsid w:val="005D05DD"/>
    <w:rsid w:val="005D3748"/>
    <w:rsid w:val="005D5E9F"/>
    <w:rsid w:val="005E5169"/>
    <w:rsid w:val="005F41D4"/>
    <w:rsid w:val="005F4B70"/>
    <w:rsid w:val="005F5E02"/>
    <w:rsid w:val="006626AC"/>
    <w:rsid w:val="00671F77"/>
    <w:rsid w:val="00686F8D"/>
    <w:rsid w:val="00690D19"/>
    <w:rsid w:val="006A5E39"/>
    <w:rsid w:val="006B2B49"/>
    <w:rsid w:val="006F100C"/>
    <w:rsid w:val="0070739F"/>
    <w:rsid w:val="0075630C"/>
    <w:rsid w:val="007727F2"/>
    <w:rsid w:val="007A0993"/>
    <w:rsid w:val="007B0EF2"/>
    <w:rsid w:val="007B7DDB"/>
    <w:rsid w:val="007D1242"/>
    <w:rsid w:val="007E1190"/>
    <w:rsid w:val="007E2DC2"/>
    <w:rsid w:val="007F09C3"/>
    <w:rsid w:val="007F122B"/>
    <w:rsid w:val="007F215C"/>
    <w:rsid w:val="00802709"/>
    <w:rsid w:val="0080432F"/>
    <w:rsid w:val="00834F3E"/>
    <w:rsid w:val="00891050"/>
    <w:rsid w:val="008A0150"/>
    <w:rsid w:val="008B0368"/>
    <w:rsid w:val="008B399C"/>
    <w:rsid w:val="008E7742"/>
    <w:rsid w:val="008F64DE"/>
    <w:rsid w:val="008F7B17"/>
    <w:rsid w:val="00906C67"/>
    <w:rsid w:val="00911428"/>
    <w:rsid w:val="00914339"/>
    <w:rsid w:val="009312F1"/>
    <w:rsid w:val="00937E06"/>
    <w:rsid w:val="00943112"/>
    <w:rsid w:val="00944631"/>
    <w:rsid w:val="00967570"/>
    <w:rsid w:val="00974C63"/>
    <w:rsid w:val="00975494"/>
    <w:rsid w:val="00983870"/>
    <w:rsid w:val="00990B30"/>
    <w:rsid w:val="00990EC3"/>
    <w:rsid w:val="009A4533"/>
    <w:rsid w:val="009D265C"/>
    <w:rsid w:val="009D79CE"/>
    <w:rsid w:val="009E5682"/>
    <w:rsid w:val="009F2010"/>
    <w:rsid w:val="00A053F9"/>
    <w:rsid w:val="00A05AD9"/>
    <w:rsid w:val="00A065F9"/>
    <w:rsid w:val="00A21D07"/>
    <w:rsid w:val="00A4596F"/>
    <w:rsid w:val="00A75B4B"/>
    <w:rsid w:val="00A90ED8"/>
    <w:rsid w:val="00AA05F5"/>
    <w:rsid w:val="00AC3B68"/>
    <w:rsid w:val="00B0546D"/>
    <w:rsid w:val="00B056A5"/>
    <w:rsid w:val="00B162E8"/>
    <w:rsid w:val="00B22600"/>
    <w:rsid w:val="00B41CE7"/>
    <w:rsid w:val="00B42E53"/>
    <w:rsid w:val="00B463B6"/>
    <w:rsid w:val="00B5631B"/>
    <w:rsid w:val="00B65A3E"/>
    <w:rsid w:val="00B86431"/>
    <w:rsid w:val="00B9086E"/>
    <w:rsid w:val="00BC781F"/>
    <w:rsid w:val="00BD22E9"/>
    <w:rsid w:val="00BD4155"/>
    <w:rsid w:val="00BE2DD0"/>
    <w:rsid w:val="00C565C7"/>
    <w:rsid w:val="00C63672"/>
    <w:rsid w:val="00C6394A"/>
    <w:rsid w:val="00C72316"/>
    <w:rsid w:val="00C9347C"/>
    <w:rsid w:val="00CA09F6"/>
    <w:rsid w:val="00CC4CCF"/>
    <w:rsid w:val="00CD16AE"/>
    <w:rsid w:val="00CF6834"/>
    <w:rsid w:val="00CF6E2F"/>
    <w:rsid w:val="00D43DFA"/>
    <w:rsid w:val="00D44BD9"/>
    <w:rsid w:val="00D460DF"/>
    <w:rsid w:val="00D47C18"/>
    <w:rsid w:val="00D50715"/>
    <w:rsid w:val="00D52A9E"/>
    <w:rsid w:val="00D548E4"/>
    <w:rsid w:val="00D57E2E"/>
    <w:rsid w:val="00D62D04"/>
    <w:rsid w:val="00D74898"/>
    <w:rsid w:val="00D87807"/>
    <w:rsid w:val="00D90953"/>
    <w:rsid w:val="00DA225F"/>
    <w:rsid w:val="00DA7F51"/>
    <w:rsid w:val="00DC0D10"/>
    <w:rsid w:val="00DC1397"/>
    <w:rsid w:val="00DC3DFC"/>
    <w:rsid w:val="00DC3E2F"/>
    <w:rsid w:val="00DE77C0"/>
    <w:rsid w:val="00E01D6E"/>
    <w:rsid w:val="00E05BB1"/>
    <w:rsid w:val="00E2487C"/>
    <w:rsid w:val="00E41A41"/>
    <w:rsid w:val="00E50A7E"/>
    <w:rsid w:val="00E6010B"/>
    <w:rsid w:val="00E64436"/>
    <w:rsid w:val="00E7156A"/>
    <w:rsid w:val="00EC161F"/>
    <w:rsid w:val="00EC1E23"/>
    <w:rsid w:val="00ED5DAA"/>
    <w:rsid w:val="00ED78B6"/>
    <w:rsid w:val="00F173A7"/>
    <w:rsid w:val="00F353DF"/>
    <w:rsid w:val="00F40B0B"/>
    <w:rsid w:val="00F41C62"/>
    <w:rsid w:val="00F50AA3"/>
    <w:rsid w:val="00F62D22"/>
    <w:rsid w:val="00F70023"/>
    <w:rsid w:val="00F70716"/>
    <w:rsid w:val="00F70C79"/>
    <w:rsid w:val="00FD6337"/>
    <w:rsid w:val="00FE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B7627-6005-4B3E-B03E-72BAD4F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1D"/>
  </w:style>
  <w:style w:type="paragraph" w:styleId="Heading1">
    <w:name w:val="heading 1"/>
    <w:basedOn w:val="Normal"/>
    <w:next w:val="Normal"/>
    <w:link w:val="Heading1Char"/>
    <w:uiPriority w:val="9"/>
    <w:qFormat/>
    <w:rsid w:val="005F4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C4C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E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B0368"/>
    <w:rPr>
      <w:color w:val="0000FF" w:themeColor="hyperlink"/>
      <w:u w:val="single"/>
    </w:rPr>
  </w:style>
  <w:style w:type="character" w:customStyle="1" w:styleId="Heading2Char">
    <w:name w:val="Heading 2 Char"/>
    <w:basedOn w:val="DefaultParagraphFont"/>
    <w:link w:val="Heading2"/>
    <w:uiPriority w:val="9"/>
    <w:rsid w:val="00CC4CCF"/>
    <w:rPr>
      <w:rFonts w:ascii="Times New Roman" w:eastAsia="Times New Roman" w:hAnsi="Times New Roman" w:cs="Times New Roman"/>
      <w:b/>
      <w:bCs/>
      <w:sz w:val="36"/>
      <w:szCs w:val="36"/>
    </w:rPr>
  </w:style>
  <w:style w:type="paragraph" w:customStyle="1" w:styleId="Normal1">
    <w:name w:val="Normal1"/>
    <w:rsid w:val="001C5061"/>
    <w:pPr>
      <w:spacing w:after="0"/>
    </w:pPr>
    <w:rPr>
      <w:rFonts w:ascii="Arial" w:eastAsia="Arial" w:hAnsi="Arial" w:cs="Arial"/>
    </w:rPr>
  </w:style>
  <w:style w:type="paragraph" w:styleId="FootnoteText">
    <w:name w:val="footnote text"/>
    <w:basedOn w:val="Normal"/>
    <w:link w:val="FootnoteTextChar"/>
    <w:uiPriority w:val="99"/>
    <w:semiHidden/>
    <w:unhideWhenUsed/>
    <w:rsid w:val="00990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B30"/>
    <w:rPr>
      <w:sz w:val="20"/>
      <w:szCs w:val="20"/>
    </w:rPr>
  </w:style>
  <w:style w:type="character" w:styleId="FootnoteReference">
    <w:name w:val="footnote reference"/>
    <w:basedOn w:val="DefaultParagraphFont"/>
    <w:uiPriority w:val="99"/>
    <w:semiHidden/>
    <w:unhideWhenUsed/>
    <w:rsid w:val="00990B30"/>
    <w:rPr>
      <w:vertAlign w:val="superscript"/>
    </w:rPr>
  </w:style>
  <w:style w:type="paragraph" w:styleId="BalloonText">
    <w:name w:val="Balloon Text"/>
    <w:basedOn w:val="Normal"/>
    <w:link w:val="BalloonTextChar"/>
    <w:uiPriority w:val="99"/>
    <w:semiHidden/>
    <w:unhideWhenUsed/>
    <w:rsid w:val="00804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2F"/>
    <w:rPr>
      <w:rFonts w:ascii="Tahoma" w:hAnsi="Tahoma" w:cs="Tahoma"/>
      <w:sz w:val="16"/>
      <w:szCs w:val="16"/>
    </w:rPr>
  </w:style>
  <w:style w:type="paragraph" w:customStyle="1" w:styleId="Body">
    <w:name w:val="Body"/>
    <w:rsid w:val="00304A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eading1Char">
    <w:name w:val="Heading 1 Char"/>
    <w:basedOn w:val="DefaultParagraphFont"/>
    <w:link w:val="Heading1"/>
    <w:uiPriority w:val="9"/>
    <w:rsid w:val="005F41D4"/>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5F41D4"/>
  </w:style>
  <w:style w:type="paragraph" w:styleId="Header">
    <w:name w:val="header"/>
    <w:basedOn w:val="Normal"/>
    <w:link w:val="HeaderChar"/>
    <w:uiPriority w:val="99"/>
    <w:semiHidden/>
    <w:unhideWhenUsed/>
    <w:rsid w:val="00DE7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7C0"/>
  </w:style>
  <w:style w:type="paragraph" w:styleId="Footer">
    <w:name w:val="footer"/>
    <w:basedOn w:val="Normal"/>
    <w:link w:val="FooterChar"/>
    <w:uiPriority w:val="99"/>
    <w:unhideWhenUsed/>
    <w:rsid w:val="00DE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0988">
      <w:bodyDiv w:val="1"/>
      <w:marLeft w:val="0"/>
      <w:marRight w:val="0"/>
      <w:marTop w:val="0"/>
      <w:marBottom w:val="0"/>
      <w:divBdr>
        <w:top w:val="none" w:sz="0" w:space="0" w:color="auto"/>
        <w:left w:val="none" w:sz="0" w:space="0" w:color="auto"/>
        <w:bottom w:val="none" w:sz="0" w:space="0" w:color="auto"/>
        <w:right w:val="none" w:sz="0" w:space="0" w:color="auto"/>
      </w:divBdr>
    </w:div>
    <w:div w:id="810367068">
      <w:bodyDiv w:val="1"/>
      <w:marLeft w:val="0"/>
      <w:marRight w:val="0"/>
      <w:marTop w:val="0"/>
      <w:marBottom w:val="0"/>
      <w:divBdr>
        <w:top w:val="none" w:sz="0" w:space="0" w:color="auto"/>
        <w:left w:val="none" w:sz="0" w:space="0" w:color="auto"/>
        <w:bottom w:val="none" w:sz="0" w:space="0" w:color="auto"/>
        <w:right w:val="none" w:sz="0" w:space="0" w:color="auto"/>
      </w:divBdr>
    </w:div>
    <w:div w:id="17185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1800921001245"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pc.tn.gov.in/spc_reports/Regional_Imbalanc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39/ssr.4671952"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cambridge.org/core/search?filters%5BauthorTerms%5D=Ivar%20L%C3%B8demel&amp;eventCode=SE-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apers.ssrn.com/sol3/papers.cfm?abstract_id=4671952"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Institute of Public Policy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5902A85-99C5-4A5A-92C5-EF3101153888}">
  <ds:schemaRefs>
    <ds:schemaRef ds:uri="http://schemas.openxmlformats.org/officeDocument/2006/bibliography"/>
  </ds:schemaRefs>
</ds:datastoreItem>
</file>

<file path=customXml/itemProps2.xml><?xml version="1.0" encoding="utf-8"?>
<ds:datastoreItem xmlns:ds="http://schemas.openxmlformats.org/officeDocument/2006/customXml" ds:itemID="{619C8105-66E1-469D-951B-5BF40AF4E217}"/>
</file>

<file path=customXml/itemProps3.xml><?xml version="1.0" encoding="utf-8"?>
<ds:datastoreItem xmlns:ds="http://schemas.openxmlformats.org/officeDocument/2006/customXml" ds:itemID="{4CC05DE3-9493-4AB9-9A3A-617C9D34F070}"/>
</file>

<file path=customXml/itemProps4.xml><?xml version="1.0" encoding="utf-8"?>
<ds:datastoreItem xmlns:ds="http://schemas.openxmlformats.org/officeDocument/2006/customXml" ds:itemID="{B2FBFD87-3FF7-4EB6-BFD5-5A403AF11852}"/>
</file>

<file path=docProps/app.xml><?xml version="1.0" encoding="utf-8"?>
<Properties xmlns="http://schemas.openxmlformats.org/officeDocument/2006/extended-properties" xmlns:vt="http://schemas.openxmlformats.org/officeDocument/2006/docPropsVTypes">
  <Template>Normal.dotm</Template>
  <TotalTime>0</TotalTime>
  <Pages>3</Pages>
  <Words>2326</Words>
  <Characters>13262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Patricia Varela Benzo</cp:lastModifiedBy>
  <cp:revision>2</cp:revision>
  <dcterms:created xsi:type="dcterms:W3CDTF">2024-01-24T14:28:00Z</dcterms:created>
  <dcterms:modified xsi:type="dcterms:W3CDTF">2024-01-24T14:28:00Z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