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469" w:rsidRDefault="00475469" w:rsidP="00475469">
      <w:pPr>
        <w:spacing w:after="0" w:line="240" w:lineRule="auto"/>
        <w:jc w:val="both"/>
        <w:rPr>
          <w:rFonts w:asciiTheme="majorBidi" w:hAnsiTheme="majorBidi" w:cstheme="majorBidi"/>
          <w:sz w:val="24"/>
          <w:szCs w:val="24"/>
          <w:highlight w:val="lightGray"/>
          <w:shd w:val="clear" w:color="auto" w:fill="FFFFFF" w:themeFill="background1"/>
        </w:rPr>
      </w:pPr>
      <w:r>
        <w:rPr>
          <w:rFonts w:asciiTheme="majorBidi" w:hAnsiTheme="majorBidi" w:cstheme="majorBidi"/>
          <w:b/>
          <w:bCs/>
          <w:sz w:val="24"/>
          <w:szCs w:val="24"/>
          <w:highlight w:val="lightGray"/>
        </w:rPr>
        <w:t>Persons of African Descent: Best practices in the promotion of equality and non-discrimination:</w:t>
      </w:r>
      <w:r>
        <w:rPr>
          <w:rFonts w:asciiTheme="majorBidi" w:hAnsiTheme="majorBidi" w:cstheme="majorBidi"/>
          <w:sz w:val="24"/>
          <w:szCs w:val="24"/>
          <w:highlight w:val="lightGray"/>
          <w:shd w:val="clear" w:color="auto" w:fill="FFFFFF" w:themeFill="background1"/>
        </w:rPr>
        <w:t xml:space="preserve"> </w:t>
      </w:r>
    </w:p>
    <w:p w:rsidR="00475469" w:rsidRDefault="00475469" w:rsidP="00475469">
      <w:pPr>
        <w:spacing w:after="0" w:line="240" w:lineRule="auto"/>
        <w:jc w:val="both"/>
        <w:rPr>
          <w:rFonts w:asciiTheme="majorBidi" w:hAnsiTheme="majorBidi" w:cstheme="majorBidi"/>
          <w:b/>
          <w:bCs/>
          <w:sz w:val="24"/>
          <w:szCs w:val="24"/>
          <w:highlight w:val="lightGray"/>
        </w:rPr>
      </w:pPr>
      <w:r>
        <w:rPr>
          <w:rFonts w:asciiTheme="majorBidi" w:hAnsiTheme="majorBidi" w:cstheme="majorBidi"/>
          <w:sz w:val="24"/>
          <w:szCs w:val="24"/>
          <w:highlight w:val="lightGray"/>
          <w:shd w:val="clear" w:color="auto" w:fill="FFFFFF" w:themeFill="background1"/>
        </w:rPr>
        <w:t xml:space="preserve">Recognition: the pillar of </w:t>
      </w:r>
      <w:r>
        <w:rPr>
          <w:rFonts w:asciiTheme="majorBidi" w:hAnsiTheme="majorBidi" w:cstheme="majorBidi"/>
          <w:b/>
          <w:sz w:val="24"/>
          <w:szCs w:val="24"/>
          <w:highlight w:val="lightGray"/>
          <w:shd w:val="clear" w:color="auto" w:fill="FFFFFF" w:themeFill="background1"/>
        </w:rPr>
        <w:t xml:space="preserve">equality and non-discrimination and education on equality and awareness </w:t>
      </w:r>
      <w:proofErr w:type="gramStart"/>
      <w:r>
        <w:rPr>
          <w:rFonts w:asciiTheme="majorBidi" w:hAnsiTheme="majorBidi" w:cstheme="majorBidi"/>
          <w:b/>
          <w:sz w:val="24"/>
          <w:szCs w:val="24"/>
          <w:highlight w:val="lightGray"/>
          <w:shd w:val="clear" w:color="auto" w:fill="FFFFFF" w:themeFill="background1"/>
        </w:rPr>
        <w:t>raising</w:t>
      </w:r>
      <w:proofErr w:type="gramEnd"/>
      <w:r>
        <w:rPr>
          <w:rFonts w:asciiTheme="majorBidi" w:hAnsiTheme="majorBidi" w:cstheme="majorBidi"/>
          <w:sz w:val="24"/>
          <w:szCs w:val="24"/>
          <w:highlight w:val="lightGray"/>
          <w:shd w:val="clear" w:color="auto" w:fill="FFFFFF" w:themeFill="background1"/>
        </w:rPr>
        <w:t>.</w:t>
      </w:r>
    </w:p>
    <w:p w:rsidR="00475469" w:rsidRDefault="00475469" w:rsidP="00475469">
      <w:pPr>
        <w:spacing w:after="0" w:line="240" w:lineRule="auto"/>
        <w:jc w:val="both"/>
        <w:rPr>
          <w:rFonts w:asciiTheme="majorBidi" w:hAnsiTheme="majorBidi" w:cstheme="majorBidi"/>
          <w:sz w:val="24"/>
          <w:szCs w:val="24"/>
          <w:highlight w:val="lightGray"/>
        </w:rPr>
      </w:pPr>
    </w:p>
    <w:p w:rsidR="00475469" w:rsidRDefault="00475469" w:rsidP="00475469">
      <w:pPr>
        <w:spacing w:after="0"/>
        <w:ind w:left="360"/>
        <w:jc w:val="both"/>
      </w:pPr>
    </w:p>
    <w:p w:rsidR="00475469" w:rsidRDefault="00475469" w:rsidP="00475469">
      <w:pPr>
        <w:rPr>
          <w:rFonts w:cstheme="minorHAnsi"/>
          <w:b/>
        </w:rPr>
      </w:pPr>
      <w:r>
        <w:rPr>
          <w:rFonts w:cstheme="minorHAnsi"/>
          <w:b/>
        </w:rPr>
        <w:t>Concepts of equality</w:t>
      </w:r>
    </w:p>
    <w:p w:rsidR="00475469" w:rsidRDefault="00475469" w:rsidP="00475469">
      <w:pPr>
        <w:jc w:val="both"/>
        <w:rPr>
          <w:rFonts w:cstheme="minorHAnsi"/>
        </w:rPr>
      </w:pPr>
      <w:r>
        <w:rPr>
          <w:rFonts w:cstheme="minorHAnsi"/>
        </w:rPr>
        <w:t>CEDAW – EQUALITY and Non-Discrimination</w:t>
      </w:r>
    </w:p>
    <w:p w:rsidR="00475469" w:rsidRDefault="00475469" w:rsidP="00475469">
      <w:pPr>
        <w:jc w:val="both"/>
      </w:pPr>
      <w:r>
        <w:rPr>
          <w:rFonts w:cstheme="minorHAnsi"/>
        </w:rPr>
        <w:t>Within CEDAW, the same concepts of equality (</w:t>
      </w:r>
      <w:r>
        <w:rPr>
          <w:rFonts w:cstheme="minorHAnsi"/>
          <w:i/>
        </w:rPr>
        <w:t xml:space="preserve">de facto/de jure, </w:t>
      </w:r>
      <w:r>
        <w:rPr>
          <w:rFonts w:cstheme="minorHAnsi"/>
        </w:rPr>
        <w:t>direct/indirect</w:t>
      </w:r>
      <w:r>
        <w:rPr>
          <w:rFonts w:cstheme="minorHAnsi"/>
          <w:i/>
        </w:rPr>
        <w:t xml:space="preserve">, </w:t>
      </w:r>
      <w:r>
        <w:rPr>
          <w:rFonts w:cstheme="minorHAnsi"/>
        </w:rPr>
        <w:t xml:space="preserve">substantive equality, equality of outcomes, transformative equality) that define the equality discourse between women and men are applied to the discourse concerning women of African descent. Concepts of </w:t>
      </w:r>
      <w:r>
        <w:t>multiple and intersecting discrimination are also recognized in the dialogues concerning women of African descent. Thus for Nicaragua, the Committee expressed concern at the</w:t>
      </w:r>
    </w:p>
    <w:p w:rsidR="00475469" w:rsidRDefault="00475469" w:rsidP="00475469">
      <w:pPr>
        <w:ind w:left="720"/>
        <w:jc w:val="both"/>
      </w:pPr>
      <w:proofErr w:type="gramStart"/>
      <w:r>
        <w:t>situation</w:t>
      </w:r>
      <w:proofErr w:type="gramEnd"/>
      <w:r>
        <w:t xml:space="preserve"> of indigenous and afro-descendent women and multiple forms of discrimination they face, which limit their </w:t>
      </w:r>
      <w:r>
        <w:rPr>
          <w:i/>
        </w:rPr>
        <w:t>de facto</w:t>
      </w:r>
      <w:r>
        <w:t xml:space="preserve"> enjoyment of their human rights and full participation in all spheres of life. (CEDAW/C/NIC/CO/6)    </w:t>
      </w:r>
    </w:p>
    <w:p w:rsidR="00475469" w:rsidRDefault="00475469" w:rsidP="00475469">
      <w:pPr>
        <w:rPr>
          <w:rFonts w:cstheme="minorHAnsi"/>
        </w:rPr>
      </w:pPr>
      <w:r>
        <w:rPr>
          <w:rFonts w:cstheme="minorHAnsi"/>
          <w:b/>
        </w:rPr>
        <w:t>Terminology</w:t>
      </w:r>
      <w:r>
        <w:rPr>
          <w:rFonts w:cstheme="minorHAnsi"/>
        </w:rPr>
        <w:t xml:space="preserve"> </w:t>
      </w:r>
    </w:p>
    <w:p w:rsidR="00475469" w:rsidRDefault="00475469" w:rsidP="00475469">
      <w:pPr>
        <w:jc w:val="both"/>
        <w:rPr>
          <w:rFonts w:cstheme="minorHAnsi"/>
        </w:rPr>
      </w:pPr>
      <w:r>
        <w:rPr>
          <w:rFonts w:cstheme="minorHAnsi"/>
        </w:rPr>
        <w:t>A complexity in the jurisprudence relates to the terminology. Persons (women) of African descent (P/WADs) are categorized under various terminologies, sometimes seemingly conflated with “indigenous women”. In CEDAW’s COBs, persons of African (Afro-) descent are hardly ever referred to in a paragraph without reference to “Indigenous” women, and identical recommendations being made for them both. In some other COBs, additional categories of “minority” or “migrant” women are included. While P/WADs may intersect within these groupings, they may also be outside of them. In CEDAW’S COBs, “Persons of African Descent” has been used for Peru, “women of African Descent” used for Mexico, and “Black, Asian and Minority Ethnic” for Great Britain and N. Ireland. The only reference to “Afro-Arabs” was for Iraq.</w:t>
      </w:r>
    </w:p>
    <w:p w:rsidR="00475469" w:rsidRDefault="00475469" w:rsidP="00475469">
      <w:pPr>
        <w:jc w:val="both"/>
        <w:rPr>
          <w:rFonts w:cstheme="minorHAnsi"/>
        </w:rPr>
      </w:pPr>
      <w:r>
        <w:rPr>
          <w:rFonts w:cstheme="minorHAnsi"/>
        </w:rPr>
        <w:t xml:space="preserve">Thus to Bolivia, </w:t>
      </w:r>
      <w:hyperlink r:id="rId4" w:tgtFrame="_blank" w:history="1">
        <w:r>
          <w:rPr>
            <w:rStyle w:val="Hyperlink"/>
            <w:rFonts w:cstheme="minorHAnsi"/>
            <w:bCs/>
            <w:color w:val="auto"/>
          </w:rPr>
          <w:t xml:space="preserve">CEDAW/C/BOL/CO/7 (CEDAW </w:t>
        </w:r>
        <w:proofErr w:type="gramStart"/>
        <w:r>
          <w:rPr>
            <w:rStyle w:val="Hyperlink"/>
            <w:rFonts w:cstheme="minorHAnsi"/>
            <w:bCs/>
            <w:color w:val="auto"/>
          </w:rPr>
          <w:t>2022 )</w:t>
        </w:r>
        <w:proofErr w:type="gramEnd"/>
      </w:hyperlink>
      <w:r>
        <w:rPr>
          <w:rFonts w:eastAsia="Times New Roman" w:cstheme="minorHAnsi"/>
          <w:bCs/>
        </w:rPr>
        <w:t xml:space="preserve">  </w:t>
      </w:r>
      <w:proofErr w:type="spellStart"/>
      <w:r>
        <w:rPr>
          <w:rFonts w:eastAsia="Times New Roman" w:cstheme="minorHAnsi"/>
          <w:bCs/>
        </w:rPr>
        <w:t>para</w:t>
      </w:r>
      <w:proofErr w:type="spellEnd"/>
      <w:r>
        <w:rPr>
          <w:rFonts w:eastAsia="Times New Roman" w:cstheme="minorHAnsi"/>
          <w:bCs/>
        </w:rPr>
        <w:t xml:space="preserve"> 10(c), </w:t>
      </w:r>
      <w:r>
        <w:rPr>
          <w:rFonts w:cstheme="minorHAnsi"/>
        </w:rPr>
        <w:t xml:space="preserve">it recommended </w:t>
      </w:r>
    </w:p>
    <w:p w:rsidR="00475469" w:rsidRDefault="00475469" w:rsidP="00475469">
      <w:pPr>
        <w:jc w:val="both"/>
        <w:rPr>
          <w:rFonts w:eastAsia="Times New Roman" w:cstheme="minorHAnsi"/>
          <w:bCs/>
        </w:rPr>
      </w:pPr>
      <w:r>
        <w:rPr>
          <w:rFonts w:cstheme="minorHAnsi"/>
        </w:rPr>
        <w:t>“r</w:t>
      </w:r>
      <w:r>
        <w:rPr>
          <w:rFonts w:eastAsia="Times New Roman" w:cstheme="minorHAnsi"/>
          <w:bCs/>
        </w:rPr>
        <w:t xml:space="preserve">einforced efforts to raise awareness of women’s rights and the means to enforce them, targeting specific groups such as </w:t>
      </w:r>
      <w:r>
        <w:rPr>
          <w:rFonts w:eastAsia="Times New Roman" w:cstheme="minorHAnsi"/>
          <w:bCs/>
          <w:highlight w:val="yellow"/>
        </w:rPr>
        <w:t>indigenous</w:t>
      </w:r>
      <w:r>
        <w:rPr>
          <w:rFonts w:eastAsia="Times New Roman" w:cstheme="minorHAnsi"/>
          <w:bCs/>
        </w:rPr>
        <w:t xml:space="preserve"> women, </w:t>
      </w:r>
      <w:r>
        <w:rPr>
          <w:rFonts w:eastAsia="Times New Roman" w:cstheme="minorHAnsi"/>
          <w:bCs/>
          <w:highlight w:val="cyan"/>
        </w:rPr>
        <w:t>Afro</w:t>
      </w:r>
      <w:r>
        <w:rPr>
          <w:rFonts w:eastAsia="Times New Roman" w:cstheme="minorHAnsi"/>
          <w:bCs/>
        </w:rPr>
        <w:t xml:space="preserve"> </w:t>
      </w:r>
      <w:r>
        <w:rPr>
          <w:rFonts w:eastAsia="Times New Roman" w:cstheme="minorHAnsi"/>
          <w:bCs/>
        </w:rPr>
        <w:noBreakHyphen/>
        <w:t xml:space="preserve"> Bolivian women, women living in rural and remote areas, migrant, asylum-seeking and refugee women and women with disabilities, including by facilitating access to information on the Convention in </w:t>
      </w:r>
      <w:r>
        <w:rPr>
          <w:rFonts w:eastAsia="Times New Roman" w:cstheme="minorHAnsi"/>
          <w:bCs/>
          <w:highlight w:val="yellow"/>
        </w:rPr>
        <w:t>indigenous</w:t>
      </w:r>
      <w:r>
        <w:rPr>
          <w:rFonts w:eastAsia="Times New Roman" w:cstheme="minorHAnsi"/>
          <w:bCs/>
        </w:rPr>
        <w:t xml:space="preserve"> languages and accessible formats, in cooperation with civil society and the media.” </w:t>
      </w:r>
    </w:p>
    <w:p w:rsidR="00475469" w:rsidRDefault="00475469" w:rsidP="00475469">
      <w:pPr>
        <w:jc w:val="both"/>
        <w:rPr>
          <w:rFonts w:eastAsia="Times New Roman" w:cstheme="minorHAnsi"/>
          <w:bCs/>
        </w:rPr>
      </w:pPr>
      <w:r>
        <w:rPr>
          <w:rFonts w:cstheme="minorHAnsi"/>
          <w:bCs/>
        </w:rPr>
        <w:t xml:space="preserve">In another set of COBs, </w:t>
      </w:r>
      <w:r>
        <w:rPr>
          <w:rFonts w:cstheme="minorHAnsi"/>
        </w:rPr>
        <w:t xml:space="preserve">(P/WADs) were </w:t>
      </w:r>
      <w:r>
        <w:rPr>
          <w:rFonts w:cstheme="minorHAnsi"/>
          <w:bCs/>
        </w:rPr>
        <w:t xml:space="preserve">classed with women with disabilities; women living with HIV/AIDS; migrant, asylum-seeking and refugee women; and lesbian, bisexual and transgender women and intersex persons </w:t>
      </w:r>
      <w:hyperlink r:id="rId5" w:tgtFrame="_blank" w:history="1">
        <w:r>
          <w:rPr>
            <w:rStyle w:val="Hyperlink"/>
            <w:rFonts w:cstheme="minorHAnsi"/>
            <w:bCs/>
            <w:color w:val="auto"/>
          </w:rPr>
          <w:t>CEDAW/C/PAN/CO/8 (CEDAW 2022 )</w:t>
        </w:r>
      </w:hyperlink>
      <w:r>
        <w:rPr>
          <w:rFonts w:cstheme="minorHAnsi"/>
          <w:bCs/>
        </w:rPr>
        <w:t xml:space="preserve"> 11(d)</w:t>
      </w:r>
    </w:p>
    <w:p w:rsidR="00475469" w:rsidRDefault="00475469" w:rsidP="00475469">
      <w:pPr>
        <w:spacing w:after="0"/>
        <w:jc w:val="center"/>
        <w:rPr>
          <w:rFonts w:cstheme="minorHAnsi"/>
          <w:highlight w:val="lightGray"/>
        </w:rPr>
      </w:pPr>
    </w:p>
    <w:p w:rsidR="00475469" w:rsidRDefault="00475469" w:rsidP="00475469">
      <w:pPr>
        <w:spacing w:after="0"/>
        <w:jc w:val="center"/>
        <w:rPr>
          <w:rFonts w:cstheme="minorHAnsi"/>
          <w:highlight w:val="lightGray"/>
        </w:rPr>
      </w:pPr>
      <w:r>
        <w:rPr>
          <w:rFonts w:cstheme="minorHAnsi"/>
          <w:highlight w:val="lightGray"/>
          <w:shd w:val="clear" w:color="auto" w:fill="FFFFFF" w:themeFill="background1"/>
        </w:rPr>
        <w:lastRenderedPageBreak/>
        <w:t>RIGHT TO EQUALITY AND NON-DISCRIMINATION AND EDUCATION ON EQUALITY AND AWARENESS</w:t>
      </w:r>
      <w:r>
        <w:rPr>
          <w:rFonts w:cstheme="minorHAnsi"/>
          <w:highlight w:val="lightGray"/>
        </w:rPr>
        <w:t xml:space="preserve"> </w:t>
      </w:r>
      <w:proofErr w:type="gramStart"/>
      <w:r>
        <w:rPr>
          <w:rFonts w:cstheme="minorHAnsi"/>
          <w:highlight w:val="lightGray"/>
        </w:rPr>
        <w:t>RAISING</w:t>
      </w:r>
      <w:proofErr w:type="gramEnd"/>
      <w:r>
        <w:rPr>
          <w:rFonts w:cstheme="minorHAnsi"/>
          <w:highlight w:val="lightGray"/>
        </w:rPr>
        <w:t>.</w:t>
      </w:r>
    </w:p>
    <w:p w:rsidR="00475469" w:rsidRDefault="00475469" w:rsidP="00475469">
      <w:pPr>
        <w:shd w:val="clear" w:color="auto" w:fill="FFFFFF" w:themeFill="background1"/>
        <w:rPr>
          <w:rFonts w:eastAsia="Times New Roman" w:cstheme="minorHAnsi"/>
          <w:bCs/>
        </w:rPr>
      </w:pPr>
    </w:p>
    <w:p w:rsidR="00475469" w:rsidRDefault="00475469" w:rsidP="00475469">
      <w:pPr>
        <w:shd w:val="clear" w:color="auto" w:fill="FFFFFF" w:themeFill="background1"/>
        <w:jc w:val="both"/>
        <w:rPr>
          <w:rFonts w:cstheme="minorHAnsi"/>
          <w:bCs/>
        </w:rPr>
      </w:pPr>
      <w:r>
        <w:rPr>
          <w:rFonts w:eastAsia="Times New Roman" w:cstheme="minorHAnsi"/>
          <w:bCs/>
        </w:rPr>
        <w:t xml:space="preserve">CEDAW has examined the issue of discrimination against Afro-descendants against the Constitutional and legal framework of the state party in line with the core obligations of states under the Convention’s Article 2 and General Recommendation (GR) 28. In noting the </w:t>
      </w:r>
      <w:r>
        <w:rPr>
          <w:rFonts w:cstheme="minorHAnsi"/>
          <w:bCs/>
        </w:rPr>
        <w:t xml:space="preserve">State party’s efforts to develop its legislative and policy framework in respect of gender equality and non-discrimination, it expressed concern about intersecting and de facto discrimination faced inter alia by </w:t>
      </w:r>
      <w:r>
        <w:rPr>
          <w:rFonts w:cstheme="minorHAnsi"/>
          <w:bCs/>
          <w:highlight w:val="yellow"/>
        </w:rPr>
        <w:t>indigenous</w:t>
      </w:r>
      <w:r>
        <w:rPr>
          <w:rFonts w:cstheme="minorHAnsi"/>
          <w:bCs/>
        </w:rPr>
        <w:t xml:space="preserve"> and </w:t>
      </w:r>
      <w:proofErr w:type="spellStart"/>
      <w:r>
        <w:rPr>
          <w:rFonts w:cstheme="minorHAnsi"/>
          <w:bCs/>
          <w:highlight w:val="cyan"/>
        </w:rPr>
        <w:t>Afrodescendant</w:t>
      </w:r>
      <w:proofErr w:type="spellEnd"/>
      <w:r>
        <w:rPr>
          <w:rFonts w:cstheme="minorHAnsi"/>
          <w:bCs/>
        </w:rPr>
        <w:t xml:space="preserve"> women </w:t>
      </w:r>
      <w:hyperlink r:id="rId6" w:tgtFrame="_blank" w:history="1">
        <w:r>
          <w:rPr>
            <w:rStyle w:val="Hyperlink"/>
            <w:rFonts w:cstheme="minorHAnsi"/>
            <w:bCs/>
            <w:color w:val="auto"/>
          </w:rPr>
          <w:t xml:space="preserve">CEDAW/C/PAN/CO/8 (CEDAW </w:t>
        </w:r>
        <w:proofErr w:type="gramStart"/>
        <w:r>
          <w:rPr>
            <w:rStyle w:val="Hyperlink"/>
            <w:rFonts w:cstheme="minorHAnsi"/>
            <w:bCs/>
            <w:color w:val="auto"/>
          </w:rPr>
          <w:t>2022 )</w:t>
        </w:r>
        <w:proofErr w:type="gramEnd"/>
      </w:hyperlink>
      <w:r>
        <w:rPr>
          <w:rFonts w:cstheme="minorHAnsi"/>
          <w:bCs/>
        </w:rPr>
        <w:t xml:space="preserve"> 11(d).</w:t>
      </w:r>
    </w:p>
    <w:p w:rsidR="00475469" w:rsidRDefault="00475469" w:rsidP="00475469">
      <w:pPr>
        <w:shd w:val="clear" w:color="auto" w:fill="FFFFFF" w:themeFill="background1"/>
        <w:jc w:val="both"/>
        <w:rPr>
          <w:rFonts w:cstheme="minorHAnsi"/>
          <w:bCs/>
        </w:rPr>
      </w:pPr>
      <w:r>
        <w:rPr>
          <w:rFonts w:cstheme="minorHAnsi"/>
          <w:bCs/>
        </w:rPr>
        <w:t xml:space="preserve">The Committee has specifically recognized the historical and intersecting forms of discrimination affecting </w:t>
      </w:r>
      <w:r>
        <w:rPr>
          <w:rFonts w:cstheme="minorHAnsi"/>
          <w:bCs/>
          <w:highlight w:val="yellow"/>
        </w:rPr>
        <w:t>indigenous</w:t>
      </w:r>
      <w:r>
        <w:rPr>
          <w:rFonts w:cstheme="minorHAnsi"/>
          <w:bCs/>
        </w:rPr>
        <w:t xml:space="preserve"> and </w:t>
      </w:r>
      <w:r>
        <w:rPr>
          <w:rFonts w:cstheme="minorHAnsi"/>
          <w:bCs/>
          <w:highlight w:val="cyan"/>
        </w:rPr>
        <w:t>Afro-</w:t>
      </w:r>
      <w:r>
        <w:rPr>
          <w:rFonts w:cstheme="minorHAnsi"/>
          <w:bCs/>
        </w:rPr>
        <w:t xml:space="preserve">Peruvian women, and regretted the lack of visibility and priority accorded them in all initiatives of the State party to achieve their rights, and gender equality. It noted that this perpetuated their social and economic exclusion, and denied them rights guaranteed under the Convention. </w:t>
      </w:r>
      <w:hyperlink r:id="rId7" w:tgtFrame="_blank" w:history="1">
        <w:r>
          <w:rPr>
            <w:rStyle w:val="Hyperlink"/>
            <w:rFonts w:cstheme="minorHAnsi"/>
            <w:bCs/>
            <w:color w:val="auto"/>
          </w:rPr>
          <w:t xml:space="preserve">CEDAW/C/PER/CO/9 (CEDAW </w:t>
        </w:r>
        <w:proofErr w:type="gramStart"/>
        <w:r>
          <w:rPr>
            <w:rStyle w:val="Hyperlink"/>
            <w:rFonts w:cstheme="minorHAnsi"/>
            <w:bCs/>
            <w:color w:val="auto"/>
          </w:rPr>
          <w:t>2022 )</w:t>
        </w:r>
        <w:proofErr w:type="gramEnd"/>
      </w:hyperlink>
      <w:r>
        <w:rPr>
          <w:rFonts w:cstheme="minorHAnsi"/>
          <w:bCs/>
        </w:rPr>
        <w:t xml:space="preserve"> </w:t>
      </w:r>
      <w:proofErr w:type="spellStart"/>
      <w:r>
        <w:rPr>
          <w:rFonts w:cstheme="minorHAnsi"/>
          <w:bCs/>
        </w:rPr>
        <w:t>para</w:t>
      </w:r>
      <w:proofErr w:type="spellEnd"/>
      <w:r>
        <w:rPr>
          <w:rFonts w:cstheme="minorHAnsi"/>
          <w:bCs/>
        </w:rPr>
        <w:t xml:space="preserve"> 9. It therefore recommended the </w:t>
      </w:r>
      <w:r>
        <w:rPr>
          <w:rFonts w:eastAsia="Times New Roman" w:cstheme="minorHAnsi"/>
          <w:bCs/>
        </w:rPr>
        <w:t xml:space="preserve">active promotion of </w:t>
      </w:r>
      <w:r>
        <w:rPr>
          <w:rFonts w:eastAsia="Times New Roman" w:cstheme="minorHAnsi"/>
          <w:b/>
          <w:bCs/>
        </w:rPr>
        <w:t>temporary special measures</w:t>
      </w:r>
      <w:r>
        <w:rPr>
          <w:rFonts w:eastAsia="Times New Roman" w:cstheme="minorHAnsi"/>
          <w:bCs/>
        </w:rPr>
        <w:t xml:space="preserve">, including through quotas, targets, and indicators in all areas of the Convention, to provide urgent redress for women and girls subjected to historical and intersecting forms of discrimination, “such as </w:t>
      </w:r>
      <w:r>
        <w:rPr>
          <w:rFonts w:eastAsia="Times New Roman" w:cstheme="minorHAnsi"/>
          <w:bCs/>
          <w:highlight w:val="yellow"/>
        </w:rPr>
        <w:t>indigenous</w:t>
      </w:r>
      <w:r>
        <w:rPr>
          <w:rFonts w:eastAsia="Times New Roman" w:cstheme="minorHAnsi"/>
          <w:bCs/>
        </w:rPr>
        <w:t xml:space="preserve"> and </w:t>
      </w:r>
      <w:r>
        <w:rPr>
          <w:rFonts w:eastAsia="Times New Roman" w:cstheme="minorHAnsi"/>
          <w:bCs/>
          <w:highlight w:val="cyan"/>
        </w:rPr>
        <w:t>Afro-</w:t>
      </w:r>
      <w:r>
        <w:rPr>
          <w:rFonts w:eastAsia="Times New Roman" w:cstheme="minorHAnsi"/>
          <w:bCs/>
        </w:rPr>
        <w:t>Peruvian women”</w:t>
      </w:r>
    </w:p>
    <w:p w:rsidR="00475469" w:rsidRDefault="00475469" w:rsidP="00475469">
      <w:pPr>
        <w:shd w:val="clear" w:color="auto" w:fill="FFFFFF" w:themeFill="background1"/>
        <w:spacing w:after="0"/>
        <w:jc w:val="both"/>
        <w:rPr>
          <w:rFonts w:eastAsia="Times New Roman" w:cstheme="minorHAnsi"/>
          <w:bCs/>
        </w:rPr>
      </w:pPr>
      <w:r>
        <w:rPr>
          <w:rFonts w:eastAsia="Times New Roman" w:cstheme="minorHAnsi"/>
          <w:bCs/>
        </w:rPr>
        <w:t xml:space="preserve">The Committee has further recommended budgetary resources to develop the temporary special measures aimed at accelerating substantive equality and eliminating intersectional discrimination against </w:t>
      </w:r>
      <w:r>
        <w:rPr>
          <w:rFonts w:eastAsia="Times New Roman" w:cstheme="minorHAnsi"/>
          <w:bCs/>
          <w:highlight w:val="yellow"/>
        </w:rPr>
        <w:t>indigenous</w:t>
      </w:r>
      <w:r>
        <w:rPr>
          <w:rFonts w:eastAsia="Times New Roman" w:cstheme="minorHAnsi"/>
          <w:bCs/>
        </w:rPr>
        <w:t xml:space="preserve"> and </w:t>
      </w:r>
      <w:proofErr w:type="spellStart"/>
      <w:r>
        <w:rPr>
          <w:rFonts w:eastAsia="Times New Roman" w:cstheme="minorHAnsi"/>
          <w:bCs/>
          <w:highlight w:val="cyan"/>
        </w:rPr>
        <w:t>Afrodescendant</w:t>
      </w:r>
      <w:proofErr w:type="spellEnd"/>
      <w:r>
        <w:rPr>
          <w:rFonts w:eastAsia="Times New Roman" w:cstheme="minorHAnsi"/>
          <w:bCs/>
        </w:rPr>
        <w:t xml:space="preserve"> women, </w:t>
      </w:r>
      <w:hyperlink r:id="rId8" w:tgtFrame="_blank" w:history="1">
        <w:r>
          <w:rPr>
            <w:rStyle w:val="Hyperlink"/>
            <w:rFonts w:cstheme="minorHAnsi"/>
            <w:bCs/>
            <w:color w:val="auto"/>
          </w:rPr>
          <w:t xml:space="preserve">CEDAW/C/PAN/CO/8 (CEDAW </w:t>
        </w:r>
        <w:proofErr w:type="gramStart"/>
        <w:r>
          <w:rPr>
            <w:rStyle w:val="Hyperlink"/>
            <w:rFonts w:cstheme="minorHAnsi"/>
            <w:bCs/>
            <w:color w:val="auto"/>
          </w:rPr>
          <w:t>2022 )</w:t>
        </w:r>
        <w:proofErr w:type="gramEnd"/>
      </w:hyperlink>
      <w:r>
        <w:rPr>
          <w:rFonts w:eastAsia="Times New Roman" w:cstheme="minorHAnsi"/>
          <w:bCs/>
        </w:rPr>
        <w:t>18. (d)</w:t>
      </w:r>
    </w:p>
    <w:p w:rsidR="00475469" w:rsidRDefault="00475469" w:rsidP="00475469">
      <w:pPr>
        <w:shd w:val="clear" w:color="auto" w:fill="FFFFFF" w:themeFill="background1"/>
        <w:spacing w:after="0"/>
        <w:jc w:val="both"/>
        <w:rPr>
          <w:rFonts w:eastAsia="Times New Roman" w:cstheme="minorHAnsi"/>
          <w:bCs/>
        </w:rPr>
      </w:pPr>
    </w:p>
    <w:p w:rsidR="00475469" w:rsidRDefault="00475469" w:rsidP="00475469">
      <w:pPr>
        <w:shd w:val="clear" w:color="auto" w:fill="FFFFFF" w:themeFill="background1"/>
        <w:spacing w:after="0"/>
        <w:jc w:val="both"/>
        <w:rPr>
          <w:rFonts w:eastAsia="Times New Roman" w:cstheme="minorHAnsi"/>
          <w:bCs/>
        </w:rPr>
      </w:pPr>
      <w:r>
        <w:rPr>
          <w:rFonts w:cstheme="minorHAnsi"/>
          <w:bCs/>
        </w:rPr>
        <w:t xml:space="preserve">Article 5 of the Convention, </w:t>
      </w:r>
      <w:r>
        <w:rPr>
          <w:rFonts w:eastAsia="Times New Roman" w:cstheme="minorHAnsi"/>
          <w:bCs/>
        </w:rPr>
        <w:t xml:space="preserve">GR 35 (2017) and GR 19 </w:t>
      </w:r>
      <w:r>
        <w:rPr>
          <w:rFonts w:cstheme="minorHAnsi"/>
          <w:bCs/>
        </w:rPr>
        <w:t xml:space="preserve">deal with gender-based stereotypes. </w:t>
      </w:r>
      <w:r>
        <w:rPr>
          <w:rFonts w:eastAsia="Times New Roman" w:cstheme="minorHAnsi"/>
          <w:bCs/>
        </w:rPr>
        <w:t>The Committee</w:t>
      </w:r>
      <w:r>
        <w:rPr>
          <w:rFonts w:cstheme="minorHAnsi"/>
          <w:bCs/>
        </w:rPr>
        <w:t xml:space="preserve"> regretted the </w:t>
      </w:r>
      <w:r>
        <w:rPr>
          <w:rFonts w:eastAsia="Times New Roman" w:cstheme="minorHAnsi"/>
          <w:bCs/>
        </w:rPr>
        <w:t xml:space="preserve">pervasiveness of these attitudes and the social legitimization of harmful practices, deeply rooted in discriminatory stereotypes, and patriarchal attitudes. These were identified as responsible for harmful practices, gender-based violence, and domestic and sexual violence against </w:t>
      </w:r>
      <w:r>
        <w:rPr>
          <w:rFonts w:eastAsia="Times New Roman" w:cstheme="minorHAnsi"/>
          <w:bCs/>
          <w:highlight w:val="yellow"/>
        </w:rPr>
        <w:t>indigenous</w:t>
      </w:r>
      <w:r>
        <w:rPr>
          <w:rFonts w:eastAsia="Times New Roman" w:cstheme="minorHAnsi"/>
          <w:bCs/>
        </w:rPr>
        <w:t xml:space="preserve"> and </w:t>
      </w:r>
      <w:r>
        <w:rPr>
          <w:rFonts w:eastAsia="Times New Roman" w:cstheme="minorHAnsi"/>
          <w:bCs/>
          <w:highlight w:val="cyan"/>
        </w:rPr>
        <w:t>Afro-</w:t>
      </w:r>
      <w:r>
        <w:rPr>
          <w:rFonts w:eastAsia="Times New Roman" w:cstheme="minorHAnsi"/>
          <w:bCs/>
        </w:rPr>
        <w:t xml:space="preserve">Peruvian women. Sites where these violations occur include public and private spaces, residential alternative care </w:t>
      </w:r>
      <w:proofErr w:type="spellStart"/>
      <w:r>
        <w:rPr>
          <w:rFonts w:eastAsia="Times New Roman" w:cstheme="minorHAnsi"/>
          <w:bCs/>
        </w:rPr>
        <w:t>centres</w:t>
      </w:r>
      <w:proofErr w:type="spellEnd"/>
      <w:r>
        <w:rPr>
          <w:rFonts w:eastAsia="Times New Roman" w:cstheme="minorHAnsi"/>
          <w:bCs/>
        </w:rPr>
        <w:t xml:space="preserve"> (</w:t>
      </w:r>
      <w:hyperlink r:id="rId9" w:tgtFrame="_blank" w:history="1">
        <w:r>
          <w:rPr>
            <w:rStyle w:val="Hyperlink"/>
            <w:rFonts w:cstheme="minorHAnsi"/>
            <w:bCs/>
            <w:color w:val="auto"/>
          </w:rPr>
          <w:t xml:space="preserve">CEDAW/C/PER/CO/9 (CEDAW </w:t>
        </w:r>
        <w:proofErr w:type="gramStart"/>
        <w:r>
          <w:rPr>
            <w:rStyle w:val="Hyperlink"/>
            <w:rFonts w:cstheme="minorHAnsi"/>
            <w:bCs/>
            <w:color w:val="auto"/>
          </w:rPr>
          <w:t>2022 )</w:t>
        </w:r>
        <w:proofErr w:type="gramEnd"/>
      </w:hyperlink>
      <w:r>
        <w:rPr>
          <w:rFonts w:eastAsia="Times New Roman" w:cstheme="minorHAnsi"/>
          <w:bCs/>
        </w:rPr>
        <w:t xml:space="preserve"> </w:t>
      </w:r>
      <w:proofErr w:type="spellStart"/>
      <w:r>
        <w:rPr>
          <w:rFonts w:eastAsia="Times New Roman" w:cstheme="minorHAnsi"/>
          <w:bCs/>
        </w:rPr>
        <w:t>para</w:t>
      </w:r>
      <w:proofErr w:type="spellEnd"/>
      <w:r>
        <w:rPr>
          <w:rFonts w:eastAsia="Times New Roman" w:cstheme="minorHAnsi"/>
          <w:bCs/>
        </w:rPr>
        <w:t xml:space="preserve"> 21 a),  in the delivery of health services and their engagement with the justice system </w:t>
      </w:r>
      <w:hyperlink r:id="rId10" w:tgtFrame="_blank" w:history="1">
        <w:r>
          <w:rPr>
            <w:rStyle w:val="Hyperlink"/>
            <w:rFonts w:cstheme="minorHAnsi"/>
            <w:bCs/>
            <w:color w:val="auto"/>
          </w:rPr>
          <w:t>CEDAW/C/PER/CO/9 (CEDAW 2022 )</w:t>
        </w:r>
      </w:hyperlink>
      <w:r>
        <w:rPr>
          <w:rFonts w:eastAsia="Times New Roman" w:cstheme="minorHAnsi"/>
          <w:bCs/>
        </w:rPr>
        <w:t xml:space="preserve">21 (b). </w:t>
      </w:r>
    </w:p>
    <w:p w:rsidR="00475469" w:rsidRDefault="00475469" w:rsidP="00475469">
      <w:pPr>
        <w:shd w:val="clear" w:color="auto" w:fill="FFFFFF"/>
        <w:spacing w:after="0"/>
        <w:jc w:val="both"/>
        <w:rPr>
          <w:rFonts w:eastAsia="Times New Roman" w:cstheme="minorHAnsi"/>
          <w:bCs/>
        </w:rPr>
      </w:pPr>
      <w:r>
        <w:rPr>
          <w:rFonts w:eastAsia="Times New Roman" w:cstheme="minorHAnsi"/>
          <w:bCs/>
        </w:rPr>
        <w:t xml:space="preserve">The Committee’s recommendations to address gender-based violence against </w:t>
      </w:r>
      <w:r>
        <w:rPr>
          <w:rFonts w:eastAsia="Times New Roman" w:cstheme="minorHAnsi"/>
          <w:bCs/>
          <w:highlight w:val="yellow"/>
        </w:rPr>
        <w:t>indigenous</w:t>
      </w:r>
      <w:r>
        <w:rPr>
          <w:rFonts w:eastAsia="Times New Roman" w:cstheme="minorHAnsi"/>
          <w:bCs/>
        </w:rPr>
        <w:t xml:space="preserve"> and </w:t>
      </w:r>
      <w:proofErr w:type="spellStart"/>
      <w:r>
        <w:rPr>
          <w:rFonts w:eastAsia="Times New Roman" w:cstheme="minorHAnsi"/>
          <w:bCs/>
          <w:highlight w:val="cyan"/>
        </w:rPr>
        <w:t>Afrodescendant</w:t>
      </w:r>
      <w:proofErr w:type="spellEnd"/>
      <w:r>
        <w:rPr>
          <w:rFonts w:eastAsia="Times New Roman" w:cstheme="minorHAnsi"/>
          <w:bCs/>
        </w:rPr>
        <w:t xml:space="preserve"> women include the implementation of all legislation and institutional measures in place to eliminate gender-based violence, targeting violence against women who face intersecting forms of discrimination, establishing benchmarks, indicators of progress and a time frame for monitoring implementation </w:t>
      </w:r>
      <w:hyperlink r:id="rId11" w:tgtFrame="_blank" w:history="1">
        <w:r>
          <w:rPr>
            <w:rStyle w:val="Hyperlink"/>
            <w:rFonts w:cstheme="minorHAnsi"/>
            <w:bCs/>
            <w:color w:val="auto"/>
          </w:rPr>
          <w:t>CEDAW/C/PAN/CO/8 (CEDAW 2022 )</w:t>
        </w:r>
      </w:hyperlink>
      <w:r>
        <w:rPr>
          <w:rFonts w:cstheme="minorHAnsi"/>
        </w:rPr>
        <w:t xml:space="preserve"> </w:t>
      </w:r>
      <w:proofErr w:type="spellStart"/>
      <w:r>
        <w:rPr>
          <w:rFonts w:cstheme="minorHAnsi"/>
        </w:rPr>
        <w:t>para</w:t>
      </w:r>
      <w:proofErr w:type="spellEnd"/>
      <w:r>
        <w:rPr>
          <w:rFonts w:cstheme="minorHAnsi"/>
        </w:rPr>
        <w:t xml:space="preserve"> </w:t>
      </w:r>
      <w:r>
        <w:rPr>
          <w:rFonts w:eastAsia="Times New Roman" w:cstheme="minorHAnsi"/>
          <w:bCs/>
        </w:rPr>
        <w:t xml:space="preserve">22. (a). </w:t>
      </w:r>
    </w:p>
    <w:p w:rsidR="00475469" w:rsidRDefault="00475469" w:rsidP="00475469">
      <w:pPr>
        <w:shd w:val="clear" w:color="auto" w:fill="FFFFFF"/>
        <w:spacing w:after="0"/>
        <w:jc w:val="both"/>
        <w:rPr>
          <w:rFonts w:eastAsia="Times New Roman" w:cstheme="minorHAnsi"/>
          <w:bCs/>
        </w:rPr>
      </w:pPr>
    </w:p>
    <w:p w:rsidR="00475469" w:rsidRDefault="00475469" w:rsidP="00475469">
      <w:pPr>
        <w:shd w:val="clear" w:color="auto" w:fill="FFFFFF"/>
        <w:spacing w:after="100" w:afterAutospacing="1"/>
        <w:jc w:val="both"/>
        <w:rPr>
          <w:rFonts w:eastAsia="Times New Roman" w:cstheme="minorHAnsi"/>
          <w:bCs/>
        </w:rPr>
      </w:pPr>
      <w:r>
        <w:rPr>
          <w:rFonts w:eastAsia="Times New Roman" w:cstheme="minorHAnsi"/>
          <w:bCs/>
        </w:rPr>
        <w:t xml:space="preserve">Other measures are the enhancement of  mechanisms to monitor the enforcement of laws criminalizing gender-based violence against women and providing for victim support services </w:t>
      </w:r>
      <w:hyperlink r:id="rId12" w:tgtFrame="_blank" w:history="1">
        <w:r>
          <w:rPr>
            <w:rStyle w:val="Hyperlink"/>
            <w:rFonts w:cstheme="minorHAnsi"/>
            <w:bCs/>
            <w:color w:val="auto"/>
          </w:rPr>
          <w:t>CEDAW/C/PER/CO/9 (CEDAW 2022 )</w:t>
        </w:r>
      </w:hyperlink>
      <w:r>
        <w:rPr>
          <w:rFonts w:eastAsia="Times New Roman" w:cstheme="minorHAnsi"/>
          <w:bCs/>
        </w:rPr>
        <w:t xml:space="preserve"> </w:t>
      </w:r>
      <w:proofErr w:type="spellStart"/>
      <w:r>
        <w:rPr>
          <w:rFonts w:eastAsia="Times New Roman" w:cstheme="minorHAnsi"/>
          <w:bCs/>
        </w:rPr>
        <w:t>para</w:t>
      </w:r>
      <w:proofErr w:type="spellEnd"/>
      <w:r>
        <w:rPr>
          <w:rFonts w:eastAsia="Times New Roman" w:cstheme="minorHAnsi"/>
          <w:bCs/>
        </w:rPr>
        <w:t xml:space="preserve"> 24 (a), preventing, registering, investigating and sanctioning discrimination and gender-based violence against </w:t>
      </w:r>
      <w:r>
        <w:rPr>
          <w:rFonts w:eastAsia="Times New Roman" w:cstheme="minorHAnsi"/>
          <w:bCs/>
          <w:highlight w:val="yellow"/>
        </w:rPr>
        <w:t xml:space="preserve"> indigenous</w:t>
      </w:r>
      <w:r>
        <w:rPr>
          <w:rFonts w:eastAsia="Times New Roman" w:cstheme="minorHAnsi"/>
          <w:bCs/>
        </w:rPr>
        <w:t xml:space="preserve"> and </w:t>
      </w:r>
      <w:r>
        <w:rPr>
          <w:rFonts w:eastAsia="Times New Roman" w:cstheme="minorHAnsi"/>
          <w:bCs/>
          <w:highlight w:val="cyan"/>
        </w:rPr>
        <w:t>Afro-</w:t>
      </w:r>
      <w:r>
        <w:rPr>
          <w:rFonts w:eastAsia="Times New Roman" w:cstheme="minorHAnsi"/>
          <w:bCs/>
        </w:rPr>
        <w:t>Peruvian women and upholding their rights to dignity, equality and non-discrimination, and to ethnic and cultural identity (</w:t>
      </w:r>
      <w:hyperlink r:id="rId13" w:tgtFrame="_blank" w:history="1">
        <w:r>
          <w:rPr>
            <w:rStyle w:val="Hyperlink"/>
            <w:rFonts w:cstheme="minorHAnsi"/>
            <w:bCs/>
            <w:color w:val="auto"/>
          </w:rPr>
          <w:t xml:space="preserve">CEDAW/C/PER/CO/9 </w:t>
        </w:r>
        <w:r>
          <w:rPr>
            <w:rStyle w:val="Hyperlink"/>
            <w:rFonts w:cstheme="minorHAnsi"/>
            <w:bCs/>
            <w:color w:val="auto"/>
          </w:rPr>
          <w:lastRenderedPageBreak/>
          <w:t>(CEDAW 2022 )</w:t>
        </w:r>
      </w:hyperlink>
      <w:r>
        <w:rPr>
          <w:rFonts w:eastAsia="Times New Roman" w:cstheme="minorHAnsi"/>
          <w:bCs/>
        </w:rPr>
        <w:t xml:space="preserve"> </w:t>
      </w:r>
      <w:proofErr w:type="spellStart"/>
      <w:r>
        <w:rPr>
          <w:rFonts w:eastAsia="Times New Roman" w:cstheme="minorHAnsi"/>
          <w:bCs/>
        </w:rPr>
        <w:t>para</w:t>
      </w:r>
      <w:proofErr w:type="spellEnd"/>
      <w:r>
        <w:rPr>
          <w:rFonts w:eastAsia="Times New Roman" w:cstheme="minorHAnsi"/>
          <w:bCs/>
        </w:rPr>
        <w:t xml:space="preserve"> (a)); and  ensuring the provision of appropriate, accessible and quality support services responding to their needs as survivors of gender-based violence </w:t>
      </w:r>
      <w:hyperlink r:id="rId14" w:tgtFrame="_blank" w:history="1">
        <w:r>
          <w:rPr>
            <w:rStyle w:val="Hyperlink"/>
            <w:rFonts w:cstheme="minorHAnsi"/>
            <w:bCs/>
            <w:color w:val="auto"/>
          </w:rPr>
          <w:t>CEDAW/C/PER/CO/9 (CEDAW 2022 )</w:t>
        </w:r>
      </w:hyperlink>
      <w:r>
        <w:rPr>
          <w:rFonts w:eastAsia="Times New Roman" w:cstheme="minorHAnsi"/>
          <w:bCs/>
        </w:rPr>
        <w:t xml:space="preserve"> (a) (</w:t>
      </w:r>
      <w:proofErr w:type="spellStart"/>
      <w:r>
        <w:rPr>
          <w:rFonts w:eastAsia="Times New Roman" w:cstheme="minorHAnsi"/>
          <w:bCs/>
        </w:rPr>
        <w:t>i</w:t>
      </w:r>
      <w:proofErr w:type="spellEnd"/>
      <w:r>
        <w:rPr>
          <w:rFonts w:eastAsia="Times New Roman" w:cstheme="minorHAnsi"/>
          <w:bCs/>
        </w:rPr>
        <w:t>).</w:t>
      </w:r>
    </w:p>
    <w:p w:rsidR="00475469" w:rsidRDefault="00475469" w:rsidP="00475469">
      <w:pPr>
        <w:shd w:val="clear" w:color="auto" w:fill="FFFFFF" w:themeFill="background1"/>
        <w:spacing w:after="0"/>
        <w:jc w:val="both"/>
        <w:rPr>
          <w:rFonts w:eastAsia="Times New Roman" w:cstheme="minorHAnsi"/>
          <w:bCs/>
        </w:rPr>
      </w:pPr>
      <w:r>
        <w:rPr>
          <w:rFonts w:eastAsia="Times New Roman" w:cstheme="minorHAnsi"/>
          <w:bCs/>
        </w:rPr>
        <w:t xml:space="preserve">The Committee has also drawn attention to gender-based violence against migrant women in border areas, particularly </w:t>
      </w:r>
      <w:proofErr w:type="spellStart"/>
      <w:r>
        <w:rPr>
          <w:rFonts w:eastAsia="Times New Roman" w:cstheme="minorHAnsi"/>
          <w:bCs/>
          <w:highlight w:val="cyan"/>
        </w:rPr>
        <w:t>Afrodescendant</w:t>
      </w:r>
      <w:proofErr w:type="spellEnd"/>
      <w:r>
        <w:rPr>
          <w:rFonts w:eastAsia="Times New Roman" w:cstheme="minorHAnsi"/>
          <w:bCs/>
        </w:rPr>
        <w:t xml:space="preserve"> women, including those of Haitian origin, who transit through the State party’s territory of the Darién Gap, including disappearances, rape, intimidation and threats by armed non-State actors, noting the barriers to survivors’ access to justice and remedies, psychosocial and health care, and redress (</w:t>
      </w:r>
      <w:hyperlink r:id="rId15" w:tgtFrame="_blank" w:history="1">
        <w:r>
          <w:rPr>
            <w:rStyle w:val="Hyperlink"/>
            <w:rFonts w:cstheme="minorHAnsi"/>
            <w:bCs/>
            <w:color w:val="auto"/>
          </w:rPr>
          <w:t>CEDAW/C/PAN/CO/8 (CEDAW 2022 )</w:t>
        </w:r>
      </w:hyperlink>
      <w:r>
        <w:rPr>
          <w:rFonts w:eastAsia="Times New Roman" w:cstheme="minorHAnsi"/>
          <w:bCs/>
        </w:rPr>
        <w:t xml:space="preserve"> para23(a)).</w:t>
      </w:r>
    </w:p>
    <w:p w:rsidR="00475469" w:rsidRDefault="00475469" w:rsidP="00475469">
      <w:pPr>
        <w:shd w:val="clear" w:color="auto" w:fill="FFFFFF" w:themeFill="background1"/>
        <w:spacing w:after="0"/>
        <w:jc w:val="both"/>
        <w:rPr>
          <w:rFonts w:eastAsia="Times New Roman" w:cstheme="minorHAnsi"/>
          <w:bCs/>
        </w:rPr>
      </w:pPr>
    </w:p>
    <w:p w:rsidR="00475469" w:rsidRDefault="00475469" w:rsidP="00475469">
      <w:pPr>
        <w:shd w:val="clear" w:color="auto" w:fill="FFFFFF" w:themeFill="background1"/>
        <w:spacing w:after="0"/>
        <w:jc w:val="both"/>
        <w:rPr>
          <w:rFonts w:eastAsia="Times New Roman" w:cstheme="minorHAnsi"/>
          <w:bCs/>
        </w:rPr>
      </w:pPr>
      <w:r>
        <w:rPr>
          <w:rFonts w:eastAsia="Times New Roman" w:cstheme="minorHAnsi"/>
          <w:bCs/>
        </w:rPr>
        <w:t xml:space="preserve">Under Article 7 - Equal participation in political and public life, the Committee has recommended that SPs Adopt measures to address discriminatory gender stereotypes and practices within political parties that discourage women, in particular </w:t>
      </w:r>
      <w:r>
        <w:rPr>
          <w:rFonts w:eastAsia="Times New Roman" w:cstheme="minorHAnsi"/>
          <w:bCs/>
          <w:highlight w:val="yellow"/>
        </w:rPr>
        <w:t>indigenous</w:t>
      </w:r>
      <w:r>
        <w:rPr>
          <w:rFonts w:eastAsia="Times New Roman" w:cstheme="minorHAnsi"/>
          <w:bCs/>
        </w:rPr>
        <w:t xml:space="preserve">, </w:t>
      </w:r>
      <w:r>
        <w:rPr>
          <w:rFonts w:eastAsia="Times New Roman" w:cstheme="minorHAnsi"/>
          <w:bCs/>
          <w:highlight w:val="cyan"/>
        </w:rPr>
        <w:t>Afro-</w:t>
      </w:r>
      <w:r>
        <w:rPr>
          <w:rFonts w:eastAsia="Times New Roman" w:cstheme="minorHAnsi"/>
          <w:bCs/>
        </w:rPr>
        <w:t xml:space="preserve">Peruvian and other </w:t>
      </w:r>
      <w:proofErr w:type="spellStart"/>
      <w:r>
        <w:rPr>
          <w:rFonts w:eastAsia="Times New Roman" w:cstheme="minorHAnsi"/>
          <w:bCs/>
          <w:highlight w:val="cyan"/>
        </w:rPr>
        <w:t>Afrodescendant</w:t>
      </w:r>
      <w:r>
        <w:rPr>
          <w:rFonts w:eastAsia="Times New Roman" w:cstheme="minorHAnsi"/>
          <w:bCs/>
        </w:rPr>
        <w:t>s</w:t>
      </w:r>
      <w:proofErr w:type="spellEnd"/>
      <w:r>
        <w:rPr>
          <w:rFonts w:eastAsia="Times New Roman" w:cstheme="minorHAnsi"/>
          <w:bCs/>
        </w:rPr>
        <w:t xml:space="preserve">, from standing for election at the federal, state or municipal levels </w:t>
      </w:r>
      <w:hyperlink r:id="rId16" w:tgtFrame="_blank" w:history="1">
        <w:r>
          <w:rPr>
            <w:rStyle w:val="Hyperlink"/>
            <w:rFonts w:cstheme="minorHAnsi"/>
            <w:bCs/>
            <w:color w:val="auto"/>
          </w:rPr>
          <w:t>CEDAW/C/PER/CO/9 (CEDAW 2022 )</w:t>
        </w:r>
      </w:hyperlink>
      <w:r>
        <w:rPr>
          <w:rFonts w:eastAsia="Times New Roman" w:cstheme="minorHAnsi"/>
          <w:bCs/>
        </w:rPr>
        <w:t xml:space="preserve"> </w:t>
      </w:r>
      <w:proofErr w:type="spellStart"/>
      <w:r>
        <w:rPr>
          <w:rFonts w:eastAsia="Times New Roman" w:cstheme="minorHAnsi"/>
          <w:bCs/>
        </w:rPr>
        <w:t>para</w:t>
      </w:r>
      <w:proofErr w:type="spellEnd"/>
      <w:r>
        <w:rPr>
          <w:rFonts w:eastAsia="Times New Roman" w:cstheme="minorHAnsi"/>
          <w:bCs/>
        </w:rPr>
        <w:t xml:space="preserve"> 30. (c). It has also recommended under Article 8 regarding women’ participation at the international level that legislation and policy measures be adopted to promote diversity and political participation at all levels, and mechanisms reinforced to facilitate women’s participation in the international arena, including the representation of </w:t>
      </w:r>
      <w:r>
        <w:rPr>
          <w:rFonts w:eastAsia="Times New Roman" w:cstheme="minorHAnsi"/>
          <w:bCs/>
          <w:highlight w:val="yellow"/>
        </w:rPr>
        <w:t>indigenous</w:t>
      </w:r>
      <w:r>
        <w:rPr>
          <w:rFonts w:eastAsia="Times New Roman" w:cstheme="minorHAnsi"/>
          <w:bCs/>
        </w:rPr>
        <w:t xml:space="preserve"> and </w:t>
      </w:r>
      <w:proofErr w:type="spellStart"/>
      <w:r>
        <w:rPr>
          <w:rFonts w:eastAsia="Times New Roman" w:cstheme="minorHAnsi"/>
          <w:bCs/>
          <w:highlight w:val="cyan"/>
        </w:rPr>
        <w:t>Afrodescendant</w:t>
      </w:r>
      <w:proofErr w:type="spellEnd"/>
      <w:r>
        <w:rPr>
          <w:rFonts w:eastAsia="Times New Roman" w:cstheme="minorHAnsi"/>
          <w:bCs/>
        </w:rPr>
        <w:t xml:space="preserve"> in international affairs and organizations, and in leading positions at diplomatic missions. Additionally, measures should be implemented to reduce negative attitudes associated with women in high-level international leadership positions </w:t>
      </w:r>
      <w:hyperlink r:id="rId17" w:tgtFrame="_blank" w:history="1">
        <w:r>
          <w:rPr>
            <w:rStyle w:val="Hyperlink"/>
            <w:rFonts w:cstheme="minorHAnsi"/>
            <w:bCs/>
            <w:color w:val="auto"/>
          </w:rPr>
          <w:t xml:space="preserve">CEDAW/C/PAN/CO/8 (CEDAW </w:t>
        </w:r>
        <w:proofErr w:type="gramStart"/>
        <w:r>
          <w:rPr>
            <w:rStyle w:val="Hyperlink"/>
            <w:rFonts w:cstheme="minorHAnsi"/>
            <w:bCs/>
            <w:color w:val="auto"/>
          </w:rPr>
          <w:t>2022 )</w:t>
        </w:r>
        <w:proofErr w:type="gramEnd"/>
      </w:hyperlink>
      <w:r>
        <w:rPr>
          <w:rFonts w:eastAsia="Times New Roman" w:cstheme="minorHAnsi"/>
          <w:bCs/>
        </w:rPr>
        <w:t xml:space="preserve"> 30 (e).</w:t>
      </w:r>
    </w:p>
    <w:p w:rsidR="00475469" w:rsidRDefault="00475469" w:rsidP="00475469">
      <w:pPr>
        <w:shd w:val="clear" w:color="auto" w:fill="FFFFFF" w:themeFill="background1"/>
        <w:spacing w:after="0"/>
        <w:jc w:val="both"/>
        <w:rPr>
          <w:rFonts w:eastAsia="Times New Roman" w:cstheme="minorHAnsi"/>
          <w:bCs/>
        </w:rPr>
      </w:pPr>
    </w:p>
    <w:p w:rsidR="00475469" w:rsidRDefault="00475469" w:rsidP="00475469">
      <w:pPr>
        <w:shd w:val="clear" w:color="auto" w:fill="FFFFFF"/>
        <w:spacing w:after="408" w:line="340" w:lineRule="atLeast"/>
        <w:jc w:val="both"/>
        <w:outlineLvl w:val="2"/>
        <w:rPr>
          <w:rFonts w:eastAsia="Times New Roman" w:cstheme="minorHAnsi"/>
          <w:bCs/>
        </w:rPr>
      </w:pPr>
      <w:r>
        <w:rPr>
          <w:rFonts w:eastAsia="Times New Roman" w:cstheme="minorHAnsi"/>
          <w:bCs/>
        </w:rPr>
        <w:t>The Committee has made recommendations on the limited access to employment opportunities by “</w:t>
      </w:r>
      <w:r>
        <w:rPr>
          <w:rFonts w:eastAsia="Times New Roman" w:cstheme="minorHAnsi"/>
          <w:bCs/>
          <w:highlight w:val="yellow"/>
        </w:rPr>
        <w:t>indigenous</w:t>
      </w:r>
      <w:r>
        <w:rPr>
          <w:rFonts w:eastAsia="Times New Roman" w:cstheme="minorHAnsi"/>
          <w:bCs/>
        </w:rPr>
        <w:t xml:space="preserve"> and </w:t>
      </w:r>
      <w:r>
        <w:rPr>
          <w:rFonts w:eastAsia="Times New Roman" w:cstheme="minorHAnsi"/>
          <w:bCs/>
          <w:highlight w:val="cyan"/>
        </w:rPr>
        <w:t>Afro-</w:t>
      </w:r>
      <w:r>
        <w:rPr>
          <w:rFonts w:eastAsia="Times New Roman" w:cstheme="minorHAnsi"/>
          <w:bCs/>
        </w:rPr>
        <w:t xml:space="preserve">Peruvian and other </w:t>
      </w:r>
      <w:proofErr w:type="spellStart"/>
      <w:r>
        <w:rPr>
          <w:rFonts w:eastAsia="Times New Roman" w:cstheme="minorHAnsi"/>
          <w:bCs/>
          <w:highlight w:val="cyan"/>
        </w:rPr>
        <w:t>Afrodescendent</w:t>
      </w:r>
      <w:proofErr w:type="spellEnd"/>
      <w:r>
        <w:rPr>
          <w:rFonts w:eastAsia="Times New Roman" w:cstheme="minorHAnsi"/>
          <w:bCs/>
        </w:rPr>
        <w:t xml:space="preserve"> women” </w:t>
      </w:r>
      <w:hyperlink r:id="rId18" w:tgtFrame="_blank" w:history="1">
        <w:r>
          <w:rPr>
            <w:rStyle w:val="Hyperlink"/>
            <w:rFonts w:cstheme="minorHAnsi"/>
            <w:bCs/>
            <w:color w:val="auto"/>
          </w:rPr>
          <w:t xml:space="preserve">CEDAW/C/PER/CO/9 (CEDAW </w:t>
        </w:r>
        <w:proofErr w:type="gramStart"/>
        <w:r>
          <w:rPr>
            <w:rStyle w:val="Hyperlink"/>
            <w:rFonts w:cstheme="minorHAnsi"/>
            <w:bCs/>
            <w:color w:val="auto"/>
          </w:rPr>
          <w:t>2022 )</w:t>
        </w:r>
        <w:proofErr w:type="gramEnd"/>
      </w:hyperlink>
      <w:r>
        <w:rPr>
          <w:rFonts w:eastAsia="Times New Roman" w:cstheme="minorHAnsi"/>
          <w:bCs/>
        </w:rPr>
        <w:t xml:space="preserve"> 35 (a). Recommendations made with regards to the employment of </w:t>
      </w:r>
      <w:r>
        <w:rPr>
          <w:rFonts w:eastAsia="Times New Roman" w:cstheme="minorHAnsi"/>
          <w:bCs/>
          <w:highlight w:val="yellow"/>
        </w:rPr>
        <w:t>indigenous</w:t>
      </w:r>
      <w:r>
        <w:rPr>
          <w:rFonts w:eastAsia="Times New Roman" w:cstheme="minorHAnsi"/>
          <w:bCs/>
        </w:rPr>
        <w:t xml:space="preserve">, </w:t>
      </w:r>
      <w:r>
        <w:rPr>
          <w:rFonts w:eastAsia="Times New Roman" w:cstheme="minorHAnsi"/>
          <w:bCs/>
          <w:highlight w:val="cyan"/>
        </w:rPr>
        <w:t>Afro-</w:t>
      </w:r>
      <w:r>
        <w:rPr>
          <w:rFonts w:eastAsia="Times New Roman" w:cstheme="minorHAnsi"/>
          <w:bCs/>
        </w:rPr>
        <w:t>Peruvian women specifically target hiring quotas and employment retention schemes.</w:t>
      </w:r>
    </w:p>
    <w:p w:rsidR="00475469" w:rsidRDefault="00475469" w:rsidP="00475469">
      <w:pPr>
        <w:shd w:val="clear" w:color="auto" w:fill="FFFFFF" w:themeFill="background1"/>
        <w:spacing w:after="0"/>
        <w:jc w:val="both"/>
        <w:rPr>
          <w:rFonts w:eastAsia="Times New Roman" w:cstheme="minorHAnsi"/>
          <w:bCs/>
        </w:rPr>
      </w:pPr>
    </w:p>
    <w:p w:rsidR="00475469" w:rsidRDefault="00475469" w:rsidP="00475469">
      <w:pPr>
        <w:shd w:val="clear" w:color="auto" w:fill="FFFFFF"/>
        <w:spacing w:after="100" w:afterAutospacing="1" w:line="340" w:lineRule="atLeast"/>
        <w:rPr>
          <w:rFonts w:ascii="Roboto" w:eastAsia="Times New Roman" w:hAnsi="Roboto" w:cs="Times New Roman"/>
          <w:b/>
          <w:bCs/>
          <w:color w:val="505050"/>
          <w:sz w:val="23"/>
          <w:szCs w:val="23"/>
        </w:rPr>
      </w:pPr>
    </w:p>
    <w:p w:rsidR="00475469" w:rsidRDefault="00475469" w:rsidP="00475469">
      <w:pPr>
        <w:jc w:val="center"/>
        <w:rPr>
          <w:rFonts w:asciiTheme="majorBidi" w:hAnsiTheme="majorBidi" w:cstheme="majorBidi"/>
          <w:b/>
          <w:sz w:val="24"/>
          <w:szCs w:val="24"/>
          <w:highlight w:val="lightGray"/>
        </w:rPr>
      </w:pPr>
      <w:r>
        <w:rPr>
          <w:rFonts w:asciiTheme="majorBidi" w:hAnsiTheme="majorBidi" w:cstheme="majorBidi"/>
          <w:b/>
          <w:sz w:val="24"/>
          <w:szCs w:val="24"/>
          <w:highlight w:val="lightGray"/>
        </w:rPr>
        <w:t>LEGAL, POLICY, INSTITUTIONAL, AS WELL AS EDUCATIONAL AND AWARENESS-RAISING MEASURES</w:t>
      </w:r>
    </w:p>
    <w:p w:rsidR="00475469" w:rsidRDefault="00475469" w:rsidP="00475469">
      <w:pPr>
        <w:shd w:val="clear" w:color="auto" w:fill="FFFFFF" w:themeFill="background1"/>
        <w:spacing w:after="0"/>
        <w:jc w:val="both"/>
        <w:rPr>
          <w:rFonts w:eastAsia="Times New Roman" w:cstheme="minorHAnsi"/>
          <w:bCs/>
        </w:rPr>
      </w:pPr>
      <w:r>
        <w:rPr>
          <w:rFonts w:eastAsia="Times New Roman" w:cstheme="minorHAnsi"/>
          <w:bCs/>
        </w:rPr>
        <w:t xml:space="preserve">CEDAW usually makes recommendations for legal policy and institutional reform alongside its concerns. There are COBs in which a section is dedicated to </w:t>
      </w:r>
      <w:r>
        <w:rPr>
          <w:rFonts w:eastAsia="Times New Roman" w:cstheme="minorHAnsi"/>
          <w:bCs/>
          <w:highlight w:val="yellow"/>
        </w:rPr>
        <w:t>indigenous</w:t>
      </w:r>
      <w:r>
        <w:rPr>
          <w:rFonts w:eastAsia="Times New Roman" w:cstheme="minorHAnsi"/>
          <w:bCs/>
        </w:rPr>
        <w:t xml:space="preserve"> and </w:t>
      </w:r>
      <w:proofErr w:type="spellStart"/>
      <w:r>
        <w:rPr>
          <w:rFonts w:eastAsia="Times New Roman" w:cstheme="minorHAnsi"/>
          <w:bCs/>
          <w:highlight w:val="cyan"/>
        </w:rPr>
        <w:t>Afrodescendant</w:t>
      </w:r>
      <w:proofErr w:type="spellEnd"/>
      <w:r>
        <w:rPr>
          <w:rFonts w:eastAsia="Times New Roman" w:cstheme="minorHAnsi"/>
          <w:bCs/>
        </w:rPr>
        <w:t xml:space="preserve"> women. In others they are mainstreamed throughout the COBs.</w:t>
      </w:r>
    </w:p>
    <w:p w:rsidR="00475469" w:rsidRDefault="00475469" w:rsidP="00475469">
      <w:pPr>
        <w:shd w:val="clear" w:color="auto" w:fill="FFFFFF" w:themeFill="background1"/>
        <w:spacing w:after="0"/>
        <w:jc w:val="both"/>
        <w:rPr>
          <w:rFonts w:eastAsia="Times New Roman" w:cstheme="minorHAnsi"/>
          <w:bCs/>
        </w:rPr>
      </w:pPr>
    </w:p>
    <w:p w:rsidR="00475469" w:rsidRDefault="00475469" w:rsidP="00475469">
      <w:pPr>
        <w:shd w:val="clear" w:color="auto" w:fill="FFFFFF" w:themeFill="background1"/>
        <w:spacing w:after="0"/>
        <w:jc w:val="both"/>
        <w:rPr>
          <w:rFonts w:eastAsia="Times New Roman" w:cstheme="minorHAnsi"/>
          <w:bCs/>
        </w:rPr>
      </w:pPr>
      <w:r>
        <w:rPr>
          <w:rFonts w:eastAsia="Times New Roman" w:cstheme="minorHAnsi"/>
          <w:bCs/>
        </w:rPr>
        <w:t xml:space="preserve"> National machineries, however, are specific vehicles within the SP for policy-making for women across all strata. The absence of mechanisms across all sectors of policy to ensure appropriate consultations with and the meaningful participation of women’s organizations, including </w:t>
      </w:r>
      <w:r>
        <w:rPr>
          <w:rFonts w:eastAsia="Times New Roman" w:cstheme="minorHAnsi"/>
          <w:bCs/>
          <w:highlight w:val="yellow"/>
        </w:rPr>
        <w:t>indigenous</w:t>
      </w:r>
      <w:r>
        <w:rPr>
          <w:rFonts w:eastAsia="Times New Roman" w:cstheme="minorHAnsi"/>
          <w:bCs/>
        </w:rPr>
        <w:t xml:space="preserve"> and </w:t>
      </w:r>
      <w:proofErr w:type="spellStart"/>
      <w:r>
        <w:rPr>
          <w:rFonts w:eastAsia="Times New Roman" w:cstheme="minorHAnsi"/>
          <w:bCs/>
          <w:highlight w:val="cyan"/>
        </w:rPr>
        <w:t>Afrodescendant</w:t>
      </w:r>
      <w:proofErr w:type="spellEnd"/>
      <w:r>
        <w:rPr>
          <w:rFonts w:eastAsia="Times New Roman" w:cstheme="minorHAnsi"/>
          <w:bCs/>
        </w:rPr>
        <w:t xml:space="preserve"> women was raised as a concern  </w:t>
      </w:r>
      <w:hyperlink r:id="rId19" w:tgtFrame="_blank" w:history="1">
        <w:r>
          <w:rPr>
            <w:rStyle w:val="Hyperlink"/>
            <w:rFonts w:cstheme="minorHAnsi"/>
            <w:bCs/>
            <w:color w:val="auto"/>
          </w:rPr>
          <w:t>CEDAW/C/PAN/CO/8 (CEDAW 2022 )</w:t>
        </w:r>
      </w:hyperlink>
      <w:r>
        <w:rPr>
          <w:rFonts w:eastAsia="Times New Roman" w:cstheme="minorHAnsi"/>
          <w:bCs/>
        </w:rPr>
        <w:t xml:space="preserve"> 15 (c).</w:t>
      </w:r>
    </w:p>
    <w:p w:rsidR="00475469" w:rsidRDefault="00475469" w:rsidP="00475469">
      <w:pPr>
        <w:shd w:val="clear" w:color="auto" w:fill="FFFFFF" w:themeFill="background1"/>
        <w:spacing w:after="0"/>
        <w:jc w:val="both"/>
        <w:rPr>
          <w:rFonts w:cstheme="minorHAnsi"/>
        </w:rPr>
      </w:pPr>
    </w:p>
    <w:p w:rsidR="00475469" w:rsidRDefault="00475469" w:rsidP="00475469">
      <w:pPr>
        <w:shd w:val="clear" w:color="auto" w:fill="FFFFFF" w:themeFill="background1"/>
        <w:spacing w:after="0"/>
        <w:jc w:val="both"/>
        <w:rPr>
          <w:rFonts w:eastAsia="Times New Roman" w:cstheme="minorHAnsi"/>
          <w:bCs/>
        </w:rPr>
      </w:pPr>
      <w:r>
        <w:rPr>
          <w:rFonts w:cstheme="minorHAnsi"/>
        </w:rPr>
        <w:t xml:space="preserve">The justice sector provides the bridge between rights and their actualization. CEDAW’s article 15 and GR 33 In spite of reforms, the Committee noted that </w:t>
      </w:r>
      <w:r>
        <w:rPr>
          <w:rFonts w:eastAsia="Times New Roman" w:cstheme="minorHAnsi"/>
          <w:bCs/>
        </w:rPr>
        <w:t xml:space="preserve">financial, linguistic, </w:t>
      </w:r>
      <w:proofErr w:type="gramStart"/>
      <w:r>
        <w:rPr>
          <w:rFonts w:eastAsia="Times New Roman" w:cstheme="minorHAnsi"/>
          <w:bCs/>
        </w:rPr>
        <w:t>physical</w:t>
      </w:r>
      <w:proofErr w:type="gramEnd"/>
      <w:r>
        <w:rPr>
          <w:rFonts w:eastAsia="Times New Roman" w:cstheme="minorHAnsi"/>
          <w:bCs/>
        </w:rPr>
        <w:t xml:space="preserve"> and geographical barriers to accessing justice were faced by </w:t>
      </w:r>
      <w:r>
        <w:rPr>
          <w:rFonts w:eastAsia="Times New Roman" w:cstheme="minorHAnsi"/>
          <w:bCs/>
          <w:highlight w:val="yellow"/>
        </w:rPr>
        <w:t>indigenous</w:t>
      </w:r>
      <w:r>
        <w:rPr>
          <w:rFonts w:eastAsia="Times New Roman" w:cstheme="minorHAnsi"/>
          <w:bCs/>
        </w:rPr>
        <w:t xml:space="preserve"> women and </w:t>
      </w:r>
      <w:r>
        <w:rPr>
          <w:rFonts w:eastAsia="Times New Roman" w:cstheme="minorHAnsi"/>
          <w:bCs/>
          <w:highlight w:val="cyan"/>
        </w:rPr>
        <w:t>Afro-</w:t>
      </w:r>
      <w:r>
        <w:rPr>
          <w:rFonts w:eastAsia="Times New Roman" w:cstheme="minorHAnsi"/>
          <w:bCs/>
        </w:rPr>
        <w:t>Bolivian</w:t>
      </w:r>
      <w:r>
        <w:rPr>
          <w:rFonts w:cstheme="minorHAnsi"/>
        </w:rPr>
        <w:t xml:space="preserve"> </w:t>
      </w:r>
      <w:r>
        <w:rPr>
          <w:rFonts w:eastAsia="Times New Roman" w:cstheme="minorHAnsi"/>
          <w:bCs/>
        </w:rPr>
        <w:t xml:space="preserve">women. </w:t>
      </w:r>
      <w:hyperlink r:id="rId20" w:tgtFrame="_blank" w:history="1">
        <w:proofErr w:type="gramStart"/>
        <w:r>
          <w:rPr>
            <w:rStyle w:val="Hyperlink"/>
            <w:rFonts w:cstheme="minorHAnsi"/>
            <w:bCs/>
            <w:color w:val="auto"/>
          </w:rPr>
          <w:t>CEDAW/C/BOL/CO/7 (CEDAW 2022)</w:t>
        </w:r>
      </w:hyperlink>
      <w:r>
        <w:rPr>
          <w:rFonts w:eastAsia="Times New Roman" w:cstheme="minorHAnsi"/>
          <w:bCs/>
        </w:rPr>
        <w:t xml:space="preserve"> </w:t>
      </w:r>
      <w:proofErr w:type="spellStart"/>
      <w:r>
        <w:rPr>
          <w:rFonts w:eastAsia="Times New Roman" w:cstheme="minorHAnsi"/>
          <w:bCs/>
        </w:rPr>
        <w:t>para</w:t>
      </w:r>
      <w:proofErr w:type="spellEnd"/>
      <w:r>
        <w:rPr>
          <w:rFonts w:eastAsia="Times New Roman" w:cstheme="minorHAnsi"/>
          <w:bCs/>
        </w:rPr>
        <w:t xml:space="preserve"> 11(c).</w:t>
      </w:r>
      <w:proofErr w:type="gramEnd"/>
      <w:r>
        <w:rPr>
          <w:rFonts w:eastAsia="Times New Roman" w:cstheme="minorHAnsi"/>
          <w:bCs/>
        </w:rPr>
        <w:t xml:space="preserve"> It also observed that stigma and discriminatory stereotypes among law enforcement officers, including the police, impeded access to justice for </w:t>
      </w:r>
      <w:r>
        <w:rPr>
          <w:rFonts w:eastAsia="Times New Roman" w:cstheme="minorHAnsi"/>
          <w:bCs/>
          <w:highlight w:val="yellow"/>
        </w:rPr>
        <w:t>indigenous</w:t>
      </w:r>
      <w:r>
        <w:rPr>
          <w:rFonts w:eastAsia="Times New Roman" w:cstheme="minorHAnsi"/>
          <w:bCs/>
        </w:rPr>
        <w:t xml:space="preserve"> </w:t>
      </w:r>
      <w:proofErr w:type="gramStart"/>
      <w:r>
        <w:rPr>
          <w:rFonts w:eastAsia="Times New Roman" w:cstheme="minorHAnsi"/>
          <w:bCs/>
        </w:rPr>
        <w:t xml:space="preserve">and  </w:t>
      </w:r>
      <w:proofErr w:type="spellStart"/>
      <w:r>
        <w:rPr>
          <w:rFonts w:eastAsia="Times New Roman" w:cstheme="minorHAnsi"/>
          <w:bCs/>
          <w:highlight w:val="cyan"/>
        </w:rPr>
        <w:t>Afrodescendant</w:t>
      </w:r>
      <w:proofErr w:type="spellEnd"/>
      <w:proofErr w:type="gramEnd"/>
      <w:r>
        <w:rPr>
          <w:rFonts w:eastAsia="Times New Roman" w:cstheme="minorHAnsi"/>
          <w:bCs/>
        </w:rPr>
        <w:t xml:space="preserve"> </w:t>
      </w:r>
      <w:hyperlink r:id="rId21" w:tgtFrame="_blank" w:history="1">
        <w:r>
          <w:rPr>
            <w:rStyle w:val="Hyperlink"/>
            <w:rFonts w:cstheme="minorHAnsi"/>
            <w:bCs/>
            <w:color w:val="auto"/>
          </w:rPr>
          <w:t>CEDAW/C/PAN/CO/8 (CEDAW 2022)</w:t>
        </w:r>
      </w:hyperlink>
      <w:r>
        <w:rPr>
          <w:rFonts w:eastAsia="Times New Roman" w:cstheme="minorHAnsi"/>
          <w:bCs/>
        </w:rPr>
        <w:t xml:space="preserve"> para13 (e). To address these obstacles, the Committee recommended strengthened systematic capacity-building for judges, prosecutors, </w:t>
      </w:r>
      <w:proofErr w:type="gramStart"/>
      <w:r>
        <w:rPr>
          <w:rFonts w:eastAsia="Times New Roman" w:cstheme="minorHAnsi"/>
          <w:bCs/>
        </w:rPr>
        <w:t>lawyers</w:t>
      </w:r>
      <w:proofErr w:type="gramEnd"/>
      <w:r>
        <w:rPr>
          <w:rFonts w:eastAsia="Times New Roman" w:cstheme="minorHAnsi"/>
          <w:bCs/>
        </w:rPr>
        <w:t xml:space="preserve"> and law enforcement officials on equality and </w:t>
      </w:r>
      <w:proofErr w:type="spellStart"/>
      <w:r>
        <w:rPr>
          <w:rFonts w:eastAsia="Times New Roman" w:cstheme="minorHAnsi"/>
          <w:bCs/>
        </w:rPr>
        <w:t>non</w:t>
      </w:r>
      <w:proofErr w:type="spellEnd"/>
      <w:r>
        <w:rPr>
          <w:rFonts w:eastAsia="Times New Roman" w:cstheme="minorHAnsi"/>
          <w:bCs/>
        </w:rPr>
        <w:noBreakHyphen/>
      </w:r>
      <w:proofErr w:type="spellStart"/>
      <w:r>
        <w:rPr>
          <w:rFonts w:eastAsia="Times New Roman" w:cstheme="minorHAnsi"/>
          <w:bCs/>
        </w:rPr>
        <w:t>discrimination</w:t>
      </w:r>
      <w:proofErr w:type="spellEnd"/>
      <w:r>
        <w:rPr>
          <w:rFonts w:eastAsia="Times New Roman" w:cstheme="minorHAnsi"/>
          <w:bCs/>
        </w:rPr>
        <w:t xml:space="preserve"> against women, and the adoption of indicators to ensure that cases of gender-based violence and discrimination against </w:t>
      </w:r>
      <w:r>
        <w:rPr>
          <w:rFonts w:eastAsia="Times New Roman" w:cstheme="minorHAnsi"/>
          <w:bCs/>
          <w:highlight w:val="yellow"/>
        </w:rPr>
        <w:t>indigenous</w:t>
      </w:r>
      <w:r>
        <w:rPr>
          <w:rFonts w:eastAsia="Times New Roman" w:cstheme="minorHAnsi"/>
          <w:bCs/>
        </w:rPr>
        <w:t xml:space="preserve"> women, </w:t>
      </w:r>
      <w:proofErr w:type="spellStart"/>
      <w:r>
        <w:rPr>
          <w:rFonts w:eastAsia="Times New Roman" w:cstheme="minorHAnsi"/>
          <w:bCs/>
          <w:highlight w:val="cyan"/>
        </w:rPr>
        <w:t>Afrodescendant</w:t>
      </w:r>
      <w:proofErr w:type="spellEnd"/>
      <w:r>
        <w:rPr>
          <w:rFonts w:eastAsia="Times New Roman" w:cstheme="minorHAnsi"/>
          <w:bCs/>
        </w:rPr>
        <w:t xml:space="preserve"> women, are managed in a gender-sensitive manner. </w:t>
      </w:r>
      <w:hyperlink r:id="rId22" w:tgtFrame="_blank" w:history="1">
        <w:r>
          <w:rPr>
            <w:rStyle w:val="Hyperlink"/>
            <w:rFonts w:cstheme="minorHAnsi"/>
            <w:bCs/>
            <w:color w:val="auto"/>
          </w:rPr>
          <w:t xml:space="preserve">CEDAW/C/PAN/CO/8 (CEDAW </w:t>
        </w:r>
        <w:proofErr w:type="gramStart"/>
        <w:r>
          <w:rPr>
            <w:rStyle w:val="Hyperlink"/>
            <w:rFonts w:cstheme="minorHAnsi"/>
            <w:bCs/>
            <w:color w:val="auto"/>
          </w:rPr>
          <w:t>2022 )</w:t>
        </w:r>
        <w:proofErr w:type="gramEnd"/>
      </w:hyperlink>
      <w:r>
        <w:rPr>
          <w:rFonts w:eastAsia="Times New Roman" w:cstheme="minorHAnsi"/>
          <w:bCs/>
        </w:rPr>
        <w:t xml:space="preserve"> </w:t>
      </w:r>
      <w:proofErr w:type="spellStart"/>
      <w:r>
        <w:rPr>
          <w:rFonts w:eastAsia="Times New Roman" w:cstheme="minorHAnsi"/>
          <w:bCs/>
        </w:rPr>
        <w:t>para</w:t>
      </w:r>
      <w:proofErr w:type="spellEnd"/>
      <w:r>
        <w:rPr>
          <w:rFonts w:eastAsia="Times New Roman" w:cstheme="minorHAnsi"/>
          <w:bCs/>
        </w:rPr>
        <w:t xml:space="preserve"> 14 (e).</w:t>
      </w:r>
    </w:p>
    <w:p w:rsidR="00475469" w:rsidRDefault="00475469" w:rsidP="00475469">
      <w:pPr>
        <w:shd w:val="clear" w:color="auto" w:fill="FFFFFF" w:themeFill="background1"/>
        <w:spacing w:after="0"/>
        <w:jc w:val="both"/>
        <w:rPr>
          <w:rFonts w:eastAsia="Times New Roman" w:cstheme="minorHAnsi"/>
          <w:bCs/>
        </w:rPr>
      </w:pPr>
    </w:p>
    <w:p w:rsidR="00475469" w:rsidRDefault="00475469" w:rsidP="00475469">
      <w:pPr>
        <w:shd w:val="clear" w:color="auto" w:fill="FFFFFF"/>
        <w:spacing w:after="100" w:afterAutospacing="1"/>
        <w:jc w:val="both"/>
        <w:rPr>
          <w:rFonts w:eastAsia="Times New Roman" w:cstheme="minorHAnsi"/>
          <w:bCs/>
        </w:rPr>
      </w:pPr>
      <w:r>
        <w:rPr>
          <w:rFonts w:eastAsia="Times New Roman" w:cstheme="minorHAnsi"/>
          <w:bCs/>
        </w:rPr>
        <w:t xml:space="preserve">Education in the Convention’s Article 10 and GR 26, has been described as a gateway right, opening the way to, and grounding other rights, hence the CEDAW expressed concern over the insufficient implementation of regional intercultural curricula and of the 20 per cent quota for direct admissions to teacher training colleges of </w:t>
      </w:r>
      <w:r>
        <w:rPr>
          <w:rFonts w:eastAsia="Times New Roman" w:cstheme="minorHAnsi"/>
          <w:bCs/>
          <w:highlight w:val="yellow"/>
        </w:rPr>
        <w:t>indigenous</w:t>
      </w:r>
      <w:r>
        <w:rPr>
          <w:rFonts w:eastAsia="Times New Roman" w:cstheme="minorHAnsi"/>
          <w:bCs/>
        </w:rPr>
        <w:t xml:space="preserve"> women and </w:t>
      </w:r>
      <w:r>
        <w:rPr>
          <w:rFonts w:eastAsia="Times New Roman" w:cstheme="minorHAnsi"/>
          <w:bCs/>
          <w:highlight w:val="cyan"/>
        </w:rPr>
        <w:t>Afro-</w:t>
      </w:r>
      <w:r>
        <w:rPr>
          <w:rFonts w:eastAsia="Times New Roman" w:cstheme="minorHAnsi"/>
          <w:bCs/>
        </w:rPr>
        <w:t xml:space="preserve">Bolivian women </w:t>
      </w:r>
      <w:hyperlink r:id="rId23" w:tgtFrame="_blank" w:history="1">
        <w:r>
          <w:rPr>
            <w:rStyle w:val="Hyperlink"/>
            <w:rFonts w:cstheme="minorHAnsi"/>
            <w:bCs/>
            <w:color w:val="auto"/>
          </w:rPr>
          <w:t>CEDAW/C/BOL/CO/7 (CEDAW 2022)</w:t>
        </w:r>
      </w:hyperlink>
      <w:r>
        <w:rPr>
          <w:rFonts w:cstheme="minorHAnsi"/>
        </w:rPr>
        <w:t xml:space="preserve"> </w:t>
      </w:r>
      <w:proofErr w:type="spellStart"/>
      <w:r>
        <w:rPr>
          <w:rFonts w:eastAsia="Times New Roman" w:cstheme="minorHAnsi"/>
          <w:bCs/>
        </w:rPr>
        <w:t>para</w:t>
      </w:r>
      <w:proofErr w:type="spellEnd"/>
      <w:r>
        <w:rPr>
          <w:rFonts w:eastAsia="Times New Roman" w:cstheme="minorHAnsi"/>
          <w:bCs/>
        </w:rPr>
        <w:t xml:space="preserve"> 23 (e). It also asked for targeted measures to ensure disadvantaged and marginalized groups of girls, and in particular </w:t>
      </w:r>
      <w:r>
        <w:rPr>
          <w:rFonts w:eastAsia="Times New Roman" w:cstheme="minorHAnsi"/>
          <w:bCs/>
          <w:highlight w:val="yellow"/>
        </w:rPr>
        <w:t>indigenous</w:t>
      </w:r>
      <w:r>
        <w:rPr>
          <w:rFonts w:eastAsia="Times New Roman" w:cstheme="minorHAnsi"/>
          <w:bCs/>
        </w:rPr>
        <w:t xml:space="preserve">, </w:t>
      </w:r>
      <w:r>
        <w:rPr>
          <w:rFonts w:eastAsia="Times New Roman" w:cstheme="minorHAnsi"/>
          <w:bCs/>
          <w:highlight w:val="cyan"/>
        </w:rPr>
        <w:t>Afro-</w:t>
      </w:r>
      <w:r>
        <w:rPr>
          <w:rFonts w:eastAsia="Times New Roman" w:cstheme="minorHAnsi"/>
          <w:bCs/>
        </w:rPr>
        <w:t xml:space="preserve">Peruvian girls, have adequate access to quality education, as well as their retention in school, by Strengthening the educational infrastructure in </w:t>
      </w:r>
      <w:r>
        <w:rPr>
          <w:rFonts w:eastAsia="Times New Roman" w:cstheme="minorHAnsi"/>
          <w:bCs/>
          <w:highlight w:val="yellow"/>
        </w:rPr>
        <w:t>indigenous</w:t>
      </w:r>
      <w:r>
        <w:rPr>
          <w:rFonts w:eastAsia="Times New Roman" w:cstheme="minorHAnsi"/>
          <w:bCs/>
        </w:rPr>
        <w:t xml:space="preserve"> communities and rural areas, free, reliable and safe school transport, facilitating the enrolment of girls from marginalized groups in educational institutions at all levels and ensuring adequate opportunities for </w:t>
      </w:r>
      <w:r>
        <w:rPr>
          <w:rFonts w:eastAsia="Times New Roman" w:cstheme="minorHAnsi"/>
          <w:bCs/>
          <w:highlight w:val="yellow"/>
        </w:rPr>
        <w:t>indigenous</w:t>
      </w:r>
      <w:r>
        <w:rPr>
          <w:rFonts w:eastAsia="Times New Roman" w:cstheme="minorHAnsi"/>
          <w:bCs/>
        </w:rPr>
        <w:t xml:space="preserve"> girls and women to receive instruction in their own languages; </w:t>
      </w:r>
      <w:hyperlink r:id="rId24" w:tgtFrame="_blank" w:history="1">
        <w:r>
          <w:rPr>
            <w:rStyle w:val="Hyperlink"/>
            <w:rFonts w:cstheme="minorHAnsi"/>
            <w:bCs/>
            <w:color w:val="auto"/>
          </w:rPr>
          <w:t>CEDAW/C/PER/CO/9 (CEDAW 2022 )</w:t>
        </w:r>
      </w:hyperlink>
      <w:r>
        <w:rPr>
          <w:rFonts w:eastAsia="Times New Roman" w:cstheme="minorHAnsi"/>
          <w:bCs/>
        </w:rPr>
        <w:t xml:space="preserve"> 34 (a) (</w:t>
      </w:r>
      <w:proofErr w:type="spellStart"/>
      <w:r>
        <w:rPr>
          <w:rFonts w:eastAsia="Times New Roman" w:cstheme="minorHAnsi"/>
          <w:bCs/>
        </w:rPr>
        <w:t>i</w:t>
      </w:r>
      <w:proofErr w:type="spellEnd"/>
      <w:r>
        <w:rPr>
          <w:rFonts w:eastAsia="Times New Roman" w:cstheme="minorHAnsi"/>
          <w:bCs/>
        </w:rPr>
        <w:t>)-(iii).</w:t>
      </w:r>
    </w:p>
    <w:p w:rsidR="00475469" w:rsidRDefault="00475469" w:rsidP="00475469">
      <w:pPr>
        <w:shd w:val="clear" w:color="auto" w:fill="FFFFFF" w:themeFill="background1"/>
        <w:spacing w:after="0"/>
        <w:jc w:val="both"/>
        <w:rPr>
          <w:rFonts w:ascii="Roboto" w:eastAsia="Times New Roman" w:hAnsi="Roboto" w:cs="Times New Roman"/>
          <w:b/>
          <w:bCs/>
          <w:color w:val="505050"/>
          <w:sz w:val="23"/>
          <w:szCs w:val="23"/>
        </w:rPr>
      </w:pPr>
      <w:r>
        <w:rPr>
          <w:rFonts w:eastAsia="Times New Roman" w:cstheme="minorHAnsi"/>
          <w:bCs/>
        </w:rPr>
        <w:t xml:space="preserve">CEDAW covers health in Article 12 and GR 24. It commended an Intercultural Family and Community Health Policy and recommended adequate, affordable and culturally appropriate coverage and resource allocation to reach rural women and girls, as well as </w:t>
      </w:r>
      <w:r>
        <w:rPr>
          <w:rFonts w:eastAsia="Times New Roman" w:cstheme="minorHAnsi"/>
          <w:bCs/>
          <w:highlight w:val="yellow"/>
        </w:rPr>
        <w:t>indigenous</w:t>
      </w:r>
      <w:r>
        <w:rPr>
          <w:rFonts w:eastAsia="Times New Roman" w:cstheme="minorHAnsi"/>
          <w:bCs/>
        </w:rPr>
        <w:t xml:space="preserve"> and </w:t>
      </w:r>
      <w:r>
        <w:rPr>
          <w:rFonts w:eastAsia="Times New Roman" w:cstheme="minorHAnsi"/>
          <w:bCs/>
          <w:highlight w:val="cyan"/>
        </w:rPr>
        <w:t>Afro-</w:t>
      </w:r>
      <w:r>
        <w:rPr>
          <w:rFonts w:eastAsia="Times New Roman" w:cstheme="minorHAnsi"/>
          <w:bCs/>
        </w:rPr>
        <w:t xml:space="preserve">Bolivian women </w:t>
      </w:r>
      <w:hyperlink r:id="rId25" w:tgtFrame="_blank" w:history="1">
        <w:r>
          <w:rPr>
            <w:rStyle w:val="Hyperlink"/>
            <w:rFonts w:cstheme="minorHAnsi"/>
            <w:bCs/>
            <w:color w:val="auto"/>
          </w:rPr>
          <w:t>CEDAW/C/BOL/CO/7 (CEDAW 2022 )</w:t>
        </w:r>
      </w:hyperlink>
      <w:r>
        <w:rPr>
          <w:rFonts w:eastAsia="Times New Roman" w:cstheme="minorHAnsi"/>
          <w:bCs/>
        </w:rPr>
        <w:t xml:space="preserve"> 28 (f). </w:t>
      </w:r>
    </w:p>
    <w:p w:rsidR="00475469" w:rsidRDefault="00475469" w:rsidP="00475469">
      <w:pPr>
        <w:shd w:val="clear" w:color="auto" w:fill="FFFFFF"/>
        <w:spacing w:after="0"/>
        <w:jc w:val="both"/>
        <w:rPr>
          <w:rFonts w:eastAsia="Times New Roman" w:cstheme="minorHAnsi"/>
          <w:bCs/>
        </w:rPr>
      </w:pPr>
    </w:p>
    <w:p w:rsidR="00475469" w:rsidRDefault="00475469" w:rsidP="00475469">
      <w:pPr>
        <w:shd w:val="clear" w:color="auto" w:fill="FFFFFF"/>
        <w:spacing w:after="0"/>
        <w:jc w:val="both"/>
        <w:rPr>
          <w:rFonts w:eastAsia="Times New Roman" w:cstheme="minorHAnsi"/>
          <w:bCs/>
        </w:rPr>
      </w:pPr>
    </w:p>
    <w:p w:rsidR="00475469" w:rsidRDefault="00475469" w:rsidP="00475469">
      <w:pPr>
        <w:shd w:val="clear" w:color="auto" w:fill="FFFFFF"/>
        <w:spacing w:after="0"/>
        <w:jc w:val="both"/>
        <w:rPr>
          <w:rFonts w:eastAsia="Times New Roman" w:cstheme="minorHAnsi"/>
          <w:bCs/>
        </w:rPr>
      </w:pPr>
      <w:r>
        <w:rPr>
          <w:rFonts w:eastAsia="Times New Roman" w:cstheme="minorHAnsi"/>
          <w:bCs/>
        </w:rPr>
        <w:t xml:space="preserve">Economic empowerment and social benefits covered by Article 13 </w:t>
      </w:r>
      <w:proofErr w:type="gramStart"/>
      <w:r>
        <w:rPr>
          <w:rFonts w:eastAsia="Times New Roman" w:cstheme="minorHAnsi"/>
          <w:bCs/>
        </w:rPr>
        <w:t>are</w:t>
      </w:r>
      <w:proofErr w:type="gramEnd"/>
      <w:r>
        <w:rPr>
          <w:rFonts w:eastAsia="Times New Roman" w:cstheme="minorHAnsi"/>
          <w:bCs/>
        </w:rPr>
        <w:t xml:space="preserve"> an avenue of ensuring the active participation of </w:t>
      </w:r>
      <w:r>
        <w:rPr>
          <w:rFonts w:eastAsia="Times New Roman" w:cstheme="minorHAnsi"/>
          <w:bCs/>
          <w:highlight w:val="yellow"/>
        </w:rPr>
        <w:t>indigenous</w:t>
      </w:r>
      <w:r>
        <w:rPr>
          <w:rFonts w:eastAsia="Times New Roman" w:cstheme="minorHAnsi"/>
          <w:bCs/>
        </w:rPr>
        <w:t xml:space="preserve"> women, </w:t>
      </w:r>
      <w:r>
        <w:rPr>
          <w:rFonts w:eastAsia="Times New Roman" w:cstheme="minorHAnsi"/>
          <w:bCs/>
          <w:highlight w:val="cyan"/>
        </w:rPr>
        <w:t>Afro-</w:t>
      </w:r>
      <w:r>
        <w:rPr>
          <w:rFonts w:eastAsia="Times New Roman" w:cstheme="minorHAnsi"/>
          <w:bCs/>
        </w:rPr>
        <w:t xml:space="preserve">Peruvian women in the formulation and implementation of poverty reduction strategies. Committee recommends that the State party. Recommendations entail strengthening the national poverty reduction strategy with a particular focus on disadvantaged and marginalized groups of women, in particular and other </w:t>
      </w:r>
      <w:proofErr w:type="spellStart"/>
      <w:r>
        <w:rPr>
          <w:rFonts w:eastAsia="Times New Roman" w:cstheme="minorHAnsi"/>
          <w:bCs/>
        </w:rPr>
        <w:t>Afrodescendent</w:t>
      </w:r>
      <w:proofErr w:type="spellEnd"/>
      <w:r>
        <w:rPr>
          <w:rFonts w:eastAsia="Times New Roman" w:cstheme="minorHAnsi"/>
          <w:bCs/>
        </w:rPr>
        <w:t xml:space="preserve"> women </w:t>
      </w:r>
      <w:hyperlink r:id="rId26" w:tgtFrame="_blank" w:history="1">
        <w:r>
          <w:rPr>
            <w:rStyle w:val="Hyperlink"/>
            <w:rFonts w:cstheme="minorHAnsi"/>
            <w:bCs/>
            <w:color w:val="auto"/>
          </w:rPr>
          <w:t xml:space="preserve">CEDAW/C/PER/CO/9 (CEDAW </w:t>
        </w:r>
        <w:proofErr w:type="gramStart"/>
        <w:r>
          <w:rPr>
            <w:rStyle w:val="Hyperlink"/>
            <w:rFonts w:cstheme="minorHAnsi"/>
            <w:bCs/>
            <w:color w:val="auto"/>
          </w:rPr>
          <w:t>2022 )</w:t>
        </w:r>
        <w:proofErr w:type="gramEnd"/>
      </w:hyperlink>
      <w:r>
        <w:rPr>
          <w:rFonts w:eastAsia="Times New Roman" w:cstheme="minorHAnsi"/>
          <w:bCs/>
        </w:rPr>
        <w:t xml:space="preserve"> 40. (a).  </w:t>
      </w:r>
    </w:p>
    <w:p w:rsidR="00475469" w:rsidRDefault="00475469" w:rsidP="00475469">
      <w:pPr>
        <w:shd w:val="clear" w:color="auto" w:fill="FFFFFF"/>
        <w:spacing w:after="100" w:afterAutospacing="1" w:line="340" w:lineRule="atLeast"/>
        <w:rPr>
          <w:rFonts w:ascii="Roboto" w:eastAsia="Times New Roman" w:hAnsi="Roboto" w:cs="Times New Roman"/>
          <w:b/>
          <w:bCs/>
          <w:color w:val="505050"/>
          <w:sz w:val="23"/>
          <w:szCs w:val="23"/>
        </w:rPr>
      </w:pPr>
    </w:p>
    <w:p w:rsidR="00475469" w:rsidRDefault="00475469" w:rsidP="00475469">
      <w:pPr>
        <w:shd w:val="clear" w:color="auto" w:fill="FFFFFF"/>
        <w:spacing w:after="408" w:line="340" w:lineRule="atLeast"/>
        <w:jc w:val="both"/>
        <w:outlineLvl w:val="2"/>
        <w:rPr>
          <w:rFonts w:eastAsia="Times New Roman" w:cstheme="minorHAnsi"/>
          <w:bCs/>
        </w:rPr>
      </w:pPr>
      <w:r>
        <w:rPr>
          <w:rFonts w:eastAsia="Times New Roman" w:cstheme="minorHAnsi"/>
          <w:bCs/>
        </w:rPr>
        <w:t xml:space="preserve">Specific recommendations were made for Women’s rights and gender equality in relation to the </w:t>
      </w:r>
      <w:proofErr w:type="spellStart"/>
      <w:r>
        <w:rPr>
          <w:rFonts w:eastAsia="Times New Roman" w:cstheme="minorHAnsi"/>
          <w:bCs/>
        </w:rPr>
        <w:t>coronavirus</w:t>
      </w:r>
      <w:proofErr w:type="spellEnd"/>
      <w:r>
        <w:rPr>
          <w:rFonts w:eastAsia="Times New Roman" w:cstheme="minorHAnsi"/>
          <w:bCs/>
        </w:rPr>
        <w:t xml:space="preserve"> disease pandemic and recovery efforts. Targeted </w:t>
      </w:r>
      <w:proofErr w:type="spellStart"/>
      <w:r>
        <w:rPr>
          <w:rFonts w:eastAsia="Times New Roman" w:cstheme="minorHAnsi"/>
          <w:bCs/>
        </w:rPr>
        <w:t>programmes</w:t>
      </w:r>
      <w:proofErr w:type="spellEnd"/>
      <w:r>
        <w:rPr>
          <w:rFonts w:eastAsia="Times New Roman" w:cstheme="minorHAnsi"/>
          <w:bCs/>
        </w:rPr>
        <w:t xml:space="preserve"> were to address situations of </w:t>
      </w:r>
      <w:r>
        <w:rPr>
          <w:rFonts w:eastAsia="Times New Roman" w:cstheme="minorHAnsi"/>
          <w:bCs/>
        </w:rPr>
        <w:lastRenderedPageBreak/>
        <w:t xml:space="preserve">hunger and malnutrition exacerbated during the pandemic in </w:t>
      </w:r>
      <w:r>
        <w:rPr>
          <w:rFonts w:eastAsia="Times New Roman" w:cstheme="minorHAnsi"/>
          <w:bCs/>
          <w:highlight w:val="yellow"/>
        </w:rPr>
        <w:t>indigenous</w:t>
      </w:r>
      <w:r>
        <w:rPr>
          <w:rFonts w:eastAsia="Times New Roman" w:cstheme="minorHAnsi"/>
          <w:bCs/>
        </w:rPr>
        <w:t xml:space="preserve"> regions to reach </w:t>
      </w:r>
      <w:r>
        <w:rPr>
          <w:rFonts w:eastAsia="Times New Roman" w:cstheme="minorHAnsi"/>
          <w:bCs/>
          <w:highlight w:val="yellow"/>
        </w:rPr>
        <w:t>indigenous</w:t>
      </w:r>
      <w:r>
        <w:rPr>
          <w:rFonts w:eastAsia="Times New Roman" w:cstheme="minorHAnsi"/>
          <w:bCs/>
        </w:rPr>
        <w:t xml:space="preserve"> and </w:t>
      </w:r>
      <w:proofErr w:type="spellStart"/>
      <w:r>
        <w:rPr>
          <w:rFonts w:eastAsia="Times New Roman" w:cstheme="minorHAnsi"/>
          <w:bCs/>
          <w:highlight w:val="cyan"/>
        </w:rPr>
        <w:t>Afrodescendant</w:t>
      </w:r>
      <w:proofErr w:type="spellEnd"/>
      <w:r>
        <w:rPr>
          <w:rFonts w:eastAsia="Times New Roman" w:cstheme="minorHAnsi"/>
          <w:bCs/>
        </w:rPr>
        <w:t xml:space="preserve"> women, and the equal participation of women, including </w:t>
      </w:r>
      <w:r>
        <w:rPr>
          <w:rFonts w:eastAsia="Times New Roman" w:cstheme="minorHAnsi"/>
          <w:bCs/>
          <w:highlight w:val="yellow"/>
        </w:rPr>
        <w:t>indigenous</w:t>
      </w:r>
      <w:r>
        <w:rPr>
          <w:rFonts w:eastAsia="Times New Roman" w:cstheme="minorHAnsi"/>
          <w:bCs/>
        </w:rPr>
        <w:t xml:space="preserve"> and </w:t>
      </w:r>
      <w:proofErr w:type="spellStart"/>
      <w:r>
        <w:rPr>
          <w:rFonts w:eastAsia="Times New Roman" w:cstheme="minorHAnsi"/>
          <w:bCs/>
          <w:highlight w:val="cyan"/>
        </w:rPr>
        <w:t>Afrodescendant</w:t>
      </w:r>
      <w:proofErr w:type="spellEnd"/>
      <w:r>
        <w:rPr>
          <w:rFonts w:eastAsia="Times New Roman" w:cstheme="minorHAnsi"/>
          <w:bCs/>
        </w:rPr>
        <w:t xml:space="preserve"> women.</w:t>
      </w:r>
    </w:p>
    <w:p w:rsidR="00475469" w:rsidRDefault="00475469" w:rsidP="00475469">
      <w:pPr>
        <w:shd w:val="clear" w:color="auto" w:fill="FFFFFF"/>
        <w:spacing w:after="408" w:line="340" w:lineRule="atLeast"/>
        <w:jc w:val="both"/>
        <w:outlineLvl w:val="2"/>
        <w:rPr>
          <w:rFonts w:eastAsia="Times New Roman" w:cstheme="minorHAnsi"/>
          <w:b/>
          <w:bCs/>
        </w:rPr>
      </w:pPr>
      <w:r>
        <w:rPr>
          <w:rFonts w:eastAsia="Times New Roman" w:cstheme="minorHAnsi"/>
          <w:b/>
          <w:bCs/>
        </w:rPr>
        <w:t>General Recommendation 39</w:t>
      </w:r>
    </w:p>
    <w:p w:rsidR="00475469" w:rsidRDefault="00475469" w:rsidP="00475469">
      <w:pPr>
        <w:shd w:val="clear" w:color="auto" w:fill="FFFFFF"/>
        <w:spacing w:after="408" w:line="340" w:lineRule="atLeast"/>
        <w:jc w:val="both"/>
        <w:outlineLvl w:val="2"/>
        <w:rPr>
          <w:rFonts w:eastAsia="Times New Roman" w:cstheme="minorHAnsi"/>
          <w:bCs/>
        </w:rPr>
      </w:pPr>
      <w:r>
        <w:rPr>
          <w:rFonts w:eastAsia="Times New Roman" w:cstheme="minorHAnsi"/>
          <w:bCs/>
        </w:rPr>
        <w:t>On 27</w:t>
      </w:r>
      <w:r>
        <w:rPr>
          <w:rFonts w:eastAsia="Times New Roman" w:cstheme="minorHAnsi"/>
          <w:bCs/>
          <w:vertAlign w:val="superscript"/>
        </w:rPr>
        <w:t>th</w:t>
      </w:r>
      <w:r>
        <w:rPr>
          <w:rFonts w:eastAsia="Times New Roman" w:cstheme="minorHAnsi"/>
          <w:bCs/>
        </w:rPr>
        <w:t xml:space="preserve"> October 2022, the Committee adopted General recommendation 39 on the </w:t>
      </w:r>
      <w:proofErr w:type="spellStart"/>
      <w:r>
        <w:rPr>
          <w:rFonts w:eastAsia="Times New Roman" w:cstheme="minorHAnsi"/>
          <w:bCs/>
        </w:rPr>
        <w:t>the</w:t>
      </w:r>
      <w:proofErr w:type="spellEnd"/>
      <w:r>
        <w:rPr>
          <w:rFonts w:eastAsia="Times New Roman" w:cstheme="minorHAnsi"/>
          <w:bCs/>
        </w:rPr>
        <w:t xml:space="preserve"> Rights of Indigenous Women and Girls. </w:t>
      </w:r>
      <w:proofErr w:type="gramStart"/>
      <w:r>
        <w:rPr>
          <w:rFonts w:eastAsia="Times New Roman" w:cstheme="minorHAnsi"/>
          <w:bCs/>
        </w:rPr>
        <w:t>the</w:t>
      </w:r>
      <w:proofErr w:type="gramEnd"/>
      <w:r>
        <w:rPr>
          <w:rFonts w:eastAsia="Times New Roman" w:cstheme="minorHAnsi"/>
          <w:bCs/>
        </w:rPr>
        <w:t xml:space="preserve"> GR does not contain references to </w:t>
      </w:r>
      <w:proofErr w:type="spellStart"/>
      <w:r>
        <w:rPr>
          <w:rFonts w:eastAsia="Times New Roman" w:cstheme="minorHAnsi"/>
          <w:bCs/>
        </w:rPr>
        <w:t>Afrodescendant</w:t>
      </w:r>
      <w:proofErr w:type="spellEnd"/>
      <w:r>
        <w:rPr>
          <w:rFonts w:eastAsia="Times New Roman" w:cstheme="minorHAnsi"/>
          <w:bCs/>
        </w:rPr>
        <w:t xml:space="preserve"> women. However, it distills and contains all the themes that were applicable to the two groups when they were commonly addressed in the COBs. It remains to be seen how will use the GR in addressing rights of Afro descendants. However, this provides the opportunity for specific briefings when issues relating to them are </w:t>
      </w:r>
      <w:proofErr w:type="gramStart"/>
      <w:r>
        <w:rPr>
          <w:rFonts w:eastAsia="Times New Roman" w:cstheme="minorHAnsi"/>
          <w:bCs/>
        </w:rPr>
        <w:t>upcoming</w:t>
      </w:r>
      <w:proofErr w:type="gramEnd"/>
      <w:r>
        <w:rPr>
          <w:rFonts w:eastAsia="Times New Roman" w:cstheme="minorHAnsi"/>
          <w:bCs/>
        </w:rPr>
        <w:t xml:space="preserve"> in dialogues.</w:t>
      </w:r>
    </w:p>
    <w:p w:rsidR="000D5C88" w:rsidRDefault="000D5C88"/>
    <w:sectPr w:rsidR="000D5C88" w:rsidSect="000D5C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75469"/>
    <w:rsid w:val="000D5C88"/>
    <w:rsid w:val="002222C3"/>
    <w:rsid w:val="00271E04"/>
    <w:rsid w:val="0036375C"/>
    <w:rsid w:val="00366818"/>
    <w:rsid w:val="003A0086"/>
    <w:rsid w:val="00475469"/>
    <w:rsid w:val="00596837"/>
    <w:rsid w:val="005B0811"/>
    <w:rsid w:val="006E73C4"/>
    <w:rsid w:val="00797AAB"/>
    <w:rsid w:val="00A0441A"/>
    <w:rsid w:val="00A716C7"/>
    <w:rsid w:val="00E413F5"/>
    <w:rsid w:val="00E51FB3"/>
    <w:rsid w:val="00E71E85"/>
    <w:rsid w:val="00EB4143"/>
    <w:rsid w:val="00F27803"/>
    <w:rsid w:val="00F82C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5469"/>
    <w:rPr>
      <w:color w:val="0000FF"/>
      <w:u w:val="single"/>
    </w:rPr>
  </w:style>
</w:styles>
</file>

<file path=word/webSettings.xml><?xml version="1.0" encoding="utf-8"?>
<w:webSettings xmlns:r="http://schemas.openxmlformats.org/officeDocument/2006/relationships" xmlns:w="http://schemas.openxmlformats.org/wordprocessingml/2006/main">
  <w:divs>
    <w:div w:id="9033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hri.ohchr.org/en/document/bce6ab3a-09bf-4dd0-afd0-1889cdac0dec" TargetMode="External"/><Relationship Id="rId13" Type="http://schemas.openxmlformats.org/officeDocument/2006/relationships/hyperlink" Target="https://uhri.ohchr.org/en/document/0743107c-e04f-4f5d-b35f-2df646393417" TargetMode="External"/><Relationship Id="rId18" Type="http://schemas.openxmlformats.org/officeDocument/2006/relationships/hyperlink" Target="https://uhri.ohchr.org/en/document/0743107c-e04f-4f5d-b35f-2df646393417" TargetMode="External"/><Relationship Id="rId26" Type="http://schemas.openxmlformats.org/officeDocument/2006/relationships/hyperlink" Target="https://uhri.ohchr.org/en/document/0743107c-e04f-4f5d-b35f-2df646393417" TargetMode="External"/><Relationship Id="rId3" Type="http://schemas.openxmlformats.org/officeDocument/2006/relationships/webSettings" Target="webSettings.xml"/><Relationship Id="rId21" Type="http://schemas.openxmlformats.org/officeDocument/2006/relationships/hyperlink" Target="https://uhri.ohchr.org/en/document/bce6ab3a-09bf-4dd0-afd0-1889cdac0dec" TargetMode="External"/><Relationship Id="rId7" Type="http://schemas.openxmlformats.org/officeDocument/2006/relationships/hyperlink" Target="https://uhri.ohchr.org/en/document/0743107c-e04f-4f5d-b35f-2df646393417" TargetMode="External"/><Relationship Id="rId12" Type="http://schemas.openxmlformats.org/officeDocument/2006/relationships/hyperlink" Target="https://uhri.ohchr.org/en/document/0743107c-e04f-4f5d-b35f-2df646393417" TargetMode="External"/><Relationship Id="rId17" Type="http://schemas.openxmlformats.org/officeDocument/2006/relationships/hyperlink" Target="https://uhri.ohchr.org/en/document/bce6ab3a-09bf-4dd0-afd0-1889cdac0dec" TargetMode="External"/><Relationship Id="rId25" Type="http://schemas.openxmlformats.org/officeDocument/2006/relationships/hyperlink" Target="https://uhri.ohchr.org/en/document/48c41eb8-e4dd-4376-9136-3fe6e9142e87" TargetMode="External"/><Relationship Id="rId2" Type="http://schemas.openxmlformats.org/officeDocument/2006/relationships/settings" Target="settings.xml"/><Relationship Id="rId16" Type="http://schemas.openxmlformats.org/officeDocument/2006/relationships/hyperlink" Target="https://uhri.ohchr.org/en/document/0743107c-e04f-4f5d-b35f-2df646393417" TargetMode="External"/><Relationship Id="rId20" Type="http://schemas.openxmlformats.org/officeDocument/2006/relationships/hyperlink" Target="https://uhri.ohchr.org/en/document/48c41eb8-e4dd-4376-9136-3fe6e9142e87" TargetMode="External"/><Relationship Id="rId1" Type="http://schemas.openxmlformats.org/officeDocument/2006/relationships/styles" Target="styles.xml"/><Relationship Id="rId6" Type="http://schemas.openxmlformats.org/officeDocument/2006/relationships/hyperlink" Target="https://uhri.ohchr.org/en/document/bce6ab3a-09bf-4dd0-afd0-1889cdac0dec" TargetMode="External"/><Relationship Id="rId11" Type="http://schemas.openxmlformats.org/officeDocument/2006/relationships/hyperlink" Target="https://uhri.ohchr.org/en/document/bce6ab3a-09bf-4dd0-afd0-1889cdac0dec" TargetMode="External"/><Relationship Id="rId24" Type="http://schemas.openxmlformats.org/officeDocument/2006/relationships/hyperlink" Target="https://uhri.ohchr.org/en/document/0743107c-e04f-4f5d-b35f-2df646393417" TargetMode="External"/><Relationship Id="rId5" Type="http://schemas.openxmlformats.org/officeDocument/2006/relationships/hyperlink" Target="https://uhri.ohchr.org/en/document/bce6ab3a-09bf-4dd0-afd0-1889cdac0dec" TargetMode="External"/><Relationship Id="rId15" Type="http://schemas.openxmlformats.org/officeDocument/2006/relationships/hyperlink" Target="https://uhri.ohchr.org/en/document/bce6ab3a-09bf-4dd0-afd0-1889cdac0dec" TargetMode="External"/><Relationship Id="rId23" Type="http://schemas.openxmlformats.org/officeDocument/2006/relationships/hyperlink" Target="https://uhri.ohchr.org/en/document/48c41eb8-e4dd-4376-9136-3fe6e9142e87" TargetMode="External"/><Relationship Id="rId28" Type="http://schemas.openxmlformats.org/officeDocument/2006/relationships/theme" Target="theme/theme1.xml"/><Relationship Id="rId10" Type="http://schemas.openxmlformats.org/officeDocument/2006/relationships/hyperlink" Target="https://uhri.ohchr.org/en/document/0743107c-e04f-4f5d-b35f-2df646393417" TargetMode="External"/><Relationship Id="rId19" Type="http://schemas.openxmlformats.org/officeDocument/2006/relationships/hyperlink" Target="https://uhri.ohchr.org/en/document/bce6ab3a-09bf-4dd0-afd0-1889cdac0dec" TargetMode="External"/><Relationship Id="rId4" Type="http://schemas.openxmlformats.org/officeDocument/2006/relationships/hyperlink" Target="https://uhri.ohchr.org/en/document/48c41eb8-e4dd-4376-9136-3fe6e9142e87" TargetMode="External"/><Relationship Id="rId9" Type="http://schemas.openxmlformats.org/officeDocument/2006/relationships/hyperlink" Target="https://uhri.ohchr.org/en/document/0743107c-e04f-4f5d-b35f-2df646393417" TargetMode="External"/><Relationship Id="rId14" Type="http://schemas.openxmlformats.org/officeDocument/2006/relationships/hyperlink" Target="https://uhri.ohchr.org/en/document/0743107c-e04f-4f5d-b35f-2df646393417" TargetMode="External"/><Relationship Id="rId22" Type="http://schemas.openxmlformats.org/officeDocument/2006/relationships/hyperlink" Target="https://uhri.ohchr.org/en/document/bce6ab3a-09bf-4dd0-afd0-1889cdac0de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2204</Words>
  <Characters>12568</Characters>
  <Application>Microsoft Office Word</Application>
  <DocSecurity>0</DocSecurity>
  <Lines>104</Lines>
  <Paragraphs>29</Paragraphs>
  <ScaleCrop>false</ScaleCrop>
  <Company/>
  <LinksUpToDate>false</LinksUpToDate>
  <CharactersWithSpaces>14743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dc:creator>
  <cp:lastModifiedBy>HILARY</cp:lastModifiedBy>
  <cp:revision>1</cp:revision>
  <dcterms:created xsi:type="dcterms:W3CDTF">2022-10-28T21:15:00Z</dcterms:created>
  <dcterms:modified xsi:type="dcterms:W3CDTF">2022-10-28T21:17:00Z</dcterms:modified>
</cp:coreProperties>
</file>