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6EE8" w14:textId="4982250F" w:rsidR="002629E9" w:rsidRPr="000577A7" w:rsidRDefault="00811EDA" w:rsidP="00A25EE3">
      <w:pPr>
        <w:ind w:hanging="540"/>
        <w:sectPr w:rsidR="002629E9" w:rsidRPr="000577A7" w:rsidSect="002629E9">
          <w:footerReference w:type="even" r:id="rId8"/>
          <w:pgSz w:w="11900" w:h="16840"/>
          <w:pgMar w:top="1440" w:right="1440" w:bottom="1440" w:left="1440" w:header="720" w:footer="720" w:gutter="0"/>
          <w:cols w:space="720"/>
          <w:docGrid w:linePitch="360"/>
        </w:sectPr>
      </w:pPr>
      <w:r w:rsidRPr="000577A7">
        <w:rPr>
          <w:noProof/>
        </w:rPr>
        <mc:AlternateContent>
          <mc:Choice Requires="wps">
            <w:drawing>
              <wp:anchor distT="0" distB="0" distL="114300" distR="114300" simplePos="0" relativeHeight="251659264" behindDoc="0" locked="0" layoutInCell="1" allowOverlap="1" wp14:anchorId="6FC44649" wp14:editId="5D5F0B20">
                <wp:simplePos x="0" y="0"/>
                <wp:positionH relativeFrom="margin">
                  <wp:posOffset>285750</wp:posOffset>
                </wp:positionH>
                <wp:positionV relativeFrom="paragraph">
                  <wp:posOffset>4330700</wp:posOffset>
                </wp:positionV>
                <wp:extent cx="5245100" cy="2276475"/>
                <wp:effectExtent l="0" t="0" r="12700" b="9525"/>
                <wp:wrapSquare wrapText="bothSides"/>
                <wp:docPr id="1" name="Text Box 1"/>
                <wp:cNvGraphicFramePr/>
                <a:graphic xmlns:a="http://schemas.openxmlformats.org/drawingml/2006/main">
                  <a:graphicData uri="http://schemas.microsoft.com/office/word/2010/wordprocessingShape">
                    <wps:wsp>
                      <wps:cNvSpPr txBox="1"/>
                      <wps:spPr>
                        <a:xfrm>
                          <a:off x="0" y="0"/>
                          <a:ext cx="5245100" cy="22764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5504CC" w14:textId="0123C0C6" w:rsidR="00CB2462" w:rsidRPr="00CB2462" w:rsidRDefault="00CB2462" w:rsidP="00300880">
                            <w:pPr>
                              <w:widowControl w:val="0"/>
                              <w:jc w:val="center"/>
                              <w:rPr>
                                <w:rFonts w:ascii="Helvetica" w:eastAsia="Times New Roman" w:hAnsi="Helvetica" w:cs="Times New Roman"/>
                                <w:b/>
                                <w:sz w:val="28"/>
                                <w:szCs w:val="28"/>
                                <w:lang w:val="en-GB"/>
                              </w:rPr>
                            </w:pPr>
                          </w:p>
                          <w:p w14:paraId="54E77A52" w14:textId="77777777" w:rsidR="001C4C96" w:rsidRPr="007E6908" w:rsidRDefault="001C4C96" w:rsidP="007E6908">
                            <w:pPr>
                              <w:jc w:val="center"/>
                              <w:rPr>
                                <w:rFonts w:ascii="Calibri" w:eastAsia="Times New Roman" w:hAnsi="Calibri"/>
                                <w:sz w:val="24"/>
                                <w:szCs w:val="28"/>
                              </w:rPr>
                            </w:pPr>
                            <w:r w:rsidRPr="007E6908">
                              <w:rPr>
                                <w:rFonts w:eastAsia="Times New Roman"/>
                                <w:b/>
                                <w:bCs/>
                                <w:sz w:val="24"/>
                                <w:szCs w:val="28"/>
                              </w:rPr>
                              <w:t>Response to the call for contributions of the Special Rapporteur on Freedom of Religion or Belief on the Protection of Freedom of Thought</w:t>
                            </w:r>
                          </w:p>
                          <w:p w14:paraId="4F4C836A" w14:textId="77777777" w:rsidR="001C4C96" w:rsidRDefault="001C4C96" w:rsidP="001C4C96">
                            <w:pPr>
                              <w:jc w:val="center"/>
                              <w:rPr>
                                <w:rFonts w:eastAsia="Times New Roman"/>
                              </w:rPr>
                            </w:pPr>
                          </w:p>
                          <w:p w14:paraId="3915C8CE" w14:textId="6AFD5768" w:rsidR="00300880" w:rsidRDefault="00300880" w:rsidP="00300880">
                            <w:pPr>
                              <w:widowControl w:val="0"/>
                              <w:jc w:val="center"/>
                              <w:rPr>
                                <w:rFonts w:ascii="Helvetica" w:eastAsia="Times New Roman" w:hAnsi="Helvetica" w:cs="Times New Roman"/>
                                <w:b/>
                                <w:sz w:val="28"/>
                                <w:szCs w:val="28"/>
                              </w:rPr>
                            </w:pPr>
                          </w:p>
                          <w:p w14:paraId="140F156A" w14:textId="77777777" w:rsidR="007E6908" w:rsidRDefault="007E6908" w:rsidP="00300880">
                            <w:pPr>
                              <w:widowControl w:val="0"/>
                              <w:jc w:val="center"/>
                              <w:rPr>
                                <w:rFonts w:ascii="Helvetica" w:eastAsia="Times New Roman" w:hAnsi="Helvetica" w:cs="Times New Roman"/>
                                <w:b/>
                                <w:sz w:val="28"/>
                                <w:szCs w:val="28"/>
                              </w:rPr>
                            </w:pPr>
                          </w:p>
                          <w:p w14:paraId="74D10D9E" w14:textId="36297041" w:rsidR="00811EDA" w:rsidRPr="007E6908" w:rsidRDefault="000577A7" w:rsidP="00300880">
                            <w:pPr>
                              <w:widowControl w:val="0"/>
                              <w:jc w:val="center"/>
                              <w:rPr>
                                <w:rFonts w:ascii="Helvetica" w:eastAsia="Times New Roman" w:hAnsi="Helvetica" w:cs="Times New Roman"/>
                                <w:b/>
                                <w:sz w:val="26"/>
                                <w:szCs w:val="26"/>
                              </w:rPr>
                            </w:pPr>
                            <w:r w:rsidRPr="007E6908">
                              <w:rPr>
                                <w:rFonts w:ascii="Helvetica" w:eastAsia="Times New Roman" w:hAnsi="Helvetica" w:cs="Times New Roman"/>
                                <w:b/>
                                <w:sz w:val="26"/>
                                <w:szCs w:val="26"/>
                              </w:rPr>
                              <w:t>30 June</w:t>
                            </w:r>
                            <w:r w:rsidR="00087F28" w:rsidRPr="007E6908">
                              <w:rPr>
                                <w:rFonts w:ascii="Helvetica" w:eastAsia="Times New Roman" w:hAnsi="Helvetica" w:cs="Times New Roman"/>
                                <w:b/>
                                <w:sz w:val="26"/>
                                <w:szCs w:val="26"/>
                              </w:rPr>
                              <w:t xml:space="preserve"> 202</w:t>
                            </w:r>
                            <w:r w:rsidRPr="007E6908">
                              <w:rPr>
                                <w:rFonts w:ascii="Helvetica" w:eastAsia="Times New Roman" w:hAnsi="Helvetica" w:cs="Times New Roman"/>
                                <w:b/>
                                <w:sz w:val="26"/>
                                <w:szCs w:val="26"/>
                              </w:rPr>
                              <w:t>1</w:t>
                            </w:r>
                            <w:r w:rsidR="00811EDA" w:rsidRPr="007E6908">
                              <w:rPr>
                                <w:rFonts w:ascii="Helvetica" w:eastAsia="Times New Roman" w:hAnsi="Helvetica" w:cs="Times New Roman"/>
                                <w:b/>
                                <w:sz w:val="26"/>
                                <w:szCs w:val="26"/>
                              </w:rPr>
                              <w:t>, Geneva, Switzerland</w:t>
                            </w:r>
                          </w:p>
                          <w:p w14:paraId="5B240485" w14:textId="77777777" w:rsidR="004174D9" w:rsidRDefault="004174D9" w:rsidP="00300880">
                            <w:pPr>
                              <w:widowControl w:val="0"/>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44649" id="_x0000_t202" coordsize="21600,21600" o:spt="202" path="m,l,21600r21600,l21600,xe">
                <v:stroke joinstyle="miter"/>
                <v:path gradientshapeok="t" o:connecttype="rect"/>
              </v:shapetype>
              <v:shape id="Text Box 1" o:spid="_x0000_s1026" type="#_x0000_t202" style="position:absolute;margin-left:22.5pt;margin-top:341pt;width:413pt;height:17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" filled="f" stroked="f">
                <v:textbox inset="0,0,0,0">
                  <w:txbxContent>
                    <w:p w14:paraId="355504CC" w14:textId="0123C0C6" w:rsidR="00CB2462" w:rsidRPr="00CB2462" w:rsidRDefault="00CB2462" w:rsidP="00300880">
                      <w:pPr>
                        <w:widowControl w:val="0"/>
                        <w:jc w:val="center"/>
                        <w:rPr>
                          <w:rFonts w:ascii="Helvetica" w:eastAsia="Times New Roman" w:hAnsi="Helvetica" w:cs="Times New Roman"/>
                          <w:b/>
                          <w:sz w:val="28"/>
                          <w:szCs w:val="28"/>
                          <w:lang w:val="en-GB"/>
                        </w:rPr>
                      </w:pPr>
                    </w:p>
                    <w:p w14:paraId="54E77A52" w14:textId="77777777" w:rsidR="001C4C96" w:rsidRPr="007E6908" w:rsidRDefault="001C4C96" w:rsidP="007E6908">
                      <w:pPr>
                        <w:jc w:val="center"/>
                        <w:rPr>
                          <w:rFonts w:ascii="Calibri" w:eastAsia="Times New Roman" w:hAnsi="Calibri"/>
                          <w:sz w:val="24"/>
                          <w:szCs w:val="28"/>
                        </w:rPr>
                      </w:pPr>
                      <w:r w:rsidRPr="007E6908">
                        <w:rPr>
                          <w:rFonts w:eastAsia="Times New Roman"/>
                          <w:b/>
                          <w:bCs/>
                          <w:sz w:val="24"/>
                          <w:szCs w:val="28"/>
                        </w:rPr>
                        <w:t>Response to the call for contributions of the Special Rapporteur on Freedom of Religion or Belief on the Protection of Freedom of Thought</w:t>
                      </w:r>
                    </w:p>
                    <w:p w14:paraId="4F4C836A" w14:textId="77777777" w:rsidR="001C4C96" w:rsidRDefault="001C4C96" w:rsidP="001C4C96">
                      <w:pPr>
                        <w:jc w:val="center"/>
                        <w:rPr>
                          <w:rFonts w:eastAsia="Times New Roman"/>
                        </w:rPr>
                      </w:pPr>
                    </w:p>
                    <w:p w14:paraId="3915C8CE" w14:textId="6AFD5768" w:rsidR="00300880" w:rsidRDefault="00300880" w:rsidP="00300880">
                      <w:pPr>
                        <w:widowControl w:val="0"/>
                        <w:jc w:val="center"/>
                        <w:rPr>
                          <w:rFonts w:ascii="Helvetica" w:eastAsia="Times New Roman" w:hAnsi="Helvetica" w:cs="Times New Roman"/>
                          <w:b/>
                          <w:sz w:val="28"/>
                          <w:szCs w:val="28"/>
                        </w:rPr>
                      </w:pPr>
                    </w:p>
                    <w:p w14:paraId="140F156A" w14:textId="77777777" w:rsidR="007E6908" w:rsidRDefault="007E6908" w:rsidP="00300880">
                      <w:pPr>
                        <w:widowControl w:val="0"/>
                        <w:jc w:val="center"/>
                        <w:rPr>
                          <w:rFonts w:ascii="Helvetica" w:eastAsia="Times New Roman" w:hAnsi="Helvetica" w:cs="Times New Roman"/>
                          <w:b/>
                          <w:sz w:val="28"/>
                          <w:szCs w:val="28"/>
                        </w:rPr>
                      </w:pPr>
                    </w:p>
                    <w:p w14:paraId="74D10D9E" w14:textId="36297041" w:rsidR="00811EDA" w:rsidRPr="007E6908" w:rsidRDefault="000577A7" w:rsidP="00300880">
                      <w:pPr>
                        <w:widowControl w:val="0"/>
                        <w:jc w:val="center"/>
                        <w:rPr>
                          <w:rFonts w:ascii="Helvetica" w:eastAsia="Times New Roman" w:hAnsi="Helvetica" w:cs="Times New Roman"/>
                          <w:b/>
                          <w:sz w:val="26"/>
                          <w:szCs w:val="26"/>
                        </w:rPr>
                      </w:pPr>
                      <w:r w:rsidRPr="007E6908">
                        <w:rPr>
                          <w:rFonts w:ascii="Helvetica" w:eastAsia="Times New Roman" w:hAnsi="Helvetica" w:cs="Times New Roman"/>
                          <w:b/>
                          <w:sz w:val="26"/>
                          <w:szCs w:val="26"/>
                        </w:rPr>
                        <w:t>30 June</w:t>
                      </w:r>
                      <w:r w:rsidR="00087F28" w:rsidRPr="007E6908">
                        <w:rPr>
                          <w:rFonts w:ascii="Helvetica" w:eastAsia="Times New Roman" w:hAnsi="Helvetica" w:cs="Times New Roman"/>
                          <w:b/>
                          <w:sz w:val="26"/>
                          <w:szCs w:val="26"/>
                        </w:rPr>
                        <w:t xml:space="preserve"> 202</w:t>
                      </w:r>
                      <w:r w:rsidRPr="007E6908">
                        <w:rPr>
                          <w:rFonts w:ascii="Helvetica" w:eastAsia="Times New Roman" w:hAnsi="Helvetica" w:cs="Times New Roman"/>
                          <w:b/>
                          <w:sz w:val="26"/>
                          <w:szCs w:val="26"/>
                        </w:rPr>
                        <w:t>1</w:t>
                      </w:r>
                      <w:r w:rsidR="00811EDA" w:rsidRPr="007E6908">
                        <w:rPr>
                          <w:rFonts w:ascii="Helvetica" w:eastAsia="Times New Roman" w:hAnsi="Helvetica" w:cs="Times New Roman"/>
                          <w:b/>
                          <w:sz w:val="26"/>
                          <w:szCs w:val="26"/>
                        </w:rPr>
                        <w:t>, Geneva, Switzerland</w:t>
                      </w:r>
                    </w:p>
                    <w:p w14:paraId="5B240485" w14:textId="77777777" w:rsidR="004174D9" w:rsidRDefault="004174D9" w:rsidP="00300880">
                      <w:pPr>
                        <w:widowControl w:val="0"/>
                        <w:jc w:val="center"/>
                      </w:pPr>
                    </w:p>
                  </w:txbxContent>
                </v:textbox>
                <w10:wrap type="square" anchorx="margin"/>
              </v:shape>
            </w:pict>
          </mc:Fallback>
        </mc:AlternateContent>
      </w:r>
      <w:r w:rsidR="00CB2462" w:rsidRPr="000577A7">
        <w:rPr>
          <w:noProof/>
        </w:rPr>
        <mc:AlternateContent>
          <mc:Choice Requires="wps">
            <w:drawing>
              <wp:anchor distT="0" distB="0" distL="114300" distR="114300" simplePos="0" relativeHeight="251670528" behindDoc="0" locked="0" layoutInCell="1" allowOverlap="1" wp14:anchorId="106E9D7C" wp14:editId="6D6524DC">
                <wp:simplePos x="0" y="0"/>
                <wp:positionH relativeFrom="margin">
                  <wp:align>center</wp:align>
                </wp:positionH>
                <wp:positionV relativeFrom="paragraph">
                  <wp:posOffset>3515995</wp:posOffset>
                </wp:positionV>
                <wp:extent cx="4690745" cy="490855"/>
                <wp:effectExtent l="0" t="0" r="14605" b="4445"/>
                <wp:wrapSquare wrapText="bothSides"/>
                <wp:docPr id="14" name="Text Box 14"/>
                <wp:cNvGraphicFramePr/>
                <a:graphic xmlns:a="http://schemas.openxmlformats.org/drawingml/2006/main">
                  <a:graphicData uri="http://schemas.microsoft.com/office/word/2010/wordprocessingShape">
                    <wps:wsp>
                      <wps:cNvSpPr txBox="1"/>
                      <wps:spPr>
                        <a:xfrm>
                          <a:off x="0" y="0"/>
                          <a:ext cx="4690745" cy="490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233FA4" w14:textId="319D5804" w:rsidR="00306485" w:rsidRPr="004927D2" w:rsidRDefault="00300880" w:rsidP="007C68AB">
                            <w:pPr>
                              <w:jc w:val="center"/>
                              <w:rPr>
                                <w:rFonts w:ascii="Helvetica" w:eastAsia="Times New Roman" w:hAnsi="Helvetica" w:cs="Times New Roman"/>
                                <w:sz w:val="28"/>
                                <w:szCs w:val="28"/>
                              </w:rPr>
                            </w:pPr>
                            <w:r>
                              <w:rPr>
                                <w:rFonts w:ascii="Helvetica" w:eastAsia="Times New Roman" w:hAnsi="Helvetica" w:cs="Times New Roman"/>
                                <w:sz w:val="28"/>
                                <w:szCs w:val="28"/>
                              </w:rPr>
                              <w:t>SUBMISSION TO THE SPECIAL RAPPORTEUR ON FREEDOM OF RELIGION OR BELIEF</w:t>
                            </w:r>
                          </w:p>
                          <w:p w14:paraId="3CE75D20" w14:textId="77777777" w:rsidR="00306485" w:rsidRPr="004927D2" w:rsidRDefault="00306485" w:rsidP="00DF2E32">
                            <w:pPr>
                              <w:widowControl w:val="0"/>
                              <w:spacing w:line="1040" w:lineRule="exact"/>
                              <w:jc w:val="center"/>
                              <w:rPr>
                                <w:sz w:val="28"/>
                                <w:szCs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E9D7C" id="Text Box 14" o:spid="_x0000_s1027" type="#_x0000_t202" style="position:absolute;margin-left:0;margin-top:276.85pt;width:369.35pt;height:38.6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" filled="f" stroked="f">
                <v:textbox inset="0,0,0,0">
                  <w:txbxContent>
                    <w:p w14:paraId="46233FA4" w14:textId="319D5804" w:rsidR="00306485" w:rsidRPr="004927D2" w:rsidRDefault="00300880" w:rsidP="007C68AB">
                      <w:pPr>
                        <w:jc w:val="center"/>
                        <w:rPr>
                          <w:rFonts w:ascii="Helvetica" w:eastAsia="Times New Roman" w:hAnsi="Helvetica" w:cs="Times New Roman"/>
                          <w:sz w:val="28"/>
                          <w:szCs w:val="28"/>
                        </w:rPr>
                      </w:pPr>
                      <w:r>
                        <w:rPr>
                          <w:rFonts w:ascii="Helvetica" w:eastAsia="Times New Roman" w:hAnsi="Helvetica" w:cs="Times New Roman"/>
                          <w:sz w:val="28"/>
                          <w:szCs w:val="28"/>
                        </w:rPr>
                        <w:t>SUBMISSION TO THE SPECIAL RAPPORTEUR ON FREEDOM OF RELIGION OR BELIEF</w:t>
                      </w:r>
                    </w:p>
                    <w:p w14:paraId="3CE75D20" w14:textId="77777777" w:rsidR="00306485" w:rsidRPr="004927D2" w:rsidRDefault="00306485" w:rsidP="00DF2E32">
                      <w:pPr>
                        <w:widowControl w:val="0"/>
                        <w:spacing w:line="1040" w:lineRule="exact"/>
                        <w:jc w:val="center"/>
                        <w:rPr>
                          <w:sz w:val="28"/>
                          <w:szCs w:val="28"/>
                        </w:rPr>
                      </w:pPr>
                    </w:p>
                  </w:txbxContent>
                </v:textbox>
                <w10:wrap type="square" anchorx="margin"/>
              </v:shape>
            </w:pict>
          </mc:Fallback>
        </mc:AlternateContent>
      </w:r>
      <w:r w:rsidR="00925BD5" w:rsidRPr="000577A7">
        <w:rPr>
          <w:noProof/>
        </w:rPr>
        <mc:AlternateContent>
          <mc:Choice Requires="wps">
            <w:drawing>
              <wp:anchor distT="0" distB="0" distL="114300" distR="114300" simplePos="0" relativeHeight="251666432" behindDoc="0" locked="0" layoutInCell="1" allowOverlap="1" wp14:anchorId="5F10A152" wp14:editId="023320A5">
                <wp:simplePos x="0" y="0"/>
                <wp:positionH relativeFrom="column">
                  <wp:posOffset>53340</wp:posOffset>
                </wp:positionH>
                <wp:positionV relativeFrom="paragraph">
                  <wp:posOffset>7467600</wp:posOffset>
                </wp:positionV>
                <wp:extent cx="5600700" cy="1656080"/>
                <wp:effectExtent l="0" t="0" r="0" b="1270"/>
                <wp:wrapSquare wrapText="bothSides"/>
                <wp:docPr id="7" name="Text Box 7"/>
                <wp:cNvGraphicFramePr/>
                <a:graphic xmlns:a="http://schemas.openxmlformats.org/drawingml/2006/main">
                  <a:graphicData uri="http://schemas.microsoft.com/office/word/2010/wordprocessingShape">
                    <wps:wsp>
                      <wps:cNvSpPr txBox="1"/>
                      <wps:spPr>
                        <a:xfrm>
                          <a:off x="0" y="0"/>
                          <a:ext cx="5600700" cy="1656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CEA70B" w14:textId="77777777" w:rsidR="00306485" w:rsidRPr="00D367A2" w:rsidRDefault="00306485" w:rsidP="00306485">
                            <w:pPr>
                              <w:jc w:val="center"/>
                              <w:rPr>
                                <w:rFonts w:ascii="Helvetica" w:eastAsia="Times New Roman" w:hAnsi="Helvetica" w:cs="Times New Roman"/>
                                <w:b/>
                                <w:szCs w:val="22"/>
                                <w:lang w:val="fr-CH"/>
                              </w:rPr>
                            </w:pPr>
                            <w:proofErr w:type="spellStart"/>
                            <w:r w:rsidRPr="00D367A2">
                              <w:rPr>
                                <w:rFonts w:ascii="Helvetica" w:eastAsia="Times New Roman" w:hAnsi="Helvetica" w:cs="Times New Roman"/>
                                <w:b/>
                                <w:szCs w:val="22"/>
                                <w:lang w:val="fr-CH"/>
                              </w:rPr>
                              <w:t>Submission</w:t>
                            </w:r>
                            <w:proofErr w:type="spellEnd"/>
                            <w:r w:rsidRPr="00D367A2">
                              <w:rPr>
                                <w:rFonts w:ascii="Helvetica" w:eastAsia="Times New Roman" w:hAnsi="Helvetica" w:cs="Times New Roman"/>
                                <w:b/>
                                <w:szCs w:val="22"/>
                                <w:lang w:val="fr-CH"/>
                              </w:rPr>
                              <w:t xml:space="preserve"> </w:t>
                            </w:r>
                            <w:proofErr w:type="gramStart"/>
                            <w:r w:rsidRPr="00D367A2">
                              <w:rPr>
                                <w:rFonts w:ascii="Helvetica" w:eastAsia="Times New Roman" w:hAnsi="Helvetica" w:cs="Times New Roman"/>
                                <w:b/>
                                <w:szCs w:val="22"/>
                                <w:lang w:val="fr-CH"/>
                              </w:rPr>
                              <w:t>by:</w:t>
                            </w:r>
                            <w:proofErr w:type="gramEnd"/>
                            <w:r w:rsidRPr="00D367A2">
                              <w:rPr>
                                <w:rFonts w:ascii="Helvetica" w:eastAsia="Times New Roman" w:hAnsi="Helvetica" w:cs="Times New Roman"/>
                                <w:b/>
                                <w:szCs w:val="22"/>
                                <w:lang w:val="fr-CH"/>
                              </w:rPr>
                              <w:t xml:space="preserve"> </w:t>
                            </w:r>
                          </w:p>
                          <w:p w14:paraId="35EB3C25" w14:textId="77777777" w:rsidR="00306485" w:rsidRPr="00D367A2" w:rsidRDefault="00306485" w:rsidP="00306485">
                            <w:pPr>
                              <w:jc w:val="center"/>
                              <w:rPr>
                                <w:rFonts w:ascii="Helvetica" w:eastAsia="Times New Roman" w:hAnsi="Helvetica" w:cs="Times New Roman"/>
                                <w:b/>
                                <w:szCs w:val="22"/>
                                <w:lang w:val="fr-CH"/>
                              </w:rPr>
                            </w:pPr>
                          </w:p>
                          <w:p w14:paraId="525E0AC2" w14:textId="5406B4FA" w:rsidR="00CB2462" w:rsidRPr="007E6908" w:rsidRDefault="00306485" w:rsidP="00EF6A44">
                            <w:pPr>
                              <w:spacing w:line="276" w:lineRule="auto"/>
                              <w:jc w:val="center"/>
                              <w:rPr>
                                <w:rFonts w:cs="Arial"/>
                                <w:lang w:val="fr-FR"/>
                              </w:rPr>
                            </w:pPr>
                            <w:r w:rsidRPr="00D367A2">
                              <w:rPr>
                                <w:rFonts w:ascii="Helvetica" w:eastAsia="Times New Roman" w:hAnsi="Helvetica" w:cs="Times New Roman"/>
                                <w:szCs w:val="22"/>
                                <w:lang w:val="fr-CH"/>
                              </w:rPr>
                              <w:t xml:space="preserve">ADF International </w:t>
                            </w:r>
                            <w:r w:rsidR="00925BD5" w:rsidRPr="00D367A2">
                              <w:rPr>
                                <w:rFonts w:ascii="Helvetica" w:eastAsia="Times New Roman" w:hAnsi="Helvetica" w:cs="Times New Roman"/>
                                <w:szCs w:val="22"/>
                                <w:lang w:val="fr-CH"/>
                              </w:rPr>
                              <w:br/>
                            </w:r>
                            <w:r w:rsidR="00EF6A44" w:rsidRPr="00EF6A44">
                              <w:rPr>
                                <w:rFonts w:cs="Arial"/>
                                <w:lang w:val="de-DE"/>
                              </w:rPr>
                              <w:t>Rue Pré-de-la-Bichette 1</w:t>
                            </w:r>
                            <w:r w:rsidR="00EF6A44" w:rsidRPr="007E6908">
                              <w:rPr>
                                <w:rFonts w:cs="Arial"/>
                                <w:lang w:val="fr-FR"/>
                              </w:rPr>
                              <w:t> </w:t>
                            </w:r>
                          </w:p>
                          <w:p w14:paraId="7CCFA1F2" w14:textId="2FE4217E" w:rsidR="00CB2462" w:rsidRPr="00D367A2" w:rsidRDefault="00CB2462" w:rsidP="00CB2462">
                            <w:pPr>
                              <w:spacing w:line="276" w:lineRule="auto"/>
                              <w:jc w:val="center"/>
                              <w:rPr>
                                <w:rFonts w:cs="Arial"/>
                                <w:lang w:val="en-GB"/>
                              </w:rPr>
                            </w:pPr>
                            <w:r w:rsidRPr="00D367A2">
                              <w:rPr>
                                <w:rFonts w:cs="Arial"/>
                                <w:lang w:val="en-GB"/>
                              </w:rPr>
                              <w:t>120</w:t>
                            </w:r>
                            <w:r w:rsidR="00EF6A44">
                              <w:rPr>
                                <w:rFonts w:cs="Arial"/>
                                <w:lang w:val="en-GB"/>
                              </w:rPr>
                              <w:t>2</w:t>
                            </w:r>
                            <w:r w:rsidRPr="00D367A2">
                              <w:rPr>
                                <w:rFonts w:cs="Arial"/>
                                <w:lang w:val="en-GB"/>
                              </w:rPr>
                              <w:t xml:space="preserve"> Geneva, Switzerland</w:t>
                            </w:r>
                          </w:p>
                          <w:p w14:paraId="4A077466" w14:textId="2D41DA3C" w:rsidR="00306485" w:rsidRPr="00925BD5" w:rsidRDefault="00306485" w:rsidP="00CB2462">
                            <w:pPr>
                              <w:jc w:val="center"/>
                              <w:rPr>
                                <w:rFonts w:ascii="Helvetica" w:eastAsia="Times New Roman" w:hAnsi="Helvetica" w:cs="Times New Roman"/>
                                <w:szCs w:val="22"/>
                              </w:rPr>
                            </w:pPr>
                          </w:p>
                          <w:p w14:paraId="1B095821" w14:textId="14DD2514" w:rsidR="00306485" w:rsidRPr="00925BD5" w:rsidRDefault="00306485" w:rsidP="00306485">
                            <w:pPr>
                              <w:jc w:val="center"/>
                              <w:rPr>
                                <w:rFonts w:ascii="Helvetica" w:eastAsia="Times New Roman" w:hAnsi="Helvetica" w:cs="Times New Roman"/>
                                <w:szCs w:val="22"/>
                              </w:rPr>
                            </w:pPr>
                            <w:r w:rsidRPr="00925BD5">
                              <w:rPr>
                                <w:rFonts w:ascii="Helvetica" w:eastAsia="Times New Roman" w:hAnsi="Helvetica" w:cs="Times New Roman"/>
                                <w:szCs w:val="22"/>
                              </w:rPr>
                              <w:t xml:space="preserve">Web: </w:t>
                            </w:r>
                            <w:r w:rsidRPr="00CB2462">
                              <w:rPr>
                                <w:rFonts w:ascii="Helvetica" w:eastAsia="Times New Roman" w:hAnsi="Helvetica" w:cs="Times New Roman"/>
                                <w:szCs w:val="22"/>
                              </w:rPr>
                              <w:t>www.ADFinternational.org</w:t>
                            </w:r>
                            <w:r w:rsidRPr="00925BD5">
                              <w:rPr>
                                <w:rFonts w:ascii="Helvetica" w:eastAsia="Times New Roman" w:hAnsi="Helvetica" w:cs="Times New Roman"/>
                                <w:szCs w:val="22"/>
                              </w:rPr>
                              <w:t xml:space="preserve"> </w:t>
                            </w:r>
                          </w:p>
                          <w:p w14:paraId="5086B31E" w14:textId="4C392260" w:rsidR="00306485" w:rsidRPr="00925BD5" w:rsidRDefault="00CB2462" w:rsidP="00306485">
                            <w:pPr>
                              <w:jc w:val="center"/>
                              <w:rPr>
                                <w:rFonts w:ascii="Helvetica" w:eastAsia="Times New Roman" w:hAnsi="Helvetica" w:cs="Times New Roman"/>
                                <w:szCs w:val="22"/>
                              </w:rPr>
                            </w:pPr>
                            <w:r>
                              <w:rPr>
                                <w:rFonts w:ascii="Helvetica" w:eastAsia="Times New Roman" w:hAnsi="Helvetica" w:cs="Times New Roman"/>
                                <w:szCs w:val="22"/>
                              </w:rPr>
                              <w:t xml:space="preserve">Email: </w:t>
                            </w:r>
                            <w:r w:rsidR="00811EDA">
                              <w:rPr>
                                <w:rFonts w:ascii="Helvetica" w:eastAsia="Times New Roman" w:hAnsi="Helvetica" w:cs="Times New Roman"/>
                                <w:szCs w:val="22"/>
                              </w:rPr>
                              <w:t>UN</w:t>
                            </w:r>
                            <w:r w:rsidR="00306485" w:rsidRPr="00925BD5">
                              <w:rPr>
                                <w:rFonts w:ascii="Helvetica" w:eastAsia="Times New Roman" w:hAnsi="Helvetica" w:cs="Times New Roman"/>
                                <w:szCs w:val="22"/>
                              </w:rPr>
                              <w:t>@ADFinternational.org</w:t>
                            </w:r>
                          </w:p>
                          <w:p w14:paraId="5A926A87" w14:textId="77777777" w:rsidR="00D440D1" w:rsidRPr="00B72F0E" w:rsidRDefault="00D440D1" w:rsidP="00D440D1">
                            <w:pPr>
                              <w:widowControl w:val="0"/>
                              <w:spacing w:line="480" w:lineRule="auto"/>
                              <w:rPr>
                                <w:rFonts w:ascii="Helvetica" w:hAnsi="Helvetica"/>
                                <w:b/>
                              </w:rPr>
                            </w:pPr>
                          </w:p>
                          <w:p w14:paraId="3E0D94B6" w14:textId="77777777" w:rsidR="00D440D1" w:rsidRDefault="00D440D1" w:rsidP="00D440D1">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A152" id="Text Box 7" o:spid="_x0000_s1028" type="#_x0000_t202" style="position:absolute;margin-left:4.2pt;margin-top:588pt;width:441pt;height:13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" filled="f" stroked="f">
                <v:textbox>
                  <w:txbxContent>
                    <w:p w14:paraId="7FCEA70B" w14:textId="77777777" w:rsidR="00306485" w:rsidRPr="00D367A2" w:rsidRDefault="00306485" w:rsidP="00306485">
                      <w:pPr>
                        <w:jc w:val="center"/>
                        <w:rPr>
                          <w:rFonts w:ascii="Helvetica" w:eastAsia="Times New Roman" w:hAnsi="Helvetica" w:cs="Times New Roman"/>
                          <w:b/>
                          <w:szCs w:val="22"/>
                          <w:lang w:val="fr-CH"/>
                        </w:rPr>
                      </w:pPr>
                      <w:proofErr w:type="spellStart"/>
                      <w:r w:rsidRPr="00D367A2">
                        <w:rPr>
                          <w:rFonts w:ascii="Helvetica" w:eastAsia="Times New Roman" w:hAnsi="Helvetica" w:cs="Times New Roman"/>
                          <w:b/>
                          <w:szCs w:val="22"/>
                          <w:lang w:val="fr-CH"/>
                        </w:rPr>
                        <w:t>Submission</w:t>
                      </w:r>
                      <w:proofErr w:type="spellEnd"/>
                      <w:r w:rsidRPr="00D367A2">
                        <w:rPr>
                          <w:rFonts w:ascii="Helvetica" w:eastAsia="Times New Roman" w:hAnsi="Helvetica" w:cs="Times New Roman"/>
                          <w:b/>
                          <w:szCs w:val="22"/>
                          <w:lang w:val="fr-CH"/>
                        </w:rPr>
                        <w:t xml:space="preserve"> </w:t>
                      </w:r>
                      <w:proofErr w:type="gramStart"/>
                      <w:r w:rsidRPr="00D367A2">
                        <w:rPr>
                          <w:rFonts w:ascii="Helvetica" w:eastAsia="Times New Roman" w:hAnsi="Helvetica" w:cs="Times New Roman"/>
                          <w:b/>
                          <w:szCs w:val="22"/>
                          <w:lang w:val="fr-CH"/>
                        </w:rPr>
                        <w:t>by:</w:t>
                      </w:r>
                      <w:proofErr w:type="gramEnd"/>
                      <w:r w:rsidRPr="00D367A2">
                        <w:rPr>
                          <w:rFonts w:ascii="Helvetica" w:eastAsia="Times New Roman" w:hAnsi="Helvetica" w:cs="Times New Roman"/>
                          <w:b/>
                          <w:szCs w:val="22"/>
                          <w:lang w:val="fr-CH"/>
                        </w:rPr>
                        <w:t xml:space="preserve"> </w:t>
                      </w:r>
                    </w:p>
                    <w:p w14:paraId="35EB3C25" w14:textId="77777777" w:rsidR="00306485" w:rsidRPr="00D367A2" w:rsidRDefault="00306485" w:rsidP="00306485">
                      <w:pPr>
                        <w:jc w:val="center"/>
                        <w:rPr>
                          <w:rFonts w:ascii="Helvetica" w:eastAsia="Times New Roman" w:hAnsi="Helvetica" w:cs="Times New Roman"/>
                          <w:b/>
                          <w:szCs w:val="22"/>
                          <w:lang w:val="fr-CH"/>
                        </w:rPr>
                      </w:pPr>
                    </w:p>
                    <w:p w14:paraId="525E0AC2" w14:textId="5406B4FA" w:rsidR="00CB2462" w:rsidRPr="007E6908" w:rsidRDefault="00306485" w:rsidP="00EF6A44">
                      <w:pPr>
                        <w:spacing w:line="276" w:lineRule="auto"/>
                        <w:jc w:val="center"/>
                        <w:rPr>
                          <w:rFonts w:cs="Arial"/>
                          <w:lang w:val="fr-FR"/>
                        </w:rPr>
                      </w:pPr>
                      <w:r w:rsidRPr="00D367A2">
                        <w:rPr>
                          <w:rFonts w:ascii="Helvetica" w:eastAsia="Times New Roman" w:hAnsi="Helvetica" w:cs="Times New Roman"/>
                          <w:szCs w:val="22"/>
                          <w:lang w:val="fr-CH"/>
                        </w:rPr>
                        <w:t xml:space="preserve">ADF International </w:t>
                      </w:r>
                      <w:r w:rsidR="00925BD5" w:rsidRPr="00D367A2">
                        <w:rPr>
                          <w:rFonts w:ascii="Helvetica" w:eastAsia="Times New Roman" w:hAnsi="Helvetica" w:cs="Times New Roman"/>
                          <w:szCs w:val="22"/>
                          <w:lang w:val="fr-CH"/>
                        </w:rPr>
                        <w:br/>
                      </w:r>
                      <w:r w:rsidR="00EF6A44" w:rsidRPr="00EF6A44">
                        <w:rPr>
                          <w:rFonts w:cs="Arial"/>
                          <w:lang w:val="de-DE"/>
                        </w:rPr>
                        <w:t>Rue Pré-de-la-Bichette 1</w:t>
                      </w:r>
                      <w:r w:rsidR="00EF6A44" w:rsidRPr="007E6908">
                        <w:rPr>
                          <w:rFonts w:cs="Arial"/>
                          <w:lang w:val="fr-FR"/>
                        </w:rPr>
                        <w:t> </w:t>
                      </w:r>
                    </w:p>
                    <w:p w14:paraId="7CCFA1F2" w14:textId="2FE4217E" w:rsidR="00CB2462" w:rsidRPr="00D367A2" w:rsidRDefault="00CB2462" w:rsidP="00CB2462">
                      <w:pPr>
                        <w:spacing w:line="276" w:lineRule="auto"/>
                        <w:jc w:val="center"/>
                        <w:rPr>
                          <w:rFonts w:cs="Arial"/>
                          <w:lang w:val="en-GB"/>
                        </w:rPr>
                      </w:pPr>
                      <w:r w:rsidRPr="00D367A2">
                        <w:rPr>
                          <w:rFonts w:cs="Arial"/>
                          <w:lang w:val="en-GB"/>
                        </w:rPr>
                        <w:t>120</w:t>
                      </w:r>
                      <w:r w:rsidR="00EF6A44">
                        <w:rPr>
                          <w:rFonts w:cs="Arial"/>
                          <w:lang w:val="en-GB"/>
                        </w:rPr>
                        <w:t>2</w:t>
                      </w:r>
                      <w:r w:rsidRPr="00D367A2">
                        <w:rPr>
                          <w:rFonts w:cs="Arial"/>
                          <w:lang w:val="en-GB"/>
                        </w:rPr>
                        <w:t xml:space="preserve"> Geneva, Switzerland</w:t>
                      </w:r>
                    </w:p>
                    <w:p w14:paraId="4A077466" w14:textId="2D41DA3C" w:rsidR="00306485" w:rsidRPr="00925BD5" w:rsidRDefault="00306485" w:rsidP="00CB2462">
                      <w:pPr>
                        <w:jc w:val="center"/>
                        <w:rPr>
                          <w:rFonts w:ascii="Helvetica" w:eastAsia="Times New Roman" w:hAnsi="Helvetica" w:cs="Times New Roman"/>
                          <w:szCs w:val="22"/>
                        </w:rPr>
                      </w:pPr>
                    </w:p>
                    <w:p w14:paraId="1B095821" w14:textId="14DD2514" w:rsidR="00306485" w:rsidRPr="00925BD5" w:rsidRDefault="00306485" w:rsidP="00306485">
                      <w:pPr>
                        <w:jc w:val="center"/>
                        <w:rPr>
                          <w:rFonts w:ascii="Helvetica" w:eastAsia="Times New Roman" w:hAnsi="Helvetica" w:cs="Times New Roman"/>
                          <w:szCs w:val="22"/>
                        </w:rPr>
                      </w:pPr>
                      <w:r w:rsidRPr="00925BD5">
                        <w:rPr>
                          <w:rFonts w:ascii="Helvetica" w:eastAsia="Times New Roman" w:hAnsi="Helvetica" w:cs="Times New Roman"/>
                          <w:szCs w:val="22"/>
                        </w:rPr>
                        <w:t xml:space="preserve">Web: </w:t>
                      </w:r>
                      <w:r w:rsidRPr="00CB2462">
                        <w:rPr>
                          <w:rFonts w:ascii="Helvetica" w:eastAsia="Times New Roman" w:hAnsi="Helvetica" w:cs="Times New Roman"/>
                          <w:szCs w:val="22"/>
                        </w:rPr>
                        <w:t>www.ADFinternational.org</w:t>
                      </w:r>
                      <w:r w:rsidRPr="00925BD5">
                        <w:rPr>
                          <w:rFonts w:ascii="Helvetica" w:eastAsia="Times New Roman" w:hAnsi="Helvetica" w:cs="Times New Roman"/>
                          <w:szCs w:val="22"/>
                        </w:rPr>
                        <w:t xml:space="preserve"> </w:t>
                      </w:r>
                    </w:p>
                    <w:p w14:paraId="5086B31E" w14:textId="4C392260" w:rsidR="00306485" w:rsidRPr="00925BD5" w:rsidRDefault="00CB2462" w:rsidP="00306485">
                      <w:pPr>
                        <w:jc w:val="center"/>
                        <w:rPr>
                          <w:rFonts w:ascii="Helvetica" w:eastAsia="Times New Roman" w:hAnsi="Helvetica" w:cs="Times New Roman"/>
                          <w:szCs w:val="22"/>
                        </w:rPr>
                      </w:pPr>
                      <w:r>
                        <w:rPr>
                          <w:rFonts w:ascii="Helvetica" w:eastAsia="Times New Roman" w:hAnsi="Helvetica" w:cs="Times New Roman"/>
                          <w:szCs w:val="22"/>
                        </w:rPr>
                        <w:t xml:space="preserve">Email: </w:t>
                      </w:r>
                      <w:r w:rsidR="00811EDA">
                        <w:rPr>
                          <w:rFonts w:ascii="Helvetica" w:eastAsia="Times New Roman" w:hAnsi="Helvetica" w:cs="Times New Roman"/>
                          <w:szCs w:val="22"/>
                        </w:rPr>
                        <w:t>UN</w:t>
                      </w:r>
                      <w:r w:rsidR="00306485" w:rsidRPr="00925BD5">
                        <w:rPr>
                          <w:rFonts w:ascii="Helvetica" w:eastAsia="Times New Roman" w:hAnsi="Helvetica" w:cs="Times New Roman"/>
                          <w:szCs w:val="22"/>
                        </w:rPr>
                        <w:t>@ADFinternational.org</w:t>
                      </w:r>
                    </w:p>
                    <w:p w14:paraId="5A926A87" w14:textId="77777777" w:rsidR="00D440D1" w:rsidRPr="00B72F0E" w:rsidRDefault="00D440D1" w:rsidP="00D440D1">
                      <w:pPr>
                        <w:widowControl w:val="0"/>
                        <w:spacing w:line="480" w:lineRule="auto"/>
                        <w:rPr>
                          <w:rFonts w:ascii="Helvetica" w:hAnsi="Helvetica"/>
                          <w:b/>
                        </w:rPr>
                      </w:pPr>
                    </w:p>
                    <w:p w14:paraId="3E0D94B6" w14:textId="77777777" w:rsidR="00D440D1" w:rsidRDefault="00D440D1" w:rsidP="00D440D1">
                      <w:pPr>
                        <w:spacing w:line="480" w:lineRule="auto"/>
                      </w:pPr>
                    </w:p>
                  </w:txbxContent>
                </v:textbox>
                <w10:wrap type="square"/>
              </v:shape>
            </w:pict>
          </mc:Fallback>
        </mc:AlternateContent>
      </w:r>
      <w:r w:rsidR="00145FDB" w:rsidRPr="000577A7">
        <w:rPr>
          <w:noProof/>
        </w:rPr>
        <w:drawing>
          <wp:anchor distT="0" distB="0" distL="114300" distR="114300" simplePos="0" relativeHeight="251660288" behindDoc="1" locked="0" layoutInCell="1" allowOverlap="1" wp14:anchorId="1665F7FD" wp14:editId="128284D0">
            <wp:simplePos x="0" y="0"/>
            <wp:positionH relativeFrom="page">
              <wp:align>center</wp:align>
            </wp:positionH>
            <wp:positionV relativeFrom="page">
              <wp:align>center</wp:align>
            </wp:positionV>
            <wp:extent cx="7552944" cy="106893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I_IN_WhitePaper_Front_20160720.jpg"/>
                    <pic:cNvPicPr/>
                  </pic:nvPicPr>
                  <pic:blipFill>
                    <a:blip r:embed="rId9">
                      <a:extLst>
                        <a:ext uri="{28A0092B-C50C-407E-A947-70E740481C1C}">
                          <a14:useLocalDpi xmlns:a14="http://schemas.microsoft.com/office/drawing/2010/main" val="0"/>
                        </a:ext>
                      </a:extLst>
                    </a:blip>
                    <a:stretch>
                      <a:fillRect/>
                    </a:stretch>
                  </pic:blipFill>
                  <pic:spPr>
                    <a:xfrm>
                      <a:off x="0" y="0"/>
                      <a:ext cx="7552944" cy="10689336"/>
                    </a:xfrm>
                    <a:prstGeom prst="rect">
                      <a:avLst/>
                    </a:prstGeom>
                  </pic:spPr>
                </pic:pic>
              </a:graphicData>
            </a:graphic>
            <wp14:sizeRelH relativeFrom="page">
              <wp14:pctWidth>0</wp14:pctWidth>
            </wp14:sizeRelH>
            <wp14:sizeRelV relativeFrom="page">
              <wp14:pctHeight>0</wp14:pctHeight>
            </wp14:sizeRelV>
          </wp:anchor>
        </w:drawing>
      </w:r>
      <w:r w:rsidR="004927D2" w:rsidRPr="000577A7">
        <w:rPr>
          <w:noProof/>
        </w:rPr>
        <mc:AlternateContent>
          <mc:Choice Requires="wps">
            <w:drawing>
              <wp:anchor distT="0" distB="0" distL="114300" distR="114300" simplePos="0" relativeHeight="251668480" behindDoc="0" locked="0" layoutInCell="1" allowOverlap="1" wp14:anchorId="1C22EBC9" wp14:editId="65914924">
                <wp:simplePos x="0" y="0"/>
                <wp:positionH relativeFrom="column">
                  <wp:posOffset>1183640</wp:posOffset>
                </wp:positionH>
                <wp:positionV relativeFrom="paragraph">
                  <wp:posOffset>1602984</wp:posOffset>
                </wp:positionV>
                <wp:extent cx="3290570" cy="34226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290570" cy="342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81B206" w14:textId="77777777" w:rsidR="00306485" w:rsidRPr="004927D2" w:rsidRDefault="00306485" w:rsidP="00A07314">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259769F2" w14:textId="77777777" w:rsidR="00306485" w:rsidRPr="004927D2" w:rsidRDefault="00306485" w:rsidP="00D440D1">
                            <w:pPr>
                              <w:widowControl w:val="0"/>
                              <w:spacing w:line="480" w:lineRule="auto"/>
                              <w:rPr>
                                <w:rFonts w:ascii="Helvetica" w:hAnsi="Helvetica"/>
                                <w:i/>
                                <w:sz w:val="24"/>
                              </w:rPr>
                            </w:pPr>
                          </w:p>
                          <w:p w14:paraId="3CC8339E" w14:textId="77777777" w:rsidR="00306485" w:rsidRPr="004927D2" w:rsidRDefault="00306485" w:rsidP="00D440D1">
                            <w:pPr>
                              <w:spacing w:line="480" w:lineRule="auto"/>
                              <w:rPr>
                                <w: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EBC9" id="Text Box 13" o:spid="_x0000_s1029" type="#_x0000_t202" style="position:absolute;margin-left:93.2pt;margin-top:126.2pt;width:259.1pt;height:2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9+eQIAAGI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" filled="f" stroked="f">
                <v:textbox>
                  <w:txbxContent>
                    <w:p w14:paraId="5781B206" w14:textId="77777777" w:rsidR="00306485" w:rsidRPr="004927D2" w:rsidRDefault="00306485" w:rsidP="00A07314">
                      <w:pPr>
                        <w:jc w:val="center"/>
                        <w:rPr>
                          <w:rFonts w:ascii="Helvetica" w:eastAsia="Times New Roman" w:hAnsi="Helvetica" w:cs="Times New Roman"/>
                          <w:i/>
                          <w:sz w:val="24"/>
                        </w:rPr>
                      </w:pPr>
                      <w:r w:rsidRPr="004927D2">
                        <w:rPr>
                          <w:rFonts w:ascii="Helvetica" w:eastAsia="Times New Roman" w:hAnsi="Helvetica" w:cs="Times New Roman"/>
                          <w:i/>
                          <w:sz w:val="24"/>
                        </w:rPr>
                        <w:t>ECOSOC Special Consultative Status (2010)</w:t>
                      </w:r>
                    </w:p>
                    <w:p w14:paraId="259769F2" w14:textId="77777777" w:rsidR="00306485" w:rsidRPr="004927D2" w:rsidRDefault="00306485" w:rsidP="00D440D1">
                      <w:pPr>
                        <w:widowControl w:val="0"/>
                        <w:spacing w:line="480" w:lineRule="auto"/>
                        <w:rPr>
                          <w:rFonts w:ascii="Helvetica" w:hAnsi="Helvetica"/>
                          <w:i/>
                          <w:sz w:val="24"/>
                        </w:rPr>
                      </w:pPr>
                    </w:p>
                    <w:p w14:paraId="3CC8339E" w14:textId="77777777" w:rsidR="00306485" w:rsidRPr="004927D2" w:rsidRDefault="00306485" w:rsidP="00D440D1">
                      <w:pPr>
                        <w:spacing w:line="480" w:lineRule="auto"/>
                        <w:rPr>
                          <w:i/>
                          <w:sz w:val="24"/>
                        </w:rPr>
                      </w:pPr>
                    </w:p>
                  </w:txbxContent>
                </v:textbox>
                <w10:wrap type="square"/>
              </v:shape>
            </w:pict>
          </mc:Fallback>
        </mc:AlternateContent>
      </w:r>
    </w:p>
    <w:p w14:paraId="38CD0C60" w14:textId="77777777" w:rsidR="00DD2D39" w:rsidRPr="007E6908" w:rsidRDefault="00DD2D39" w:rsidP="000E5066">
      <w:pPr>
        <w:spacing w:before="180"/>
        <w:ind w:left="360" w:hanging="360"/>
        <w:jc w:val="both"/>
        <w:textAlignment w:val="baseline"/>
        <w:rPr>
          <w:rFonts w:cs="Arial"/>
          <w:b/>
          <w:bCs/>
          <w:color w:val="000000" w:themeColor="text1"/>
        </w:rPr>
      </w:pPr>
      <w:r w:rsidRPr="007E6908">
        <w:rPr>
          <w:rFonts w:cs="Arial"/>
          <w:b/>
          <w:bCs/>
          <w:color w:val="000000" w:themeColor="text1"/>
        </w:rPr>
        <w:lastRenderedPageBreak/>
        <w:t>Introduction </w:t>
      </w:r>
    </w:p>
    <w:p w14:paraId="2D6089BB" w14:textId="77777777" w:rsidR="00DD2D39" w:rsidRPr="007E6908" w:rsidRDefault="00DD2D39" w:rsidP="000E5066">
      <w:pPr>
        <w:ind w:left="360" w:hanging="360"/>
        <w:jc w:val="both"/>
        <w:textAlignment w:val="baseline"/>
        <w:rPr>
          <w:rFonts w:cs="Arial"/>
          <w:b/>
          <w:bCs/>
          <w:color w:val="000000" w:themeColor="text1"/>
        </w:rPr>
      </w:pPr>
    </w:p>
    <w:p w14:paraId="23F1D56D" w14:textId="353F309C" w:rsidR="00DD2D39" w:rsidRPr="007E6908" w:rsidRDefault="00DD2D39" w:rsidP="007E6908">
      <w:pPr>
        <w:pStyle w:val="ListParagraph"/>
        <w:numPr>
          <w:ilvl w:val="0"/>
          <w:numId w:val="8"/>
        </w:numPr>
        <w:spacing w:before="0" w:after="0"/>
        <w:ind w:left="360" w:right="20"/>
        <w:contextualSpacing/>
        <w:textAlignment w:val="baseline"/>
        <w:rPr>
          <w:color w:val="000000" w:themeColor="text1"/>
        </w:rPr>
      </w:pPr>
      <w:r w:rsidRPr="007E6908">
        <w:rPr>
          <w:color w:val="000000" w:themeColor="text1"/>
        </w:rPr>
        <w:t>ADF International is a faith-based legal advocacy organization that protects fundamental freedoms and promotes the inherent dignity of all people before national and international institutions. As well as having ECOSOC consultative status with the United Nations (registered name “Alliance Defending Freedom”), ADF International has accreditation with the European Commission and Parliament, and the Organization of American States. ADF International is also a participant in the FRA Fundamental Rights Platform.</w:t>
      </w:r>
    </w:p>
    <w:p w14:paraId="5438AEEE" w14:textId="77777777" w:rsidR="00AF4AC3" w:rsidRPr="007E6908" w:rsidRDefault="00AF4AC3" w:rsidP="007E6908">
      <w:pPr>
        <w:pStyle w:val="ListParagraph"/>
        <w:numPr>
          <w:ilvl w:val="0"/>
          <w:numId w:val="0"/>
        </w:numPr>
        <w:ind w:left="360" w:right="20" w:hanging="360"/>
        <w:contextualSpacing/>
        <w:textAlignment w:val="baseline"/>
        <w:rPr>
          <w:color w:val="000000" w:themeColor="text1"/>
        </w:rPr>
      </w:pPr>
    </w:p>
    <w:p w14:paraId="0F9586B3" w14:textId="5D9F42F4" w:rsidR="00DD2D39" w:rsidRPr="007E6908" w:rsidRDefault="00DD2D39" w:rsidP="007E6908">
      <w:pPr>
        <w:pStyle w:val="ListParagraph"/>
        <w:numPr>
          <w:ilvl w:val="0"/>
          <w:numId w:val="8"/>
        </w:numPr>
        <w:spacing w:before="0" w:after="0"/>
        <w:ind w:left="360" w:right="20"/>
        <w:contextualSpacing/>
        <w:textAlignment w:val="baseline"/>
        <w:rPr>
          <w:color w:val="000000" w:themeColor="text1"/>
        </w:rPr>
      </w:pPr>
      <w:r w:rsidRPr="007E6908">
        <w:rPr>
          <w:color w:val="000000" w:themeColor="text1"/>
        </w:rPr>
        <w:t>In response to the call for inputs issued by the Special Rapporteur on freedom of religion or belief, this submission calls attention to the crucial importance of protecting freedom of thought (“</w:t>
      </w:r>
      <w:proofErr w:type="spellStart"/>
      <w:r w:rsidRPr="007E6908">
        <w:rPr>
          <w:color w:val="000000" w:themeColor="text1"/>
        </w:rPr>
        <w:t>FoT</w:t>
      </w:r>
      <w:proofErr w:type="spellEnd"/>
      <w:r w:rsidRPr="007E6908">
        <w:rPr>
          <w:color w:val="000000" w:themeColor="text1"/>
        </w:rPr>
        <w:t xml:space="preserve">”) as a foundational human right. States are prohibited from interfering with this fundamental freedom, which warrants absolute protection as pertaining exclusively to the </w:t>
      </w:r>
      <w:r w:rsidRPr="007E6908">
        <w:rPr>
          <w:i/>
          <w:iCs/>
          <w:color w:val="000000" w:themeColor="text1"/>
        </w:rPr>
        <w:t xml:space="preserve">forum </w:t>
      </w:r>
      <w:proofErr w:type="spellStart"/>
      <w:r w:rsidRPr="007E6908">
        <w:rPr>
          <w:i/>
          <w:iCs/>
          <w:color w:val="000000" w:themeColor="text1"/>
        </w:rPr>
        <w:t>internum</w:t>
      </w:r>
      <w:proofErr w:type="spellEnd"/>
      <w:r w:rsidRPr="007E6908">
        <w:rPr>
          <w:color w:val="000000" w:themeColor="text1"/>
        </w:rPr>
        <w:t xml:space="preserve">. </w:t>
      </w:r>
      <w:proofErr w:type="spellStart"/>
      <w:r w:rsidRPr="007E6908">
        <w:rPr>
          <w:color w:val="000000" w:themeColor="text1"/>
        </w:rPr>
        <w:t>FoT</w:t>
      </w:r>
      <w:proofErr w:type="spellEnd"/>
      <w:r w:rsidRPr="007E6908">
        <w:rPr>
          <w:color w:val="000000" w:themeColor="text1"/>
        </w:rPr>
        <w:t> serves as a prerequisite for the exercise of myriad other fundamental human rights, including the freedom of religion or belief (“</w:t>
      </w:r>
      <w:proofErr w:type="spellStart"/>
      <w:r w:rsidRPr="007E6908">
        <w:rPr>
          <w:color w:val="000000" w:themeColor="text1"/>
        </w:rPr>
        <w:t>FoRB</w:t>
      </w:r>
      <w:proofErr w:type="spellEnd"/>
      <w:r w:rsidRPr="007E6908">
        <w:rPr>
          <w:color w:val="000000" w:themeColor="text1"/>
        </w:rPr>
        <w:t>”).</w:t>
      </w:r>
    </w:p>
    <w:p w14:paraId="7D2C8C46" w14:textId="77777777" w:rsidR="00AF4AC3" w:rsidRPr="007E6908" w:rsidRDefault="00AF4AC3" w:rsidP="007E6908">
      <w:pPr>
        <w:pStyle w:val="ListParagraph"/>
        <w:numPr>
          <w:ilvl w:val="0"/>
          <w:numId w:val="0"/>
        </w:numPr>
        <w:ind w:left="360" w:right="20" w:hanging="360"/>
        <w:contextualSpacing/>
        <w:textAlignment w:val="baseline"/>
        <w:rPr>
          <w:color w:val="000000" w:themeColor="text1"/>
        </w:rPr>
      </w:pPr>
    </w:p>
    <w:p w14:paraId="71B3DF06" w14:textId="02D9EE7D" w:rsidR="00DD2D39" w:rsidRPr="007E6908" w:rsidRDefault="00DD2D39" w:rsidP="007E6908">
      <w:pPr>
        <w:pStyle w:val="ListParagraph"/>
        <w:numPr>
          <w:ilvl w:val="0"/>
          <w:numId w:val="8"/>
        </w:numPr>
        <w:spacing w:before="0" w:after="0"/>
        <w:ind w:left="360" w:right="20"/>
        <w:contextualSpacing/>
        <w:textAlignment w:val="baseline"/>
        <w:rPr>
          <w:color w:val="000000" w:themeColor="text1"/>
        </w:rPr>
      </w:pPr>
      <w:r w:rsidRPr="007E6908">
        <w:rPr>
          <w:color w:val="000000" w:themeColor="text1"/>
        </w:rPr>
        <w:t xml:space="preserve">While difficult to detect due to their internal nature, infringements of </w:t>
      </w:r>
      <w:proofErr w:type="spellStart"/>
      <w:r w:rsidRPr="007E6908">
        <w:rPr>
          <w:color w:val="000000" w:themeColor="text1"/>
        </w:rPr>
        <w:t>FoT</w:t>
      </w:r>
      <w:proofErr w:type="spellEnd"/>
      <w:r w:rsidRPr="007E6908">
        <w:rPr>
          <w:i/>
          <w:iCs/>
          <w:color w:val="000000" w:themeColor="text1"/>
        </w:rPr>
        <w:t xml:space="preserve"> </w:t>
      </w:r>
      <w:r w:rsidRPr="007E6908">
        <w:rPr>
          <w:color w:val="000000" w:themeColor="text1"/>
        </w:rPr>
        <w:t xml:space="preserve">do transpire and are evident in a variety of human rights violations that are pervasive today, including, </w:t>
      </w:r>
      <w:r w:rsidRPr="007E6908">
        <w:rPr>
          <w:i/>
          <w:iCs/>
          <w:color w:val="000000" w:themeColor="text1"/>
        </w:rPr>
        <w:t xml:space="preserve">inter </w:t>
      </w:r>
      <w:r w:rsidRPr="007E6908">
        <w:rPr>
          <w:color w:val="000000" w:themeColor="text1"/>
        </w:rPr>
        <w:t xml:space="preserve">alia, anti-conversion laws and overly vague laws restricting expression or opinion. This submission focuses primarily on the convergence between </w:t>
      </w:r>
      <w:proofErr w:type="spellStart"/>
      <w:r w:rsidRPr="007E6908">
        <w:rPr>
          <w:color w:val="000000" w:themeColor="text1"/>
        </w:rPr>
        <w:t>FoT</w:t>
      </w:r>
      <w:proofErr w:type="spellEnd"/>
      <w:r w:rsidRPr="007E6908">
        <w:rPr>
          <w:color w:val="000000" w:themeColor="text1"/>
        </w:rPr>
        <w:t xml:space="preserve"> and </w:t>
      </w:r>
      <w:proofErr w:type="spellStart"/>
      <w:r w:rsidRPr="007E6908">
        <w:rPr>
          <w:color w:val="000000" w:themeColor="text1"/>
        </w:rPr>
        <w:t>FoRB</w:t>
      </w:r>
      <w:proofErr w:type="spellEnd"/>
      <w:r w:rsidRPr="007E6908">
        <w:rPr>
          <w:color w:val="000000" w:themeColor="text1"/>
        </w:rPr>
        <w:t>, and in particular, the key role that </w:t>
      </w:r>
      <w:proofErr w:type="spellStart"/>
      <w:r w:rsidRPr="007E6908">
        <w:rPr>
          <w:color w:val="000000" w:themeColor="text1"/>
        </w:rPr>
        <w:t>FoT</w:t>
      </w:r>
      <w:proofErr w:type="spellEnd"/>
      <w:r w:rsidRPr="007E6908">
        <w:rPr>
          <w:color w:val="000000" w:themeColor="text1"/>
        </w:rPr>
        <w:t> plays </w:t>
      </w:r>
      <w:proofErr w:type="gramStart"/>
      <w:r w:rsidRPr="007E6908">
        <w:rPr>
          <w:color w:val="000000" w:themeColor="text1"/>
        </w:rPr>
        <w:t>with regard to</w:t>
      </w:r>
      <w:proofErr w:type="gramEnd"/>
      <w:r w:rsidRPr="007E6908">
        <w:rPr>
          <w:color w:val="000000" w:themeColor="text1"/>
        </w:rPr>
        <w:t xml:space="preserve"> conversion or changing beliefs. It also examines </w:t>
      </w:r>
      <w:proofErr w:type="spellStart"/>
      <w:r w:rsidRPr="007E6908">
        <w:rPr>
          <w:color w:val="000000" w:themeColor="text1"/>
        </w:rPr>
        <w:t>FoT</w:t>
      </w:r>
      <w:proofErr w:type="spellEnd"/>
      <w:r w:rsidRPr="007E6908">
        <w:rPr>
          <w:color w:val="000000" w:themeColor="text1"/>
        </w:rPr>
        <w:t xml:space="preserve"> </w:t>
      </w:r>
      <w:proofErr w:type="gramStart"/>
      <w:r w:rsidRPr="007E6908">
        <w:rPr>
          <w:color w:val="000000" w:themeColor="text1"/>
        </w:rPr>
        <w:t>in light of</w:t>
      </w:r>
      <w:proofErr w:type="gramEnd"/>
      <w:r w:rsidRPr="007E6908">
        <w:rPr>
          <w:color w:val="000000" w:themeColor="text1"/>
        </w:rPr>
        <w:t xml:space="preserve"> a perceived “right” to freedom </w:t>
      </w:r>
      <w:r w:rsidRPr="007E6908">
        <w:rPr>
          <w:i/>
          <w:iCs/>
          <w:color w:val="000000" w:themeColor="text1"/>
        </w:rPr>
        <w:t>from</w:t>
      </w:r>
      <w:r w:rsidRPr="007E6908">
        <w:rPr>
          <w:color w:val="000000" w:themeColor="text1"/>
        </w:rPr>
        <w:t xml:space="preserve"> thoughts, concluding that </w:t>
      </w:r>
      <w:proofErr w:type="spellStart"/>
      <w:r w:rsidRPr="007E6908">
        <w:rPr>
          <w:color w:val="000000" w:themeColor="text1"/>
        </w:rPr>
        <w:t>FoT</w:t>
      </w:r>
      <w:proofErr w:type="spellEnd"/>
      <w:r w:rsidRPr="007E6908">
        <w:rPr>
          <w:color w:val="000000" w:themeColor="text1"/>
        </w:rPr>
        <w:t xml:space="preserve"> does not serve to shield the individual from the thoughts of others. In its conclusions and recommendations, this submission highlights the duty of States to guarantee the necessary inviolability and absolute protection of </w:t>
      </w:r>
      <w:proofErr w:type="spellStart"/>
      <w:r w:rsidRPr="007E6908">
        <w:rPr>
          <w:color w:val="000000" w:themeColor="text1"/>
        </w:rPr>
        <w:t>FoT</w:t>
      </w:r>
      <w:proofErr w:type="spellEnd"/>
      <w:r w:rsidRPr="007E6908">
        <w:rPr>
          <w:color w:val="000000" w:themeColor="text1"/>
        </w:rPr>
        <w:t xml:space="preserve"> with due regard for these complexities.</w:t>
      </w:r>
      <w:r w:rsidR="007E6908">
        <w:rPr>
          <w:color w:val="000000" w:themeColor="text1"/>
        </w:rPr>
        <w:br/>
      </w:r>
    </w:p>
    <w:p w14:paraId="6EE1CC1C" w14:textId="77777777" w:rsidR="00DD2D39" w:rsidRPr="007E6908" w:rsidRDefault="00DD2D39" w:rsidP="000E5066">
      <w:pPr>
        <w:pStyle w:val="ListParagraph"/>
        <w:numPr>
          <w:ilvl w:val="0"/>
          <w:numId w:val="9"/>
        </w:numPr>
        <w:spacing w:after="0" w:line="240" w:lineRule="auto"/>
        <w:ind w:left="360" w:right="0"/>
        <w:contextualSpacing/>
        <w:textAlignment w:val="baseline"/>
        <w:rPr>
          <w:b/>
          <w:bCs/>
          <w:color w:val="000000" w:themeColor="text1"/>
        </w:rPr>
      </w:pPr>
      <w:r w:rsidRPr="007E6908">
        <w:rPr>
          <w:b/>
          <w:bCs/>
          <w:color w:val="000000" w:themeColor="text1"/>
        </w:rPr>
        <w:t>Definition of Freedom of Thought in International Law and Jurisprudence </w:t>
      </w:r>
    </w:p>
    <w:p w14:paraId="67603C9D" w14:textId="77777777" w:rsidR="00DD2D39" w:rsidRPr="007E6908" w:rsidRDefault="00DD2D39" w:rsidP="000E5066">
      <w:pPr>
        <w:ind w:left="360" w:right="20" w:hanging="360"/>
        <w:textAlignment w:val="baseline"/>
        <w:rPr>
          <w:rFonts w:cs="Arial"/>
          <w:color w:val="000000" w:themeColor="text1"/>
        </w:rPr>
      </w:pPr>
    </w:p>
    <w:p w14:paraId="5CC4ADE7" w14:textId="20A7747B" w:rsidR="00DD2D39" w:rsidRPr="007E6908" w:rsidRDefault="00DD2D39" w:rsidP="000E5066">
      <w:pPr>
        <w:pStyle w:val="ListParagraph"/>
        <w:numPr>
          <w:ilvl w:val="0"/>
          <w:numId w:val="8"/>
        </w:numPr>
        <w:tabs>
          <w:tab w:val="left" w:pos="7830"/>
        </w:tabs>
        <w:spacing w:before="0" w:after="0"/>
        <w:ind w:left="360" w:right="20"/>
        <w:contextualSpacing/>
        <w:textAlignment w:val="baseline"/>
        <w:rPr>
          <w:color w:val="000000" w:themeColor="text1"/>
        </w:rPr>
      </w:pPr>
      <w:r w:rsidRPr="007E6908">
        <w:rPr>
          <w:color w:val="000000" w:themeColor="text1"/>
        </w:rPr>
        <w:t>The United Nations Human Rights Committee stated in its General Comment No. 22 (1993) that </w:t>
      </w:r>
      <w:proofErr w:type="spellStart"/>
      <w:r w:rsidRPr="007E6908">
        <w:rPr>
          <w:color w:val="000000" w:themeColor="text1"/>
        </w:rPr>
        <w:t>FoT</w:t>
      </w:r>
      <w:proofErr w:type="spellEnd"/>
      <w:r w:rsidRPr="007E6908">
        <w:rPr>
          <w:color w:val="000000" w:themeColor="text1"/>
        </w:rPr>
        <w:t> is “far-reaching and profound, encompassing freedom of thought on all matters”.</w:t>
      </w:r>
      <w:r w:rsidRPr="007E6908">
        <w:rPr>
          <w:rStyle w:val="FootnoteReference"/>
          <w:color w:val="000000" w:themeColor="text1"/>
        </w:rPr>
        <w:footnoteReference w:id="1"/>
      </w:r>
      <w:r w:rsidRPr="007E6908">
        <w:rPr>
          <w:color w:val="000000" w:themeColor="text1"/>
        </w:rPr>
        <w:t> Per the International Covenant on Civil and Political Rights, “</w:t>
      </w:r>
      <w:r w:rsidRPr="007E6908">
        <w:rPr>
          <w:color w:val="000000" w:themeColor="text1"/>
          <w:shd w:val="clear" w:color="auto" w:fill="FFFFFF"/>
        </w:rPr>
        <w:t>everyone shall have the right to freedom of thought, conscience and religion”.</w:t>
      </w:r>
      <w:r w:rsidRPr="007E6908">
        <w:rPr>
          <w:rStyle w:val="FootnoteReference"/>
          <w:color w:val="000000" w:themeColor="text1"/>
          <w:shd w:val="clear" w:color="auto" w:fill="FFFFFF"/>
        </w:rPr>
        <w:footnoteReference w:id="2"/>
      </w:r>
      <w:r w:rsidRPr="007E6908">
        <w:rPr>
          <w:color w:val="000000" w:themeColor="text1"/>
          <w:shd w:val="clear" w:color="auto" w:fill="FFFFFF"/>
        </w:rPr>
        <w:t xml:space="preserve"> The provision makes clear that these freedoms include the right to have or adopt a religion or belief, in addition to both private and public dimensions of manifesting one’s religion or belief. The relationship between </w:t>
      </w:r>
      <w:proofErr w:type="spellStart"/>
      <w:r w:rsidRPr="007E6908">
        <w:rPr>
          <w:color w:val="000000" w:themeColor="text1"/>
          <w:shd w:val="clear" w:color="auto" w:fill="FFFFFF"/>
        </w:rPr>
        <w:t>FoT</w:t>
      </w:r>
      <w:proofErr w:type="spellEnd"/>
      <w:r w:rsidRPr="007E6908">
        <w:rPr>
          <w:color w:val="000000" w:themeColor="text1"/>
          <w:shd w:val="clear" w:color="auto" w:fill="FFFFFF"/>
        </w:rPr>
        <w:t xml:space="preserve"> and rights to manifest and express are evident, although </w:t>
      </w:r>
      <w:proofErr w:type="spellStart"/>
      <w:r w:rsidRPr="007E6908">
        <w:rPr>
          <w:color w:val="000000" w:themeColor="text1"/>
          <w:shd w:val="clear" w:color="auto" w:fill="FFFFFF"/>
        </w:rPr>
        <w:t>FoT</w:t>
      </w:r>
      <w:proofErr w:type="spellEnd"/>
      <w:r w:rsidRPr="007E6908">
        <w:rPr>
          <w:color w:val="000000" w:themeColor="text1"/>
          <w:shd w:val="clear" w:color="auto" w:fill="FFFFFF"/>
        </w:rPr>
        <w:t xml:space="preserve"> is distinct as pertaining exclusively to the </w:t>
      </w:r>
      <w:r w:rsidRPr="007E6908">
        <w:rPr>
          <w:i/>
          <w:iCs/>
          <w:color w:val="000000" w:themeColor="text1"/>
          <w:shd w:val="clear" w:color="auto" w:fill="FFFFFF"/>
        </w:rPr>
        <w:t xml:space="preserve">forum </w:t>
      </w:r>
      <w:proofErr w:type="spellStart"/>
      <w:r w:rsidRPr="007E6908">
        <w:rPr>
          <w:i/>
          <w:iCs/>
          <w:color w:val="000000" w:themeColor="text1"/>
          <w:shd w:val="clear" w:color="auto" w:fill="FFFFFF"/>
        </w:rPr>
        <w:t>internum</w:t>
      </w:r>
      <w:proofErr w:type="spellEnd"/>
      <w:r w:rsidRPr="007E6908">
        <w:rPr>
          <w:color w:val="000000" w:themeColor="text1"/>
          <w:shd w:val="clear" w:color="auto" w:fill="FFFFFF"/>
        </w:rPr>
        <w:t>—</w:t>
      </w:r>
      <w:r w:rsidRPr="007E6908">
        <w:rPr>
          <w:color w:val="000000" w:themeColor="text1"/>
        </w:rPr>
        <w:t>the innermost personal space of an individual—</w:t>
      </w:r>
      <w:r w:rsidRPr="007E6908">
        <w:rPr>
          <w:color w:val="000000" w:themeColor="text1"/>
          <w:shd w:val="clear" w:color="auto" w:fill="FFFFFF"/>
        </w:rPr>
        <w:t xml:space="preserve">as opposed to the outward </w:t>
      </w:r>
      <w:r w:rsidRPr="007E6908">
        <w:rPr>
          <w:i/>
          <w:iCs/>
          <w:color w:val="000000" w:themeColor="text1"/>
          <w:shd w:val="clear" w:color="auto" w:fill="FFFFFF"/>
        </w:rPr>
        <w:t xml:space="preserve">forum </w:t>
      </w:r>
      <w:proofErr w:type="spellStart"/>
      <w:r w:rsidRPr="007E6908">
        <w:rPr>
          <w:i/>
          <w:iCs/>
          <w:color w:val="000000" w:themeColor="text1"/>
          <w:shd w:val="clear" w:color="auto" w:fill="FFFFFF"/>
        </w:rPr>
        <w:t>externum</w:t>
      </w:r>
      <w:proofErr w:type="spellEnd"/>
      <w:r w:rsidRPr="007E6908">
        <w:rPr>
          <w:i/>
          <w:iCs/>
          <w:color w:val="000000" w:themeColor="text1"/>
          <w:shd w:val="clear" w:color="auto" w:fill="FFFFFF"/>
        </w:rPr>
        <w:t>.</w:t>
      </w:r>
    </w:p>
    <w:p w14:paraId="532C67CD" w14:textId="77777777" w:rsidR="001C4C96" w:rsidRPr="007E6908" w:rsidRDefault="001C4C96" w:rsidP="000E5066">
      <w:pPr>
        <w:pStyle w:val="ListParagraph"/>
        <w:numPr>
          <w:ilvl w:val="0"/>
          <w:numId w:val="0"/>
        </w:numPr>
        <w:tabs>
          <w:tab w:val="left" w:pos="7830"/>
        </w:tabs>
        <w:ind w:left="360" w:right="20" w:hanging="360"/>
        <w:contextualSpacing/>
        <w:textAlignment w:val="baseline"/>
        <w:rPr>
          <w:color w:val="000000" w:themeColor="text1"/>
        </w:rPr>
      </w:pPr>
    </w:p>
    <w:p w14:paraId="4E6062CF" w14:textId="00F71606" w:rsidR="00AF4AC3" w:rsidRPr="007E6908" w:rsidRDefault="00DD2D39" w:rsidP="000E5066">
      <w:pPr>
        <w:pStyle w:val="ListParagraph"/>
        <w:numPr>
          <w:ilvl w:val="0"/>
          <w:numId w:val="8"/>
        </w:numPr>
        <w:spacing w:before="0" w:after="0"/>
        <w:ind w:left="360" w:right="20"/>
        <w:contextualSpacing/>
        <w:textAlignment w:val="baseline"/>
        <w:rPr>
          <w:color w:val="000000" w:themeColor="text1"/>
        </w:rPr>
      </w:pPr>
      <w:r w:rsidRPr="007E6908">
        <w:rPr>
          <w:color w:val="000000" w:themeColor="text1"/>
          <w:shd w:val="clear" w:color="auto" w:fill="FFFFFF"/>
        </w:rPr>
        <w:t xml:space="preserve">While the freedoms of conscience and religion have both internal and external dimensions, </w:t>
      </w:r>
      <w:proofErr w:type="spellStart"/>
      <w:r w:rsidRPr="007E6908">
        <w:rPr>
          <w:color w:val="000000" w:themeColor="text1"/>
        </w:rPr>
        <w:t>FoT</w:t>
      </w:r>
      <w:proofErr w:type="spellEnd"/>
      <w:r w:rsidRPr="007E6908">
        <w:rPr>
          <w:color w:val="000000" w:themeColor="text1"/>
        </w:rPr>
        <w:t xml:space="preserve"> is unique insofar as it relates specifically and exclusively to the </w:t>
      </w:r>
      <w:r w:rsidRPr="007E6908">
        <w:rPr>
          <w:i/>
          <w:iCs/>
          <w:color w:val="000000" w:themeColor="text1"/>
        </w:rPr>
        <w:t xml:space="preserve">forum </w:t>
      </w:r>
      <w:proofErr w:type="spellStart"/>
      <w:r w:rsidRPr="007E6908">
        <w:rPr>
          <w:i/>
          <w:iCs/>
          <w:color w:val="000000" w:themeColor="text1"/>
        </w:rPr>
        <w:t>internum</w:t>
      </w:r>
      <w:proofErr w:type="spellEnd"/>
      <w:r w:rsidRPr="007E6908">
        <w:rPr>
          <w:color w:val="000000" w:themeColor="text1"/>
        </w:rPr>
        <w:t xml:space="preserve">. Thoughts can of course translate into external ramifications that interplay with other rights, </w:t>
      </w:r>
      <w:r w:rsidRPr="007E6908">
        <w:rPr>
          <w:color w:val="000000" w:themeColor="text1"/>
        </w:rPr>
        <w:lastRenderedPageBreak/>
        <w:t xml:space="preserve">but </w:t>
      </w:r>
      <w:proofErr w:type="spellStart"/>
      <w:r w:rsidRPr="007E6908">
        <w:rPr>
          <w:color w:val="000000" w:themeColor="text1"/>
        </w:rPr>
        <w:t>FoT</w:t>
      </w:r>
      <w:proofErr w:type="spellEnd"/>
      <w:r w:rsidRPr="007E6908">
        <w:rPr>
          <w:color w:val="000000" w:themeColor="text1"/>
        </w:rPr>
        <w:t xml:space="preserve"> in and of itself is entirely internal. It thus warrants absolute and non-</w:t>
      </w:r>
      <w:proofErr w:type="spellStart"/>
      <w:r w:rsidRPr="007E6908">
        <w:rPr>
          <w:color w:val="000000" w:themeColor="text1"/>
        </w:rPr>
        <w:t>derogable</w:t>
      </w:r>
      <w:proofErr w:type="spellEnd"/>
      <w:r w:rsidRPr="007E6908">
        <w:rPr>
          <w:color w:val="000000" w:themeColor="text1"/>
        </w:rPr>
        <w:t xml:space="preserve"> protection. This is because the </w:t>
      </w:r>
      <w:r w:rsidRPr="007E6908">
        <w:rPr>
          <w:i/>
          <w:iCs/>
          <w:color w:val="000000" w:themeColor="text1"/>
        </w:rPr>
        <w:t xml:space="preserve">forum </w:t>
      </w:r>
      <w:proofErr w:type="spellStart"/>
      <w:r w:rsidRPr="007E6908">
        <w:rPr>
          <w:i/>
          <w:iCs/>
          <w:color w:val="000000" w:themeColor="text1"/>
        </w:rPr>
        <w:t>internum</w:t>
      </w:r>
      <w:proofErr w:type="spellEnd"/>
      <w:r w:rsidRPr="007E6908">
        <w:rPr>
          <w:i/>
          <w:iCs/>
          <w:color w:val="000000" w:themeColor="text1"/>
        </w:rPr>
        <w:t xml:space="preserve"> </w:t>
      </w:r>
      <w:r w:rsidRPr="007E6908">
        <w:rPr>
          <w:color w:val="000000" w:themeColor="text1"/>
        </w:rPr>
        <w:t>forms a fundamental part of the individual’s autonomy and freedom—the private sphere that relates to the sovereignty a person has over his or her own mental state.</w:t>
      </w:r>
      <w:r w:rsidRPr="007E6908">
        <w:rPr>
          <w:rStyle w:val="FootnoteReference"/>
          <w:color w:val="000000" w:themeColor="text1"/>
        </w:rPr>
        <w:footnoteReference w:id="3"/>
      </w:r>
    </w:p>
    <w:p w14:paraId="0B0AD9B5" w14:textId="77777777" w:rsidR="00AF4AC3" w:rsidRPr="007E6908" w:rsidRDefault="00AF4AC3" w:rsidP="000E5066">
      <w:pPr>
        <w:pStyle w:val="ListParagraph"/>
        <w:numPr>
          <w:ilvl w:val="0"/>
          <w:numId w:val="0"/>
        </w:numPr>
        <w:spacing w:before="0" w:after="0" w:line="240" w:lineRule="auto"/>
        <w:ind w:left="360" w:right="0" w:hanging="360"/>
        <w:contextualSpacing/>
        <w:textAlignment w:val="baseline"/>
        <w:rPr>
          <w:color w:val="000000" w:themeColor="text1"/>
        </w:rPr>
      </w:pPr>
    </w:p>
    <w:p w14:paraId="53759593" w14:textId="221497A8"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 xml:space="preserve">Despite its internal characteristic, it follows that </w:t>
      </w:r>
      <w:proofErr w:type="spellStart"/>
      <w:r w:rsidRPr="007E6908">
        <w:rPr>
          <w:color w:val="000000" w:themeColor="text1"/>
        </w:rPr>
        <w:t>FoT</w:t>
      </w:r>
      <w:proofErr w:type="spellEnd"/>
      <w:r w:rsidRPr="007E6908">
        <w:rPr>
          <w:color w:val="000000" w:themeColor="text1"/>
        </w:rPr>
        <w:t xml:space="preserve"> is more robustly protected when related </w:t>
      </w:r>
      <w:proofErr w:type="gramStart"/>
      <w:r w:rsidRPr="007E6908">
        <w:rPr>
          <w:color w:val="000000" w:themeColor="text1"/>
        </w:rPr>
        <w:t>externally-oriented</w:t>
      </w:r>
      <w:proofErr w:type="gramEnd"/>
      <w:r w:rsidRPr="007E6908">
        <w:rPr>
          <w:color w:val="000000" w:themeColor="text1"/>
        </w:rPr>
        <w:t xml:space="preserve"> rights are fully protected. These related rights include freedom of conscience, religion or belief, expression, association, and the right to raise children in accordance with the beliefs of parents. The high burden for restrictions on these rights outlined in international human rights law serves to strengthen </w:t>
      </w:r>
      <w:proofErr w:type="spellStart"/>
      <w:r w:rsidRPr="007E6908">
        <w:rPr>
          <w:color w:val="000000" w:themeColor="text1"/>
        </w:rPr>
        <w:t>FoT</w:t>
      </w:r>
      <w:proofErr w:type="spellEnd"/>
      <w:r w:rsidRPr="007E6908">
        <w:rPr>
          <w:color w:val="000000" w:themeColor="text1"/>
        </w:rPr>
        <w:t xml:space="preserve">, as the protection of the manifestations and practices that arise from thought has a symbiotic relationship with the flourishing of </w:t>
      </w:r>
      <w:proofErr w:type="spellStart"/>
      <w:r w:rsidRPr="007E6908">
        <w:rPr>
          <w:color w:val="000000" w:themeColor="text1"/>
        </w:rPr>
        <w:t>FoT</w:t>
      </w:r>
      <w:proofErr w:type="spellEnd"/>
      <w:r w:rsidRPr="007E6908">
        <w:rPr>
          <w:color w:val="000000" w:themeColor="text1"/>
        </w:rPr>
        <w:t xml:space="preserve"> itself. </w:t>
      </w:r>
    </w:p>
    <w:p w14:paraId="60F7FF9E" w14:textId="77777777" w:rsidR="00DD2D39" w:rsidRPr="007E6908" w:rsidRDefault="00DD2D39" w:rsidP="007E6908">
      <w:pPr>
        <w:spacing w:line="276" w:lineRule="auto"/>
        <w:ind w:left="360" w:hanging="360"/>
        <w:jc w:val="both"/>
        <w:textAlignment w:val="baseline"/>
        <w:rPr>
          <w:rFonts w:cs="Arial"/>
          <w:color w:val="000000" w:themeColor="text1"/>
        </w:rPr>
      </w:pPr>
    </w:p>
    <w:p w14:paraId="25163AB9" w14:textId="7632D2A2"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The provisions of international</w:t>
      </w:r>
      <w:r w:rsidR="007E6908">
        <w:rPr>
          <w:color w:val="000000" w:themeColor="text1"/>
        </w:rPr>
        <w:t xml:space="preserve"> </w:t>
      </w:r>
      <w:r w:rsidRPr="007E6908">
        <w:rPr>
          <w:color w:val="000000" w:themeColor="text1"/>
        </w:rPr>
        <w:t>law that protect the </w:t>
      </w:r>
      <w:r w:rsidRPr="007E6908">
        <w:rPr>
          <w:i/>
          <w:iCs/>
          <w:color w:val="000000" w:themeColor="text1"/>
        </w:rPr>
        <w:t>forum </w:t>
      </w:r>
      <w:proofErr w:type="spellStart"/>
      <w:r w:rsidRPr="007E6908">
        <w:rPr>
          <w:i/>
          <w:iCs/>
          <w:color w:val="000000" w:themeColor="text1"/>
        </w:rPr>
        <w:t>internum</w:t>
      </w:r>
      <w:proofErr w:type="spellEnd"/>
      <w:r w:rsidRPr="007E6908">
        <w:rPr>
          <w:color w:val="000000" w:themeColor="text1"/>
        </w:rPr>
        <w:t> do so with the prevention of State interference in mind so that personal thought, conscience, and religion remain an individual’s prerogative.</w:t>
      </w:r>
      <w:r w:rsidRPr="007E6908">
        <w:rPr>
          <w:rStyle w:val="FootnoteReference"/>
          <w:color w:val="000000" w:themeColor="text1"/>
        </w:rPr>
        <w:footnoteReference w:id="4"/>
      </w:r>
      <w:r w:rsidRPr="007E6908">
        <w:rPr>
          <w:color w:val="000000" w:themeColor="text1"/>
        </w:rPr>
        <w:t> This is demonstrated in </w:t>
      </w:r>
      <w:r w:rsidRPr="007E6908">
        <w:rPr>
          <w:i/>
          <w:iCs/>
          <w:color w:val="000000" w:themeColor="text1"/>
          <w:shd w:val="clear" w:color="auto" w:fill="FFFFFF"/>
        </w:rPr>
        <w:t>Nolan and K. v Russia,</w:t>
      </w:r>
      <w:r w:rsidRPr="007E6908">
        <w:rPr>
          <w:rStyle w:val="FootnoteReference"/>
          <w:i/>
          <w:iCs/>
          <w:color w:val="000000" w:themeColor="text1"/>
          <w:shd w:val="clear" w:color="auto" w:fill="FFFFFF"/>
        </w:rPr>
        <w:footnoteReference w:id="5"/>
      </w:r>
      <w:r w:rsidRPr="007E6908">
        <w:rPr>
          <w:color w:val="000000" w:themeColor="text1"/>
          <w:shd w:val="clear" w:color="auto" w:fill="FFFFFF"/>
        </w:rPr>
        <w:t xml:space="preserve"> heard before the European Court of Human Rights (‘ECtHR’), which highlights that the State cannot dictate what a person is to believe and cannot take coercive steps to make a person change his or her beliefs.</w:t>
      </w:r>
      <w:r w:rsidRPr="007E6908">
        <w:rPr>
          <w:rStyle w:val="FootnoteReference"/>
          <w:color w:val="000000" w:themeColor="text1"/>
          <w:shd w:val="clear" w:color="auto" w:fill="FFFFFF"/>
        </w:rPr>
        <w:footnoteReference w:id="6"/>
      </w:r>
    </w:p>
    <w:p w14:paraId="60D79B61" w14:textId="77777777" w:rsidR="00DD2D39" w:rsidRPr="007E6908" w:rsidRDefault="00DD2D39" w:rsidP="007E6908">
      <w:pPr>
        <w:spacing w:line="276" w:lineRule="auto"/>
        <w:ind w:left="360" w:hanging="360"/>
        <w:jc w:val="both"/>
        <w:textAlignment w:val="baseline"/>
        <w:rPr>
          <w:rFonts w:cs="Arial"/>
          <w:color w:val="000000" w:themeColor="text1"/>
        </w:rPr>
      </w:pPr>
    </w:p>
    <w:p w14:paraId="4A70BFB7" w14:textId="77777777"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The ECtHR has considered cases such as </w:t>
      </w:r>
      <w:proofErr w:type="spellStart"/>
      <w:r w:rsidRPr="007E6908">
        <w:rPr>
          <w:i/>
          <w:iCs/>
          <w:color w:val="000000" w:themeColor="text1"/>
        </w:rPr>
        <w:t>Sodan</w:t>
      </w:r>
      <w:proofErr w:type="spellEnd"/>
      <w:r w:rsidRPr="007E6908">
        <w:rPr>
          <w:i/>
          <w:iCs/>
          <w:color w:val="000000" w:themeColor="text1"/>
        </w:rPr>
        <w:t> v Turkey</w:t>
      </w:r>
      <w:r w:rsidRPr="007E6908">
        <w:rPr>
          <w:rStyle w:val="FootnoteReference"/>
          <w:i/>
          <w:iCs/>
          <w:color w:val="000000" w:themeColor="text1"/>
        </w:rPr>
        <w:footnoteReference w:id="7"/>
      </w:r>
      <w:r w:rsidRPr="007E6908">
        <w:rPr>
          <w:color w:val="000000" w:themeColor="text1"/>
        </w:rPr>
        <w:t> in which it emphasizes that religious convictions are solely of a private nature. Further, in </w:t>
      </w:r>
      <w:proofErr w:type="spellStart"/>
      <w:r w:rsidRPr="007E6908">
        <w:rPr>
          <w:i/>
          <w:iCs/>
          <w:color w:val="000000" w:themeColor="text1"/>
        </w:rPr>
        <w:t>Folgero</w:t>
      </w:r>
      <w:proofErr w:type="spellEnd"/>
      <w:r w:rsidRPr="007E6908">
        <w:rPr>
          <w:i/>
          <w:iCs/>
          <w:color w:val="000000" w:themeColor="text1"/>
        </w:rPr>
        <w:t xml:space="preserve"> and </w:t>
      </w:r>
      <w:proofErr w:type="spellStart"/>
      <w:r w:rsidRPr="007E6908">
        <w:rPr>
          <w:i/>
          <w:iCs/>
          <w:color w:val="000000" w:themeColor="text1"/>
        </w:rPr>
        <w:t>ors</w:t>
      </w:r>
      <w:proofErr w:type="spellEnd"/>
      <w:r w:rsidRPr="007E6908">
        <w:rPr>
          <w:i/>
          <w:iCs/>
          <w:color w:val="000000" w:themeColor="text1"/>
        </w:rPr>
        <w:t>. v Norway,</w:t>
      </w:r>
      <w:r w:rsidRPr="007E6908">
        <w:rPr>
          <w:rStyle w:val="FootnoteReference"/>
          <w:i/>
          <w:iCs/>
          <w:color w:val="000000" w:themeColor="text1"/>
        </w:rPr>
        <w:footnoteReference w:id="8"/>
      </w:r>
      <w:r w:rsidRPr="007E6908">
        <w:rPr>
          <w:color w:val="000000" w:themeColor="text1"/>
        </w:rPr>
        <w:t xml:space="preserve"> the ECtHR held that religious convictions are some of the most intimate aspects of private </w:t>
      </w:r>
      <w:proofErr w:type="gramStart"/>
      <w:r w:rsidRPr="007E6908">
        <w:rPr>
          <w:color w:val="000000" w:themeColor="text1"/>
        </w:rPr>
        <w:t>life, and</w:t>
      </w:r>
      <w:proofErr w:type="gramEnd"/>
      <w:r w:rsidRPr="007E6908">
        <w:rPr>
          <w:color w:val="000000" w:themeColor="text1"/>
        </w:rPr>
        <w:t xml:space="preserve"> should be protected as such. Given that the protection of the </w:t>
      </w:r>
      <w:r w:rsidRPr="007E6908">
        <w:rPr>
          <w:i/>
          <w:iCs/>
          <w:color w:val="000000" w:themeColor="text1"/>
        </w:rPr>
        <w:t>forum </w:t>
      </w:r>
      <w:proofErr w:type="spellStart"/>
      <w:r w:rsidRPr="007E6908">
        <w:rPr>
          <w:i/>
          <w:iCs/>
          <w:color w:val="000000" w:themeColor="text1"/>
        </w:rPr>
        <w:t>internum</w:t>
      </w:r>
      <w:proofErr w:type="spellEnd"/>
      <w:r w:rsidRPr="007E6908">
        <w:rPr>
          <w:color w:val="000000" w:themeColor="text1"/>
        </w:rPr>
        <w:t xml:space="preserve"> is without limitation, the focus of human rights practice for </w:t>
      </w:r>
      <w:proofErr w:type="spellStart"/>
      <w:r w:rsidRPr="007E6908">
        <w:rPr>
          <w:color w:val="000000" w:themeColor="text1"/>
        </w:rPr>
        <w:t>FoT</w:t>
      </w:r>
      <w:proofErr w:type="spellEnd"/>
      <w:r w:rsidRPr="007E6908">
        <w:rPr>
          <w:color w:val="000000" w:themeColor="text1"/>
        </w:rPr>
        <w:t xml:space="preserve"> should be on preserving the capacity for self-determination of one’s religion or any other belief, with the </w:t>
      </w:r>
      <w:proofErr w:type="gramStart"/>
      <w:r w:rsidRPr="007E6908">
        <w:rPr>
          <w:color w:val="000000" w:themeColor="text1"/>
        </w:rPr>
        <w:t>ultimate goal</w:t>
      </w:r>
      <w:proofErr w:type="gramEnd"/>
      <w:r w:rsidRPr="007E6908">
        <w:rPr>
          <w:color w:val="000000" w:themeColor="text1"/>
        </w:rPr>
        <w:t> of avoiding undue control or manipulation of the </w:t>
      </w:r>
      <w:proofErr w:type="spellStart"/>
      <w:r w:rsidRPr="007E6908">
        <w:rPr>
          <w:color w:val="000000" w:themeColor="text1"/>
        </w:rPr>
        <w:t>FoT</w:t>
      </w:r>
      <w:proofErr w:type="spellEnd"/>
      <w:r w:rsidRPr="007E6908">
        <w:rPr>
          <w:color w:val="000000" w:themeColor="text1"/>
        </w:rPr>
        <w:t> of individuals. </w:t>
      </w:r>
    </w:p>
    <w:p w14:paraId="6277A366" w14:textId="77777777" w:rsidR="00DD2D39" w:rsidRPr="007E6908" w:rsidRDefault="00DD2D39" w:rsidP="007E6908">
      <w:pPr>
        <w:spacing w:line="276" w:lineRule="auto"/>
        <w:ind w:left="360" w:hanging="360"/>
        <w:jc w:val="both"/>
        <w:textAlignment w:val="baseline"/>
        <w:rPr>
          <w:rFonts w:cs="Arial"/>
          <w:color w:val="000000" w:themeColor="text1"/>
        </w:rPr>
      </w:pPr>
    </w:p>
    <w:p w14:paraId="22C46AAE" w14:textId="5A117900"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 xml:space="preserve">In emphasizing the private nature of religious conviction, it must be clarified that </w:t>
      </w:r>
      <w:proofErr w:type="spellStart"/>
      <w:r w:rsidRPr="007E6908">
        <w:rPr>
          <w:color w:val="000000" w:themeColor="text1"/>
        </w:rPr>
        <w:t>FoT</w:t>
      </w:r>
      <w:proofErr w:type="spellEnd"/>
      <w:r w:rsidRPr="007E6908">
        <w:rPr>
          <w:color w:val="000000" w:themeColor="text1"/>
        </w:rPr>
        <w:t xml:space="preserve">, as a fundamental right of its own accord, is a prerequisite for </w:t>
      </w:r>
      <w:proofErr w:type="spellStart"/>
      <w:r w:rsidRPr="007E6908">
        <w:rPr>
          <w:color w:val="000000" w:themeColor="text1"/>
        </w:rPr>
        <w:t>FoRB</w:t>
      </w:r>
      <w:proofErr w:type="spellEnd"/>
      <w:r w:rsidRPr="007E6908">
        <w:rPr>
          <w:color w:val="000000" w:themeColor="text1"/>
        </w:rPr>
        <w:t xml:space="preserve">, but is not all that </w:t>
      </w:r>
      <w:proofErr w:type="spellStart"/>
      <w:r w:rsidRPr="007E6908">
        <w:rPr>
          <w:color w:val="000000" w:themeColor="text1"/>
        </w:rPr>
        <w:t>FoRB</w:t>
      </w:r>
      <w:proofErr w:type="spellEnd"/>
      <w:r w:rsidRPr="007E6908">
        <w:rPr>
          <w:color w:val="000000" w:themeColor="text1"/>
        </w:rPr>
        <w:t xml:space="preserve"> embodies. Religion or belief goes beyond a person’s </w:t>
      </w:r>
      <w:r w:rsidRPr="007E6908">
        <w:rPr>
          <w:i/>
          <w:iCs/>
          <w:color w:val="000000" w:themeColor="text1"/>
        </w:rPr>
        <w:t xml:space="preserve">forum </w:t>
      </w:r>
      <w:proofErr w:type="spellStart"/>
      <w:r w:rsidRPr="007E6908">
        <w:rPr>
          <w:i/>
          <w:iCs/>
          <w:color w:val="000000" w:themeColor="text1"/>
        </w:rPr>
        <w:t>internum</w:t>
      </w:r>
      <w:proofErr w:type="spellEnd"/>
      <w:r w:rsidRPr="007E6908">
        <w:rPr>
          <w:color w:val="000000" w:themeColor="text1"/>
        </w:rPr>
        <w:t>, as made clear by the right to worship, observe, practice, and teach in community or in public.</w:t>
      </w:r>
      <w:r w:rsidRPr="007E6908">
        <w:rPr>
          <w:rStyle w:val="FootnoteReference"/>
          <w:color w:val="000000" w:themeColor="text1"/>
        </w:rPr>
        <w:footnoteReference w:id="9"/>
      </w:r>
      <w:r w:rsidRPr="007E6908">
        <w:rPr>
          <w:color w:val="000000" w:themeColor="text1"/>
        </w:rPr>
        <w:t xml:space="preserve"> </w:t>
      </w:r>
      <w:proofErr w:type="spellStart"/>
      <w:r w:rsidRPr="007E6908">
        <w:rPr>
          <w:color w:val="000000" w:themeColor="text1"/>
        </w:rPr>
        <w:t>FoRB</w:t>
      </w:r>
      <w:proofErr w:type="spellEnd"/>
      <w:r w:rsidRPr="007E6908">
        <w:rPr>
          <w:color w:val="000000" w:themeColor="text1"/>
        </w:rPr>
        <w:t xml:space="preserve"> has both internal and external dimensions, and must never be reduced to the mere freedom to hold a religion or belief in private. It is crucial that an appropriate, and much needed, emphasis on </w:t>
      </w:r>
      <w:proofErr w:type="spellStart"/>
      <w:r w:rsidRPr="007E6908">
        <w:rPr>
          <w:color w:val="000000" w:themeColor="text1"/>
        </w:rPr>
        <w:t>FoT</w:t>
      </w:r>
      <w:proofErr w:type="spellEnd"/>
      <w:r w:rsidRPr="007E6908">
        <w:rPr>
          <w:color w:val="000000" w:themeColor="text1"/>
        </w:rPr>
        <w:t xml:space="preserve"> not be misconstrued to unjustifiably limit a comprehensive understanding of </w:t>
      </w:r>
      <w:proofErr w:type="spellStart"/>
      <w:r w:rsidRPr="007E6908">
        <w:rPr>
          <w:color w:val="000000" w:themeColor="text1"/>
        </w:rPr>
        <w:t>FoRB</w:t>
      </w:r>
      <w:proofErr w:type="spellEnd"/>
      <w:r w:rsidRPr="007E6908">
        <w:rPr>
          <w:color w:val="000000" w:themeColor="text1"/>
        </w:rPr>
        <w:t xml:space="preserve"> in all its dimensions. For instance, a framework in which the individual enjoys unfettered protection of their internal religious convictions, but an extremely restricted ability to manifest their beliefs externally would violate the fullness of the fundamental right to </w:t>
      </w:r>
      <w:proofErr w:type="spellStart"/>
      <w:r w:rsidRPr="007E6908">
        <w:rPr>
          <w:color w:val="000000" w:themeColor="text1"/>
        </w:rPr>
        <w:t>FoRB</w:t>
      </w:r>
      <w:proofErr w:type="spellEnd"/>
      <w:r w:rsidRPr="007E6908">
        <w:rPr>
          <w:color w:val="000000" w:themeColor="text1"/>
        </w:rPr>
        <w:t>.</w:t>
      </w:r>
    </w:p>
    <w:p w14:paraId="643D5AE4" w14:textId="77777777" w:rsidR="00DD2D39" w:rsidRPr="007E6908" w:rsidRDefault="00DD2D39" w:rsidP="007E6908">
      <w:pPr>
        <w:spacing w:line="276" w:lineRule="auto"/>
        <w:ind w:left="360" w:hanging="360"/>
        <w:jc w:val="both"/>
        <w:textAlignment w:val="baseline"/>
        <w:rPr>
          <w:rFonts w:cs="Arial"/>
          <w:color w:val="000000" w:themeColor="text1"/>
        </w:rPr>
      </w:pPr>
    </w:p>
    <w:p w14:paraId="20D4DA2F" w14:textId="079C79AE"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lastRenderedPageBreak/>
        <w:t xml:space="preserve">Despite its status as a fundamental human right, </w:t>
      </w:r>
      <w:proofErr w:type="spellStart"/>
      <w:r w:rsidRPr="007E6908">
        <w:rPr>
          <w:color w:val="000000" w:themeColor="text1"/>
        </w:rPr>
        <w:t>FoT</w:t>
      </w:r>
      <w:proofErr w:type="spellEnd"/>
      <w:r w:rsidRPr="007E6908">
        <w:rPr>
          <w:color w:val="000000" w:themeColor="text1"/>
        </w:rPr>
        <w:t> has not been widely litigated or commented upon in human rights practice. There is a practical lack of international case law on </w:t>
      </w:r>
      <w:proofErr w:type="spellStart"/>
      <w:r w:rsidRPr="007E6908">
        <w:rPr>
          <w:color w:val="000000" w:themeColor="text1"/>
        </w:rPr>
        <w:t>FoT</w:t>
      </w:r>
      <w:proofErr w:type="spellEnd"/>
      <w:r w:rsidRPr="007E6908">
        <w:rPr>
          <w:color w:val="000000" w:themeColor="text1"/>
        </w:rPr>
        <w:t> specifically; </w:t>
      </w:r>
      <w:proofErr w:type="gramStart"/>
      <w:r w:rsidRPr="007E6908">
        <w:rPr>
          <w:color w:val="000000" w:themeColor="text1"/>
        </w:rPr>
        <w:t>the vast majority of</w:t>
      </w:r>
      <w:proofErr w:type="gramEnd"/>
      <w:r w:rsidRPr="007E6908">
        <w:rPr>
          <w:color w:val="000000" w:themeColor="text1"/>
        </w:rPr>
        <w:t xml:space="preserve"> jurisprudence focuses naturally on rights relating to the </w:t>
      </w:r>
      <w:r w:rsidRPr="007E6908">
        <w:rPr>
          <w:i/>
          <w:iCs/>
          <w:color w:val="000000" w:themeColor="text1"/>
        </w:rPr>
        <w:t xml:space="preserve">forum </w:t>
      </w:r>
      <w:proofErr w:type="spellStart"/>
      <w:r w:rsidRPr="007E6908">
        <w:rPr>
          <w:i/>
          <w:iCs/>
          <w:color w:val="000000" w:themeColor="text1"/>
        </w:rPr>
        <w:t>externum</w:t>
      </w:r>
      <w:proofErr w:type="spellEnd"/>
      <w:r w:rsidRPr="007E6908">
        <w:rPr>
          <w:i/>
          <w:iCs/>
          <w:color w:val="000000" w:themeColor="text1"/>
        </w:rPr>
        <w:t xml:space="preserve">. </w:t>
      </w:r>
      <w:r w:rsidRPr="007E6908">
        <w:rPr>
          <w:color w:val="000000" w:themeColor="text1"/>
        </w:rPr>
        <w:t xml:space="preserve">This may be due to the challenging nature of demonstrating that violations of </w:t>
      </w:r>
      <w:proofErr w:type="spellStart"/>
      <w:r w:rsidRPr="007E6908">
        <w:rPr>
          <w:color w:val="000000" w:themeColor="text1"/>
        </w:rPr>
        <w:t>FoT</w:t>
      </w:r>
      <w:proofErr w:type="spellEnd"/>
      <w:r w:rsidRPr="007E6908">
        <w:rPr>
          <w:color w:val="000000" w:themeColor="text1"/>
        </w:rPr>
        <w:t xml:space="preserve"> have occurred because of its internal quality. As they are interrelated, interdependent, and indivisible, a lack of attention to </w:t>
      </w:r>
      <w:proofErr w:type="spellStart"/>
      <w:r w:rsidRPr="007E6908">
        <w:rPr>
          <w:color w:val="000000" w:themeColor="text1"/>
        </w:rPr>
        <w:t>FoT</w:t>
      </w:r>
      <w:proofErr w:type="spellEnd"/>
      <w:r w:rsidRPr="007E6908">
        <w:rPr>
          <w:color w:val="000000" w:themeColor="text1"/>
        </w:rPr>
        <w:t xml:space="preserve"> necessarily affects the protection of other fundamental rights. This can be seen in particular </w:t>
      </w:r>
      <w:proofErr w:type="gramStart"/>
      <w:r w:rsidRPr="007E6908">
        <w:rPr>
          <w:color w:val="000000" w:themeColor="text1"/>
        </w:rPr>
        <w:t>with regard to</w:t>
      </w:r>
      <w:proofErr w:type="gramEnd"/>
      <w:r w:rsidRPr="007E6908">
        <w:rPr>
          <w:color w:val="000000" w:themeColor="text1"/>
        </w:rPr>
        <w:t xml:space="preserve"> the freedom to convert or change beliefs inherent in </w:t>
      </w:r>
      <w:proofErr w:type="spellStart"/>
      <w:r w:rsidRPr="007E6908">
        <w:rPr>
          <w:color w:val="000000" w:themeColor="text1"/>
        </w:rPr>
        <w:t>FoRB</w:t>
      </w:r>
      <w:proofErr w:type="spellEnd"/>
      <w:r w:rsidRPr="007E6908">
        <w:rPr>
          <w:color w:val="000000" w:themeColor="text1"/>
        </w:rPr>
        <w:t>, in addition to the ambit of parental rights.</w:t>
      </w:r>
      <w:r w:rsidR="007E6908">
        <w:rPr>
          <w:color w:val="000000" w:themeColor="text1"/>
        </w:rPr>
        <w:tab/>
      </w:r>
      <w:r w:rsidR="007E6908">
        <w:rPr>
          <w:color w:val="000000" w:themeColor="text1"/>
        </w:rPr>
        <w:br/>
      </w:r>
    </w:p>
    <w:p w14:paraId="76A9484F" w14:textId="2CC020E8" w:rsidR="00DD2D39" w:rsidRPr="007E6908" w:rsidRDefault="00DD2D39" w:rsidP="007E6908">
      <w:pPr>
        <w:pStyle w:val="ListParagraph"/>
        <w:numPr>
          <w:ilvl w:val="0"/>
          <w:numId w:val="9"/>
        </w:numPr>
        <w:spacing w:after="0"/>
        <w:ind w:left="360" w:right="0"/>
        <w:contextualSpacing/>
        <w:textAlignment w:val="baseline"/>
        <w:rPr>
          <w:b/>
          <w:bCs/>
          <w:color w:val="000000" w:themeColor="text1"/>
        </w:rPr>
      </w:pPr>
      <w:proofErr w:type="spellStart"/>
      <w:r w:rsidRPr="007E6908">
        <w:rPr>
          <w:b/>
          <w:bCs/>
          <w:color w:val="000000" w:themeColor="text1"/>
        </w:rPr>
        <w:t>FoT</w:t>
      </w:r>
      <w:proofErr w:type="spellEnd"/>
      <w:r w:rsidRPr="007E6908">
        <w:rPr>
          <w:b/>
          <w:bCs/>
          <w:color w:val="000000" w:themeColor="text1"/>
        </w:rPr>
        <w:t> and Religious Freedom</w:t>
      </w:r>
      <w:r w:rsidR="007E6908">
        <w:rPr>
          <w:b/>
          <w:bCs/>
          <w:color w:val="000000" w:themeColor="text1"/>
        </w:rPr>
        <w:br/>
      </w:r>
      <w:r w:rsidRPr="007E6908">
        <w:rPr>
          <w:b/>
          <w:bCs/>
          <w:color w:val="000000" w:themeColor="text1"/>
        </w:rPr>
        <w:t>  </w:t>
      </w:r>
    </w:p>
    <w:p w14:paraId="7C2B025B" w14:textId="77777777" w:rsidR="00DD2D39" w:rsidRPr="007E6908" w:rsidRDefault="00DD2D39" w:rsidP="007E6908">
      <w:pPr>
        <w:pStyle w:val="ListParagraph"/>
        <w:numPr>
          <w:ilvl w:val="0"/>
          <w:numId w:val="8"/>
        </w:numPr>
        <w:spacing w:after="0"/>
        <w:ind w:left="360" w:right="0"/>
        <w:contextualSpacing/>
        <w:textAlignment w:val="baseline"/>
        <w:rPr>
          <w:color w:val="000000" w:themeColor="text1"/>
        </w:rPr>
      </w:pPr>
      <w:r w:rsidRPr="007E6908">
        <w:rPr>
          <w:color w:val="000000" w:themeColor="text1"/>
        </w:rPr>
        <w:t xml:space="preserve">The act of discerning one’s religion or belief occurs as part of the </w:t>
      </w:r>
      <w:r w:rsidRPr="007E6908">
        <w:rPr>
          <w:i/>
          <w:iCs/>
          <w:color w:val="000000" w:themeColor="text1"/>
        </w:rPr>
        <w:t xml:space="preserve">forum </w:t>
      </w:r>
      <w:proofErr w:type="spellStart"/>
      <w:r w:rsidRPr="007E6908">
        <w:rPr>
          <w:i/>
          <w:iCs/>
          <w:color w:val="000000" w:themeColor="text1"/>
        </w:rPr>
        <w:t>internum</w:t>
      </w:r>
      <w:proofErr w:type="spellEnd"/>
      <w:r w:rsidRPr="007E6908">
        <w:rPr>
          <w:color w:val="000000" w:themeColor="text1"/>
        </w:rPr>
        <w:t xml:space="preserve">, and consequently merits absolute protection. Like </w:t>
      </w:r>
      <w:proofErr w:type="spellStart"/>
      <w:r w:rsidRPr="007E6908">
        <w:rPr>
          <w:color w:val="000000" w:themeColor="text1"/>
        </w:rPr>
        <w:t>FoT</w:t>
      </w:r>
      <w:proofErr w:type="spellEnd"/>
      <w:r w:rsidRPr="007E6908">
        <w:rPr>
          <w:color w:val="000000" w:themeColor="text1"/>
        </w:rPr>
        <w:t xml:space="preserve">, this element of </w:t>
      </w:r>
      <w:proofErr w:type="spellStart"/>
      <w:r w:rsidRPr="007E6908">
        <w:rPr>
          <w:color w:val="000000" w:themeColor="text1"/>
        </w:rPr>
        <w:t>FoRB</w:t>
      </w:r>
      <w:proofErr w:type="spellEnd"/>
      <w:r w:rsidRPr="007E6908">
        <w:rPr>
          <w:color w:val="000000" w:themeColor="text1"/>
        </w:rPr>
        <w:t xml:space="preserve"> cannot be subject to restriction; however, the freedom to convert is in jeopardy in many parts of the world. Former Special Rapporteur on freedom of religion or belief Heiner Bielefeldt highlighted the key importance of protecting the right to religious conversion in his comments before the General Assembly in 2012, outlining that States must abolish punishments against conversion and remove administrative obstacles, in addition to ensuring that those who convert are not threatened, for example with violence by third parties, or even by the State.</w:t>
      </w:r>
      <w:r w:rsidRPr="007E6908">
        <w:rPr>
          <w:rStyle w:val="FootnoteReference"/>
          <w:color w:val="000000" w:themeColor="text1"/>
        </w:rPr>
        <w:footnoteReference w:id="10"/>
      </w:r>
    </w:p>
    <w:p w14:paraId="190646B6" w14:textId="77777777" w:rsidR="00DD2D39" w:rsidRPr="007E6908" w:rsidRDefault="00DD2D39" w:rsidP="007E6908">
      <w:pPr>
        <w:spacing w:line="276" w:lineRule="auto"/>
        <w:ind w:left="360" w:hanging="360"/>
        <w:textAlignment w:val="baseline"/>
        <w:rPr>
          <w:rFonts w:cs="Arial"/>
          <w:color w:val="000000" w:themeColor="text1"/>
        </w:rPr>
      </w:pPr>
    </w:p>
    <w:p w14:paraId="20D36C17" w14:textId="4AF187C9"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A worrisome trend to enact “anti-conversion-laws” or “proselytism bans”</w:t>
      </w:r>
      <w:r w:rsidRPr="007E6908">
        <w:rPr>
          <w:rStyle w:val="FootnoteReference"/>
          <w:color w:val="000000" w:themeColor="text1"/>
        </w:rPr>
        <w:footnoteReference w:id="11"/>
      </w:r>
      <w:r w:rsidRPr="007E6908">
        <w:rPr>
          <w:color w:val="000000" w:themeColor="text1"/>
        </w:rPr>
        <w:t xml:space="preserve"> severely threatens </w:t>
      </w:r>
      <w:proofErr w:type="spellStart"/>
      <w:r w:rsidRPr="007E6908">
        <w:rPr>
          <w:color w:val="000000" w:themeColor="text1"/>
        </w:rPr>
        <w:t>FoRB</w:t>
      </w:r>
      <w:proofErr w:type="spellEnd"/>
      <w:r w:rsidRPr="007E6908">
        <w:rPr>
          <w:color w:val="000000" w:themeColor="text1"/>
        </w:rPr>
        <w:t xml:space="preserve"> in violation of international law, </w:t>
      </w:r>
      <w:proofErr w:type="gramStart"/>
      <w:r w:rsidRPr="007E6908">
        <w:rPr>
          <w:color w:val="000000" w:themeColor="text1"/>
        </w:rPr>
        <w:t>and also</w:t>
      </w:r>
      <w:proofErr w:type="gramEnd"/>
      <w:r w:rsidRPr="007E6908">
        <w:rPr>
          <w:color w:val="000000" w:themeColor="text1"/>
        </w:rPr>
        <w:t xml:space="preserve"> has serious implications for </w:t>
      </w:r>
      <w:proofErr w:type="spellStart"/>
      <w:r w:rsidRPr="007E6908">
        <w:rPr>
          <w:color w:val="000000" w:themeColor="text1"/>
        </w:rPr>
        <w:t>FoT</w:t>
      </w:r>
      <w:proofErr w:type="spellEnd"/>
      <w:r w:rsidRPr="007E6908">
        <w:rPr>
          <w:color w:val="000000" w:themeColor="text1"/>
        </w:rPr>
        <w:t xml:space="preserve">. First and foremost, it is impermissible to frame these bans as necessary to protect </w:t>
      </w:r>
      <w:proofErr w:type="spellStart"/>
      <w:r w:rsidRPr="007E6908">
        <w:rPr>
          <w:color w:val="000000" w:themeColor="text1"/>
        </w:rPr>
        <w:t>FoT</w:t>
      </w:r>
      <w:proofErr w:type="spellEnd"/>
      <w:r w:rsidRPr="007E6908">
        <w:rPr>
          <w:color w:val="000000" w:themeColor="text1"/>
        </w:rPr>
        <w:t xml:space="preserve">, as </w:t>
      </w:r>
      <w:proofErr w:type="spellStart"/>
      <w:r w:rsidRPr="007E6908">
        <w:rPr>
          <w:color w:val="000000" w:themeColor="text1"/>
        </w:rPr>
        <w:t>FoRB</w:t>
      </w:r>
      <w:proofErr w:type="spellEnd"/>
      <w:r w:rsidRPr="007E6908">
        <w:rPr>
          <w:color w:val="000000" w:themeColor="text1"/>
        </w:rPr>
        <w:t xml:space="preserve"> very clearly encompasses the freedom to manifest and teach one’s religion or belief, subject to the individual’s right to be free from coercion.</w:t>
      </w:r>
      <w:r w:rsidRPr="007E6908">
        <w:rPr>
          <w:rStyle w:val="FootnoteReference"/>
          <w:color w:val="000000" w:themeColor="text1"/>
        </w:rPr>
        <w:footnoteReference w:id="12"/>
      </w:r>
      <w:r w:rsidRPr="007E6908">
        <w:rPr>
          <w:color w:val="000000" w:themeColor="text1"/>
        </w:rPr>
        <w:t xml:space="preserve"> Absent coercion, manifesting one’s religion or belief does not impinge upon the </w:t>
      </w:r>
      <w:r w:rsidRPr="007E6908">
        <w:rPr>
          <w:i/>
          <w:iCs/>
          <w:color w:val="000000" w:themeColor="text1"/>
        </w:rPr>
        <w:t xml:space="preserve">forum </w:t>
      </w:r>
      <w:proofErr w:type="spellStart"/>
      <w:r w:rsidRPr="007E6908">
        <w:rPr>
          <w:i/>
          <w:iCs/>
          <w:color w:val="000000" w:themeColor="text1"/>
        </w:rPr>
        <w:t>internum</w:t>
      </w:r>
      <w:proofErr w:type="spellEnd"/>
      <w:r w:rsidRPr="007E6908">
        <w:rPr>
          <w:i/>
          <w:iCs/>
          <w:color w:val="000000" w:themeColor="text1"/>
        </w:rPr>
        <w:t xml:space="preserve"> </w:t>
      </w:r>
      <w:r w:rsidRPr="007E6908">
        <w:rPr>
          <w:color w:val="000000" w:themeColor="text1"/>
        </w:rPr>
        <w:t xml:space="preserve">of the other. </w:t>
      </w:r>
    </w:p>
    <w:p w14:paraId="69E67C21" w14:textId="77777777" w:rsidR="00DD2D39" w:rsidRPr="007E6908" w:rsidRDefault="00DD2D39" w:rsidP="007E6908">
      <w:pPr>
        <w:spacing w:line="276" w:lineRule="auto"/>
        <w:ind w:left="360" w:hanging="360"/>
        <w:rPr>
          <w:rFonts w:cs="Arial"/>
          <w:color w:val="000000" w:themeColor="text1"/>
        </w:rPr>
      </w:pPr>
    </w:p>
    <w:p w14:paraId="4A34ECA8" w14:textId="77777777"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 xml:space="preserve">Restrictions on the freedom to convert or change belief, whether legal or practical, in fact directly threaten </w:t>
      </w:r>
      <w:proofErr w:type="spellStart"/>
      <w:r w:rsidRPr="007E6908">
        <w:rPr>
          <w:color w:val="000000" w:themeColor="text1"/>
        </w:rPr>
        <w:t>FoT</w:t>
      </w:r>
      <w:proofErr w:type="spellEnd"/>
      <w:r w:rsidRPr="007E6908">
        <w:rPr>
          <w:color w:val="000000" w:themeColor="text1"/>
        </w:rPr>
        <w:t xml:space="preserve">. We are entitled to freely discern our religious and other beliefs, and there is a strong element of thought that necessarily goes into this process. </w:t>
      </w:r>
      <w:proofErr w:type="spellStart"/>
      <w:r w:rsidRPr="007E6908">
        <w:rPr>
          <w:color w:val="000000" w:themeColor="text1"/>
        </w:rPr>
        <w:t>FoT</w:t>
      </w:r>
      <w:proofErr w:type="spellEnd"/>
      <w:r w:rsidRPr="007E6908">
        <w:rPr>
          <w:color w:val="000000" w:themeColor="text1"/>
        </w:rPr>
        <w:t xml:space="preserve"> thus is necessary for the subsequent freedom to manifest these thoughts through a religion or belief of one’s choice. States must respect the absolute nature of this right by abolishing bans or punishments for conversion, removing administrative obstacles, and protecting against third-party infringements, in addition to promoting a societal climate in which one can change religions or beliefs without fear and free from discrimination.</w:t>
      </w:r>
    </w:p>
    <w:p w14:paraId="6B67CDBC" w14:textId="77777777" w:rsidR="00DD2D39" w:rsidRPr="007E6908" w:rsidRDefault="00DD2D39" w:rsidP="007E6908">
      <w:pPr>
        <w:spacing w:line="276" w:lineRule="auto"/>
        <w:ind w:left="360" w:hanging="360"/>
        <w:rPr>
          <w:rFonts w:cs="Arial"/>
          <w:color w:val="000000" w:themeColor="text1"/>
        </w:rPr>
      </w:pPr>
    </w:p>
    <w:p w14:paraId="084C83EF" w14:textId="77777777"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 xml:space="preserve">It bears noting that thoughts as relating to both religion and other beliefs often are first expressed in the family—the most intimate area of communication, and the starting point for education. </w:t>
      </w:r>
      <w:proofErr w:type="spellStart"/>
      <w:r w:rsidRPr="007E6908">
        <w:rPr>
          <w:color w:val="000000" w:themeColor="text1"/>
        </w:rPr>
        <w:t>FoT</w:t>
      </w:r>
      <w:proofErr w:type="spellEnd"/>
      <w:r w:rsidRPr="007E6908">
        <w:rPr>
          <w:color w:val="000000" w:themeColor="text1"/>
        </w:rPr>
        <w:t xml:space="preserve"> is inextricably linked to parental rights. The Universal Declaration of Human Rights, article 26(3), regards the parental right to educate one’s children in </w:t>
      </w:r>
      <w:r w:rsidRPr="007E6908">
        <w:rPr>
          <w:color w:val="000000" w:themeColor="text1"/>
        </w:rPr>
        <w:lastRenderedPageBreak/>
        <w:t>accordance with one’s convictions as a “prior right”.</w:t>
      </w:r>
      <w:r w:rsidRPr="007E6908">
        <w:rPr>
          <w:rStyle w:val="FootnoteReference"/>
          <w:color w:val="000000" w:themeColor="text1"/>
        </w:rPr>
        <w:footnoteReference w:id="13"/>
      </w:r>
      <w:r w:rsidRPr="007E6908">
        <w:rPr>
          <w:color w:val="000000" w:themeColor="text1"/>
        </w:rPr>
        <w:t xml:space="preserve"> Similarly the ICCPR accords parental rights the greatest respect.</w:t>
      </w:r>
      <w:r w:rsidRPr="007E6908">
        <w:rPr>
          <w:rStyle w:val="FootnoteReference"/>
          <w:color w:val="000000" w:themeColor="text1"/>
        </w:rPr>
        <w:footnoteReference w:id="14"/>
      </w:r>
      <w:r w:rsidRPr="007E6908">
        <w:rPr>
          <w:color w:val="000000" w:themeColor="text1"/>
        </w:rPr>
        <w:t xml:space="preserve"> General Comment No. 22 recognizes ICCPR article 18 as protecting the “liberty of parents or legal guardians to ensure that their children receive a religious and moral education in conformity with their own convictions”.</w:t>
      </w:r>
      <w:r w:rsidRPr="007E6908">
        <w:rPr>
          <w:rStyle w:val="FootnoteReference"/>
          <w:color w:val="000000" w:themeColor="text1"/>
        </w:rPr>
        <w:footnoteReference w:id="15"/>
      </w:r>
      <w:r w:rsidRPr="007E6908">
        <w:rPr>
          <w:color w:val="000000" w:themeColor="text1"/>
        </w:rPr>
        <w:t xml:space="preserve"> This protection is so important that the Committee expressly noted that, “public education that includes instruction in a particular religion or belief is inconsistent with article 18(4) unless provision is made for non-discriminatory exemptions or alternatives that would accommodate the wishes of parents and guardians”.</w:t>
      </w:r>
      <w:r w:rsidRPr="007E6908">
        <w:rPr>
          <w:rStyle w:val="FootnoteReference"/>
          <w:color w:val="000000" w:themeColor="text1"/>
        </w:rPr>
        <w:footnoteReference w:id="16"/>
      </w:r>
      <w:r w:rsidRPr="007E6908">
        <w:rPr>
          <w:color w:val="000000" w:themeColor="text1"/>
        </w:rPr>
        <w:t xml:space="preserve"> To put this statement another way, the rights of parents to raise their children in accordance with their religion or belief in article 18(4), as well as the requirement of States to have respect for the liberty of parents, is a fundamental aspect of the freedom of thought, conscience, and religion as protected in article 18(1). This right “cannot be restricted”.</w:t>
      </w:r>
      <w:r w:rsidRPr="007E6908">
        <w:rPr>
          <w:rStyle w:val="FootnoteReference"/>
          <w:color w:val="000000" w:themeColor="text1"/>
        </w:rPr>
        <w:footnoteReference w:id="17"/>
      </w:r>
    </w:p>
    <w:p w14:paraId="7A6E2B2E" w14:textId="77777777" w:rsidR="00DD2D39" w:rsidRPr="007E6908" w:rsidRDefault="00DD2D39" w:rsidP="007E6908">
      <w:pPr>
        <w:spacing w:line="276" w:lineRule="auto"/>
        <w:ind w:left="360" w:hanging="360"/>
        <w:rPr>
          <w:rFonts w:cs="Arial"/>
          <w:color w:val="000000" w:themeColor="text1"/>
        </w:rPr>
      </w:pPr>
    </w:p>
    <w:p w14:paraId="6F7B8F3A" w14:textId="68564834"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Similarly, General Comment No. 22 explicitly states that beliefs or practices that constitute an “official ideology” of the State “shall not result in any impairment of the freedom under article 18 or any other rights recognized under the Covenant nor in any discrimination against persons who do not accept the official ideology or who oppose it”.</w:t>
      </w:r>
      <w:r w:rsidRPr="007E6908">
        <w:rPr>
          <w:rStyle w:val="FootnoteReference"/>
          <w:color w:val="000000" w:themeColor="text1"/>
        </w:rPr>
        <w:footnoteReference w:id="18"/>
      </w:r>
      <w:r w:rsidRPr="007E6908">
        <w:rPr>
          <w:color w:val="000000" w:themeColor="text1"/>
        </w:rPr>
        <w:t xml:space="preserve"> This statement relates directly to </w:t>
      </w:r>
      <w:proofErr w:type="spellStart"/>
      <w:r w:rsidRPr="007E6908">
        <w:rPr>
          <w:color w:val="000000" w:themeColor="text1"/>
        </w:rPr>
        <w:t>FoT</w:t>
      </w:r>
      <w:proofErr w:type="spellEnd"/>
      <w:r w:rsidRPr="007E6908">
        <w:rPr>
          <w:color w:val="000000" w:themeColor="text1"/>
        </w:rPr>
        <w:t xml:space="preserve"> in that States that wish to impose an “official ideology” on individuals are </w:t>
      </w:r>
      <w:r w:rsidRPr="007E6908">
        <w:rPr>
          <w:i/>
          <w:iCs/>
          <w:color w:val="000000" w:themeColor="text1"/>
        </w:rPr>
        <w:t>per se</w:t>
      </w:r>
      <w:r w:rsidRPr="007E6908">
        <w:rPr>
          <w:color w:val="000000" w:themeColor="text1"/>
        </w:rPr>
        <w:t xml:space="preserve"> attempting to control or eradicate certain thoughts. Article 18 forbids such attempts at control expressly for the protection of individuals and parents. </w:t>
      </w:r>
      <w:r w:rsidR="007E6908">
        <w:rPr>
          <w:color w:val="000000" w:themeColor="text1"/>
        </w:rPr>
        <w:tab/>
      </w:r>
      <w:r w:rsidR="007E6908">
        <w:rPr>
          <w:color w:val="000000" w:themeColor="text1"/>
        </w:rPr>
        <w:br/>
      </w:r>
    </w:p>
    <w:p w14:paraId="175716E9" w14:textId="77777777" w:rsidR="00DD2D39" w:rsidRPr="007E6908" w:rsidRDefault="00DD2D39" w:rsidP="007E6908">
      <w:pPr>
        <w:pStyle w:val="ListParagraph"/>
        <w:numPr>
          <w:ilvl w:val="0"/>
          <w:numId w:val="9"/>
        </w:numPr>
        <w:spacing w:after="0"/>
        <w:ind w:left="360" w:right="0"/>
        <w:contextualSpacing/>
        <w:textAlignment w:val="baseline"/>
        <w:rPr>
          <w:b/>
          <w:bCs/>
          <w:color w:val="000000" w:themeColor="text1"/>
        </w:rPr>
      </w:pPr>
      <w:proofErr w:type="spellStart"/>
      <w:r w:rsidRPr="007E6908">
        <w:rPr>
          <w:b/>
          <w:bCs/>
          <w:color w:val="000000" w:themeColor="text1"/>
        </w:rPr>
        <w:t>FoT</w:t>
      </w:r>
      <w:proofErr w:type="spellEnd"/>
      <w:r w:rsidRPr="007E6908">
        <w:rPr>
          <w:b/>
          <w:bCs/>
          <w:color w:val="000000" w:themeColor="text1"/>
        </w:rPr>
        <w:t> and the Thoughts of Others  </w:t>
      </w:r>
    </w:p>
    <w:p w14:paraId="0316A185" w14:textId="77777777" w:rsidR="00DD2D39" w:rsidRPr="007E6908" w:rsidRDefault="00DD2D39" w:rsidP="007E6908">
      <w:pPr>
        <w:spacing w:line="276" w:lineRule="auto"/>
        <w:ind w:left="360" w:hanging="360"/>
        <w:textAlignment w:val="baseline"/>
        <w:rPr>
          <w:rFonts w:cs="Arial"/>
          <w:b/>
          <w:bCs/>
          <w:color w:val="000000" w:themeColor="text1"/>
        </w:rPr>
      </w:pPr>
    </w:p>
    <w:p w14:paraId="163F19A0" w14:textId="77777777"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proofErr w:type="spellStart"/>
      <w:r w:rsidRPr="007E6908">
        <w:rPr>
          <w:color w:val="000000" w:themeColor="text1"/>
        </w:rPr>
        <w:t>FoT</w:t>
      </w:r>
      <w:proofErr w:type="spellEnd"/>
      <w:r w:rsidRPr="007E6908">
        <w:rPr>
          <w:color w:val="000000" w:themeColor="text1"/>
        </w:rPr>
        <w:t xml:space="preserve"> also must be considered </w:t>
      </w:r>
      <w:proofErr w:type="gramStart"/>
      <w:r w:rsidRPr="007E6908">
        <w:rPr>
          <w:color w:val="000000" w:themeColor="text1"/>
        </w:rPr>
        <w:t>in light of</w:t>
      </w:r>
      <w:proofErr w:type="gramEnd"/>
      <w:r w:rsidRPr="007E6908">
        <w:rPr>
          <w:color w:val="000000" w:themeColor="text1"/>
        </w:rPr>
        <w:t xml:space="preserve"> the numerous, and increasingly prolific, laws that attempt to curb the freedom of expression and opinion by way of overly vague and arbitrary means, often with criminal sanctions.</w:t>
      </w:r>
      <w:r w:rsidRPr="007E6908">
        <w:rPr>
          <w:rStyle w:val="FootnoteReference"/>
          <w:color w:val="000000" w:themeColor="text1"/>
        </w:rPr>
        <w:footnoteReference w:id="19"/>
      </w:r>
      <w:r w:rsidRPr="007E6908">
        <w:rPr>
          <w:color w:val="000000" w:themeColor="text1"/>
        </w:rPr>
        <w:t xml:space="preserve"> The right to share one’s beliefs freely and publicly inevitably has the potential to influence the thoughts of others. This is a natural, and ultimately, desirable aspect of living together in society. A detrimental corollary of this is the possibility for the manipulation of thoughts through indoctrination. Growing threats regarding the spread of both misinformation and disinformation through increased technological connectivity undoubtedly give rise to real concerns. However, what constitutes misinformation or disinformation is for the most part inherently subjective, inviting governments to abuse their power when making determinations in this area. </w:t>
      </w:r>
    </w:p>
    <w:p w14:paraId="0DC6CC59" w14:textId="77777777" w:rsidR="00DD2D39" w:rsidRPr="007E6908" w:rsidRDefault="00DD2D39" w:rsidP="007E6908">
      <w:pPr>
        <w:spacing w:line="276" w:lineRule="auto"/>
        <w:ind w:left="360" w:hanging="360"/>
        <w:rPr>
          <w:rFonts w:cs="Arial"/>
          <w:color w:val="000000" w:themeColor="text1"/>
        </w:rPr>
      </w:pPr>
    </w:p>
    <w:p w14:paraId="1E9A25CF" w14:textId="77777777"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 xml:space="preserve">Governments often will target and label the speech and practices of disfavored minorities as misinformation or disinformation </w:t>
      </w:r>
      <w:proofErr w:type="gramStart"/>
      <w:r w:rsidRPr="007E6908">
        <w:rPr>
          <w:color w:val="000000" w:themeColor="text1"/>
        </w:rPr>
        <w:t>in order to</w:t>
      </w:r>
      <w:proofErr w:type="gramEnd"/>
      <w:r w:rsidRPr="007E6908">
        <w:rPr>
          <w:color w:val="000000" w:themeColor="text1"/>
        </w:rPr>
        <w:t xml:space="preserve"> establish an official ideology of the State. Herein it is evident that censorship undermines the ability of the individual to ascertain what is true. It is critical that the freedom to manifest one’s religion or belief and other rights of expression be subject only to narrow restrictions in accordance with international legal </w:t>
      </w:r>
      <w:r w:rsidRPr="007E6908">
        <w:rPr>
          <w:color w:val="000000" w:themeColor="text1"/>
        </w:rPr>
        <w:lastRenderedPageBreak/>
        <w:t xml:space="preserve">parameters. These freedoms are the antidote to misinformation and disinformation, and an essential precondition for the flourishing of </w:t>
      </w:r>
      <w:proofErr w:type="spellStart"/>
      <w:r w:rsidRPr="007E6908">
        <w:rPr>
          <w:color w:val="000000" w:themeColor="text1"/>
        </w:rPr>
        <w:t>FoT</w:t>
      </w:r>
      <w:proofErr w:type="spellEnd"/>
      <w:r w:rsidRPr="007E6908">
        <w:rPr>
          <w:color w:val="000000" w:themeColor="text1"/>
        </w:rPr>
        <w:t xml:space="preserve">. </w:t>
      </w:r>
    </w:p>
    <w:p w14:paraId="1AA947E0" w14:textId="77777777" w:rsidR="00DD2D39" w:rsidRPr="007E6908" w:rsidRDefault="00DD2D39" w:rsidP="007E6908">
      <w:pPr>
        <w:spacing w:line="276" w:lineRule="auto"/>
        <w:ind w:left="360" w:hanging="360"/>
        <w:textAlignment w:val="baseline"/>
        <w:rPr>
          <w:rFonts w:cs="Arial"/>
          <w:color w:val="000000" w:themeColor="text1"/>
        </w:rPr>
      </w:pPr>
    </w:p>
    <w:p w14:paraId="6B370F66" w14:textId="77777777"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 xml:space="preserve">The absolute protections required by </w:t>
      </w:r>
      <w:proofErr w:type="spellStart"/>
      <w:r w:rsidRPr="007E6908">
        <w:rPr>
          <w:color w:val="000000" w:themeColor="text1"/>
        </w:rPr>
        <w:t>FoT</w:t>
      </w:r>
      <w:proofErr w:type="spellEnd"/>
      <w:r w:rsidRPr="007E6908">
        <w:rPr>
          <w:color w:val="000000" w:themeColor="text1"/>
        </w:rPr>
        <w:t xml:space="preserve"> must not be mistaken to imply an absolute freedom from the thoughts of others. International law is clear that the freedom to manifest and express one’s religion or belief does not infringe upon the </w:t>
      </w:r>
      <w:r w:rsidRPr="007E6908">
        <w:rPr>
          <w:i/>
          <w:iCs/>
          <w:color w:val="000000" w:themeColor="text1"/>
        </w:rPr>
        <w:t xml:space="preserve">forum </w:t>
      </w:r>
      <w:proofErr w:type="spellStart"/>
      <w:r w:rsidRPr="007E6908">
        <w:rPr>
          <w:i/>
          <w:iCs/>
          <w:color w:val="000000" w:themeColor="text1"/>
        </w:rPr>
        <w:t>internum</w:t>
      </w:r>
      <w:proofErr w:type="spellEnd"/>
      <w:r w:rsidRPr="007E6908">
        <w:rPr>
          <w:i/>
          <w:iCs/>
          <w:color w:val="000000" w:themeColor="text1"/>
        </w:rPr>
        <w:t xml:space="preserve"> </w:t>
      </w:r>
      <w:r w:rsidRPr="007E6908">
        <w:rPr>
          <w:color w:val="000000" w:themeColor="text1"/>
        </w:rPr>
        <w:t>of the other unless coercion is present.</w:t>
      </w:r>
      <w:r w:rsidRPr="007E6908">
        <w:rPr>
          <w:rStyle w:val="FootnoteReference"/>
          <w:color w:val="000000" w:themeColor="text1"/>
        </w:rPr>
        <w:footnoteReference w:id="20"/>
      </w:r>
      <w:r w:rsidRPr="007E6908">
        <w:rPr>
          <w:color w:val="000000" w:themeColor="text1"/>
        </w:rPr>
        <w:t xml:space="preserve"> If we had such a “freedom,” it would be impossible to engage in a conversation or to read a book as one is constantly engaging with the thoughts of those around them. There is no right to live free of opinions other than our own. The ECtHR in the landmark case of </w:t>
      </w:r>
      <w:r w:rsidRPr="007E6908">
        <w:rPr>
          <w:i/>
          <w:iCs/>
          <w:color w:val="000000" w:themeColor="text1"/>
        </w:rPr>
        <w:t>Handyside v UK</w:t>
      </w:r>
      <w:r w:rsidRPr="007E6908">
        <w:rPr>
          <w:rStyle w:val="FootnoteReference"/>
          <w:i/>
          <w:iCs/>
          <w:color w:val="000000" w:themeColor="text1"/>
        </w:rPr>
        <w:footnoteReference w:id="21"/>
      </w:r>
      <w:r w:rsidRPr="007E6908">
        <w:rPr>
          <w:i/>
          <w:iCs/>
          <w:color w:val="000000" w:themeColor="text1"/>
          <w:vertAlign w:val="superscript"/>
        </w:rPr>
        <w:t xml:space="preserve"> </w:t>
      </w:r>
      <w:r w:rsidRPr="007E6908">
        <w:rPr>
          <w:color w:val="000000" w:themeColor="text1"/>
        </w:rPr>
        <w:t>articulated that even expressions that shock, offend, and disturb must be part of and, in fact, hold value for society.</w:t>
      </w:r>
    </w:p>
    <w:p w14:paraId="3A56B0A5" w14:textId="77777777" w:rsidR="00DD2D39" w:rsidRPr="007E6908" w:rsidRDefault="00DD2D39" w:rsidP="007E6908">
      <w:pPr>
        <w:spacing w:line="276" w:lineRule="auto"/>
        <w:ind w:left="360" w:hanging="360"/>
        <w:textAlignment w:val="baseline"/>
        <w:rPr>
          <w:rFonts w:cs="Arial"/>
          <w:color w:val="000000" w:themeColor="text1"/>
        </w:rPr>
      </w:pPr>
    </w:p>
    <w:p w14:paraId="2AC375B2" w14:textId="6F184EC6"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In the rare instance where expressions require restriction, the thoughts that precede them still merit absolute protection</w:t>
      </w:r>
      <w:r w:rsidR="007E6908">
        <w:rPr>
          <w:color w:val="000000" w:themeColor="text1"/>
        </w:rPr>
        <w:t xml:space="preserve">. </w:t>
      </w:r>
      <w:r w:rsidRPr="007E6908">
        <w:rPr>
          <w:color w:val="000000" w:themeColor="text1"/>
        </w:rPr>
        <w:t>Absolute protection of the </w:t>
      </w:r>
      <w:r w:rsidRPr="007E6908">
        <w:rPr>
          <w:i/>
          <w:iCs/>
          <w:color w:val="000000" w:themeColor="text1"/>
        </w:rPr>
        <w:t>forum </w:t>
      </w:r>
      <w:proofErr w:type="spellStart"/>
      <w:r w:rsidRPr="007E6908">
        <w:rPr>
          <w:i/>
          <w:iCs/>
          <w:color w:val="000000" w:themeColor="text1"/>
        </w:rPr>
        <w:t>internum</w:t>
      </w:r>
      <w:proofErr w:type="spellEnd"/>
      <w:r w:rsidRPr="007E6908">
        <w:rPr>
          <w:i/>
          <w:iCs/>
          <w:color w:val="000000" w:themeColor="text1"/>
        </w:rPr>
        <w:t> </w:t>
      </w:r>
      <w:r w:rsidRPr="007E6908">
        <w:rPr>
          <w:color w:val="000000" w:themeColor="text1"/>
        </w:rPr>
        <w:t xml:space="preserve">necessarily precludes any judgment as to whether thoughts are legal or illegal. Although thinking is often a precursor to action, no interference is permissible unless this line is crossed. Any attempt to limit thinking is an unjustifiable limitation of a person’s right to mental autonomy. George Orwell’s </w:t>
      </w:r>
      <w:r w:rsidRPr="007E6908">
        <w:rPr>
          <w:i/>
          <w:iCs/>
          <w:color w:val="000000" w:themeColor="text1"/>
        </w:rPr>
        <w:t>Nineteen Eighty-Four</w:t>
      </w:r>
      <w:r w:rsidRPr="007E6908">
        <w:rPr>
          <w:color w:val="000000" w:themeColor="text1"/>
        </w:rPr>
        <w:t xml:space="preserve"> portrays with uncanny accuracy laws that so alter language, impose conformity, and punish dissent that the </w:t>
      </w:r>
      <w:r w:rsidRPr="007E6908">
        <w:rPr>
          <w:i/>
          <w:iCs/>
          <w:color w:val="000000" w:themeColor="text1"/>
        </w:rPr>
        <w:t xml:space="preserve">forum </w:t>
      </w:r>
      <w:proofErr w:type="spellStart"/>
      <w:r w:rsidRPr="007E6908">
        <w:rPr>
          <w:i/>
          <w:iCs/>
          <w:color w:val="000000" w:themeColor="text1"/>
        </w:rPr>
        <w:t>internum</w:t>
      </w:r>
      <w:proofErr w:type="spellEnd"/>
      <w:r w:rsidRPr="007E6908">
        <w:rPr>
          <w:color w:val="000000" w:themeColor="text1"/>
        </w:rPr>
        <w:t xml:space="preserve"> is directly violated. As he notes with sarcasm in describing the effect of policing thought </w:t>
      </w:r>
      <w:proofErr w:type="gramStart"/>
      <w:r w:rsidRPr="007E6908">
        <w:rPr>
          <w:color w:val="000000" w:themeColor="text1"/>
        </w:rPr>
        <w:t>in order to</w:t>
      </w:r>
      <w:proofErr w:type="gramEnd"/>
      <w:r w:rsidRPr="007E6908">
        <w:rPr>
          <w:color w:val="000000" w:themeColor="text1"/>
        </w:rPr>
        <w:t xml:space="preserve"> mandate belief in an official ideology, “Don’t you see that the whole aim of Newspeak is to narrow the range of thought? In the end we shall make thought crime literally impossible, because there will be no words in which to express it”.</w:t>
      </w:r>
      <w:r w:rsidRPr="007E6908">
        <w:rPr>
          <w:rStyle w:val="FootnoteReference"/>
          <w:color w:val="000000" w:themeColor="text1"/>
        </w:rPr>
        <w:footnoteReference w:id="22"/>
      </w:r>
    </w:p>
    <w:p w14:paraId="2786F9A5" w14:textId="77777777" w:rsidR="00DD2D39" w:rsidRPr="007E6908" w:rsidRDefault="00DD2D39" w:rsidP="007E6908">
      <w:pPr>
        <w:spacing w:line="276" w:lineRule="auto"/>
        <w:ind w:left="360" w:hanging="360"/>
        <w:rPr>
          <w:rFonts w:cs="Arial"/>
          <w:color w:val="000000" w:themeColor="text1"/>
        </w:rPr>
      </w:pPr>
    </w:p>
    <w:p w14:paraId="0023E977" w14:textId="2BBA5034" w:rsidR="00DD2D39" w:rsidRPr="007E6908" w:rsidRDefault="00DD2D39" w:rsidP="007E6908">
      <w:pPr>
        <w:pStyle w:val="ListParagraph"/>
        <w:numPr>
          <w:ilvl w:val="0"/>
          <w:numId w:val="8"/>
        </w:numPr>
        <w:spacing w:before="0" w:after="0"/>
        <w:ind w:left="360" w:right="0"/>
        <w:contextualSpacing/>
        <w:textAlignment w:val="baseline"/>
        <w:rPr>
          <w:color w:val="000000" w:themeColor="text1"/>
        </w:rPr>
      </w:pPr>
      <w:r w:rsidRPr="007E6908">
        <w:rPr>
          <w:color w:val="000000" w:themeColor="text1"/>
        </w:rPr>
        <w:t xml:space="preserve">Ultimately, it must be emphasized that </w:t>
      </w:r>
      <w:proofErr w:type="spellStart"/>
      <w:r w:rsidRPr="007E6908">
        <w:rPr>
          <w:color w:val="000000" w:themeColor="text1"/>
        </w:rPr>
        <w:t>FoT</w:t>
      </w:r>
      <w:proofErr w:type="spellEnd"/>
      <w:r w:rsidRPr="007E6908">
        <w:rPr>
          <w:color w:val="000000" w:themeColor="text1"/>
        </w:rPr>
        <w:t xml:space="preserve"> is a negative right whereby governments are prohibited from interfering with this fundamental freedom. A State has no corresponding positive right or obligation to foster certain ways of </w:t>
      </w:r>
      <w:proofErr w:type="gramStart"/>
      <w:r w:rsidRPr="007E6908">
        <w:rPr>
          <w:color w:val="000000" w:themeColor="text1"/>
        </w:rPr>
        <w:t>thinking, and</w:t>
      </w:r>
      <w:proofErr w:type="gramEnd"/>
      <w:r w:rsidRPr="007E6908">
        <w:rPr>
          <w:color w:val="000000" w:themeColor="text1"/>
        </w:rPr>
        <w:t xml:space="preserve"> doing so can severely infringe upon the fundamental freedoms of its citizens. General Comment no. 22’s explicit prohibition on mandating belief in an “official ideology” directly speaks to a </w:t>
      </w:r>
      <w:proofErr w:type="gramStart"/>
      <w:r w:rsidRPr="007E6908">
        <w:rPr>
          <w:color w:val="000000" w:themeColor="text1"/>
        </w:rPr>
        <w:t>State’s</w:t>
      </w:r>
      <w:proofErr w:type="gramEnd"/>
      <w:r w:rsidRPr="007E6908">
        <w:rPr>
          <w:color w:val="000000" w:themeColor="text1"/>
        </w:rPr>
        <w:t xml:space="preserve"> inability under international law to foster certain ways of thinking or specific thoughts. Further, any attempt of a State to enforce certain ways of thinking under the guise of protecting </w:t>
      </w:r>
      <w:proofErr w:type="spellStart"/>
      <w:r w:rsidR="005A1A4B" w:rsidRPr="007E6908">
        <w:rPr>
          <w:color w:val="000000" w:themeColor="text1"/>
        </w:rPr>
        <w:t>FoT</w:t>
      </w:r>
      <w:proofErr w:type="spellEnd"/>
      <w:r w:rsidRPr="007E6908">
        <w:rPr>
          <w:color w:val="000000" w:themeColor="text1"/>
        </w:rPr>
        <w:t xml:space="preserve">—for example, by interfering with parental rights in education or the internal doctrines of religious organizations—would itself violate </w:t>
      </w:r>
      <w:proofErr w:type="spellStart"/>
      <w:r w:rsidR="005A1A4B" w:rsidRPr="007E6908">
        <w:rPr>
          <w:color w:val="000000" w:themeColor="text1"/>
        </w:rPr>
        <w:t>FoT</w:t>
      </w:r>
      <w:proofErr w:type="spellEnd"/>
      <w:r w:rsidRPr="007E6908">
        <w:rPr>
          <w:color w:val="000000" w:themeColor="text1"/>
        </w:rPr>
        <w:t xml:space="preserve"> by preventing the development of conscientious thought. At the same time, as new technologies emerge, States may have a positive obligation to prohibit public and private attempts to directly control thoughts, in previously unseen ways, without consent.</w:t>
      </w:r>
      <w:r w:rsidR="007E6908">
        <w:rPr>
          <w:color w:val="000000" w:themeColor="text1"/>
        </w:rPr>
        <w:tab/>
      </w:r>
      <w:r w:rsidR="007E6908">
        <w:rPr>
          <w:color w:val="000000" w:themeColor="text1"/>
        </w:rPr>
        <w:br/>
      </w:r>
    </w:p>
    <w:p w14:paraId="72DA339B" w14:textId="721F86A7" w:rsidR="00DD2D39" w:rsidRPr="007E6908" w:rsidRDefault="00DD2D39" w:rsidP="007E6908">
      <w:pPr>
        <w:pStyle w:val="ListParagraph"/>
        <w:numPr>
          <w:ilvl w:val="0"/>
          <w:numId w:val="9"/>
        </w:numPr>
        <w:spacing w:after="0"/>
        <w:ind w:left="360" w:right="0"/>
        <w:contextualSpacing/>
        <w:textAlignment w:val="baseline"/>
        <w:rPr>
          <w:b/>
          <w:bCs/>
          <w:color w:val="000000" w:themeColor="text1"/>
        </w:rPr>
      </w:pPr>
      <w:r w:rsidRPr="007E6908">
        <w:rPr>
          <w:b/>
          <w:bCs/>
          <w:color w:val="000000" w:themeColor="text1"/>
        </w:rPr>
        <w:t>Recommendations </w:t>
      </w:r>
      <w:r w:rsidR="007E6908">
        <w:rPr>
          <w:b/>
          <w:bCs/>
          <w:color w:val="000000" w:themeColor="text1"/>
        </w:rPr>
        <w:br/>
      </w:r>
    </w:p>
    <w:p w14:paraId="67CC571D" w14:textId="33980804" w:rsidR="007E6908" w:rsidRDefault="00DD2D39" w:rsidP="007E6908">
      <w:pPr>
        <w:pStyle w:val="ListParagraph"/>
        <w:numPr>
          <w:ilvl w:val="0"/>
          <w:numId w:val="8"/>
        </w:numPr>
        <w:ind w:left="360" w:right="-70"/>
        <w:contextualSpacing/>
        <w:textAlignment w:val="baseline"/>
        <w:rPr>
          <w:color w:val="000000" w:themeColor="text1"/>
        </w:rPr>
      </w:pPr>
      <w:proofErr w:type="gramStart"/>
      <w:r w:rsidRPr="007E6908">
        <w:rPr>
          <w:color w:val="000000" w:themeColor="text1"/>
        </w:rPr>
        <w:t>In light of</w:t>
      </w:r>
      <w:proofErr w:type="gramEnd"/>
      <w:r w:rsidRPr="007E6908">
        <w:rPr>
          <w:color w:val="000000" w:themeColor="text1"/>
        </w:rPr>
        <w:t> the aforementioned, ADF International suggests that the following recommendations be included in the Special Rapporteur’s report on Freedom of Thought, to be presented at the 76</w:t>
      </w:r>
      <w:r w:rsidRPr="007E6908">
        <w:rPr>
          <w:color w:val="000000" w:themeColor="text1"/>
          <w:vertAlign w:val="superscript"/>
        </w:rPr>
        <w:t>th</w:t>
      </w:r>
      <w:r w:rsidRPr="007E6908">
        <w:rPr>
          <w:color w:val="000000" w:themeColor="text1"/>
        </w:rPr>
        <w:t> session of the UN General Assembly.</w:t>
      </w:r>
      <w:r w:rsidR="007E6908">
        <w:rPr>
          <w:color w:val="000000" w:themeColor="text1"/>
        </w:rPr>
        <w:br/>
      </w:r>
    </w:p>
    <w:p w14:paraId="6A78610F" w14:textId="77777777" w:rsidR="007E6908" w:rsidRDefault="007E6908" w:rsidP="007E6908">
      <w:pPr>
        <w:pStyle w:val="ListParagraph"/>
        <w:numPr>
          <w:ilvl w:val="0"/>
          <w:numId w:val="0"/>
        </w:numPr>
        <w:ind w:left="360" w:right="-70"/>
        <w:contextualSpacing/>
        <w:textAlignment w:val="baseline"/>
        <w:rPr>
          <w:color w:val="000000" w:themeColor="text1"/>
        </w:rPr>
      </w:pPr>
    </w:p>
    <w:p w14:paraId="594F843D" w14:textId="08DD7358" w:rsidR="00DD2D39" w:rsidRPr="007E6908" w:rsidRDefault="00DD2D39" w:rsidP="007E6908">
      <w:pPr>
        <w:pStyle w:val="ListParagraph"/>
        <w:numPr>
          <w:ilvl w:val="0"/>
          <w:numId w:val="8"/>
        </w:numPr>
        <w:ind w:left="360" w:right="-70"/>
        <w:contextualSpacing/>
        <w:textAlignment w:val="baseline"/>
        <w:rPr>
          <w:color w:val="000000" w:themeColor="text1"/>
        </w:rPr>
      </w:pPr>
      <w:r w:rsidRPr="007E6908">
        <w:rPr>
          <w:color w:val="000000" w:themeColor="text1"/>
        </w:rPr>
        <w:lastRenderedPageBreak/>
        <w:t>In particular, the Special Rapporteur may wish to call on States to:</w:t>
      </w:r>
      <w:r w:rsidR="007E6908">
        <w:rPr>
          <w:color w:val="000000" w:themeColor="text1"/>
        </w:rPr>
        <w:tab/>
      </w:r>
      <w:r w:rsidR="007E6908">
        <w:rPr>
          <w:color w:val="000000" w:themeColor="text1"/>
        </w:rPr>
        <w:br/>
      </w:r>
      <w:r w:rsidRPr="007E6908">
        <w:rPr>
          <w:color w:val="000000" w:themeColor="text1"/>
        </w:rPr>
        <w:t> </w:t>
      </w:r>
    </w:p>
    <w:p w14:paraId="05AF1B07" w14:textId="7603F29A" w:rsidR="00DD2D39" w:rsidRPr="007E6908" w:rsidRDefault="00DD2D39" w:rsidP="007E6908">
      <w:pPr>
        <w:pStyle w:val="ListParagraph"/>
        <w:numPr>
          <w:ilvl w:val="2"/>
          <w:numId w:val="10"/>
        </w:numPr>
        <w:ind w:left="1368" w:right="864"/>
        <w:contextualSpacing/>
        <w:textAlignment w:val="baseline"/>
        <w:rPr>
          <w:color w:val="000000" w:themeColor="text1"/>
        </w:rPr>
      </w:pPr>
      <w:r w:rsidRPr="007E6908">
        <w:rPr>
          <w:color w:val="000000" w:themeColor="text1"/>
        </w:rPr>
        <w:t>Clarify that </w:t>
      </w:r>
      <w:proofErr w:type="spellStart"/>
      <w:r w:rsidRPr="007E6908">
        <w:rPr>
          <w:color w:val="000000" w:themeColor="text1"/>
        </w:rPr>
        <w:t>FoT</w:t>
      </w:r>
      <w:proofErr w:type="spellEnd"/>
      <w:r w:rsidRPr="007E6908">
        <w:rPr>
          <w:color w:val="000000" w:themeColor="text1"/>
        </w:rPr>
        <w:t> is afforded absolute protection under international human rights law</w:t>
      </w:r>
      <w:r w:rsidRPr="007E6908">
        <w:rPr>
          <w:i/>
          <w:iCs/>
          <w:color w:val="000000" w:themeColor="text1"/>
        </w:rPr>
        <w:t>;</w:t>
      </w:r>
      <w:r w:rsidR="007E6908">
        <w:rPr>
          <w:i/>
          <w:iCs/>
          <w:color w:val="000000" w:themeColor="text1"/>
        </w:rPr>
        <w:tab/>
      </w:r>
      <w:r w:rsidR="007E6908">
        <w:rPr>
          <w:i/>
          <w:iCs/>
          <w:color w:val="000000" w:themeColor="text1"/>
        </w:rPr>
        <w:br/>
      </w:r>
    </w:p>
    <w:p w14:paraId="29ACA054" w14:textId="107EFDED" w:rsidR="00DD2D39" w:rsidRPr="007E6908" w:rsidRDefault="00DD2D39" w:rsidP="007E6908">
      <w:pPr>
        <w:pStyle w:val="ListParagraph"/>
        <w:numPr>
          <w:ilvl w:val="2"/>
          <w:numId w:val="10"/>
        </w:numPr>
        <w:ind w:left="1368" w:right="864"/>
        <w:contextualSpacing/>
        <w:textAlignment w:val="baseline"/>
        <w:rPr>
          <w:color w:val="000000" w:themeColor="text1"/>
        </w:rPr>
      </w:pPr>
      <w:r w:rsidRPr="007E6908">
        <w:rPr>
          <w:color w:val="000000" w:themeColor="text1"/>
        </w:rPr>
        <w:t>Emphasize </w:t>
      </w:r>
      <w:proofErr w:type="spellStart"/>
      <w:r w:rsidRPr="007E6908">
        <w:rPr>
          <w:color w:val="000000" w:themeColor="text1"/>
        </w:rPr>
        <w:t>FoT</w:t>
      </w:r>
      <w:proofErr w:type="spellEnd"/>
      <w:r w:rsidRPr="007E6908">
        <w:rPr>
          <w:color w:val="000000" w:themeColor="text1"/>
        </w:rPr>
        <w:t xml:space="preserve"> as a prerequisite for </w:t>
      </w:r>
      <w:proofErr w:type="spellStart"/>
      <w:r w:rsidRPr="007E6908">
        <w:rPr>
          <w:color w:val="000000" w:themeColor="text1"/>
        </w:rPr>
        <w:t>FoRB</w:t>
      </w:r>
      <w:proofErr w:type="spellEnd"/>
      <w:r w:rsidRPr="007E6908">
        <w:rPr>
          <w:color w:val="000000" w:themeColor="text1"/>
        </w:rPr>
        <w:t>, as embodied by the right to convert or change beliefs, and reaffirm that States are under an obligation to remove all barriers to the enjoyment of this fundamental freedom; </w:t>
      </w:r>
      <w:r w:rsidR="007E6908">
        <w:rPr>
          <w:color w:val="000000" w:themeColor="text1"/>
        </w:rPr>
        <w:br/>
      </w:r>
    </w:p>
    <w:p w14:paraId="5E8F869D" w14:textId="72E029DD" w:rsidR="00DD2D39" w:rsidRDefault="00DD2D39" w:rsidP="007E6908">
      <w:pPr>
        <w:pStyle w:val="ListParagraph"/>
        <w:numPr>
          <w:ilvl w:val="2"/>
          <w:numId w:val="10"/>
        </w:numPr>
        <w:ind w:left="1368" w:right="864"/>
        <w:contextualSpacing/>
        <w:textAlignment w:val="baseline"/>
        <w:rPr>
          <w:color w:val="000000" w:themeColor="text1"/>
        </w:rPr>
      </w:pPr>
      <w:r w:rsidRPr="007E6908">
        <w:rPr>
          <w:color w:val="000000" w:themeColor="text1"/>
        </w:rPr>
        <w:t xml:space="preserve">Emphasize that full respect for </w:t>
      </w:r>
      <w:proofErr w:type="spellStart"/>
      <w:r w:rsidRPr="007E6908">
        <w:rPr>
          <w:color w:val="000000" w:themeColor="text1"/>
        </w:rPr>
        <w:t>FoT</w:t>
      </w:r>
      <w:proofErr w:type="spellEnd"/>
      <w:r w:rsidRPr="007E6908">
        <w:rPr>
          <w:color w:val="000000" w:themeColor="text1"/>
        </w:rPr>
        <w:t xml:space="preserve"> requires robust protections for related freedoms, such as freedom of conscience, religion or belief, expression, association, and the right of parents to raise their children in accordance with their religion or beliefs.</w:t>
      </w:r>
    </w:p>
    <w:p w14:paraId="1CB2E90A" w14:textId="77777777" w:rsidR="007E6908" w:rsidRPr="007E6908" w:rsidRDefault="007E6908" w:rsidP="007E6908">
      <w:pPr>
        <w:pStyle w:val="ListParagraph"/>
        <w:numPr>
          <w:ilvl w:val="0"/>
          <w:numId w:val="0"/>
        </w:numPr>
        <w:ind w:left="1368" w:right="864"/>
        <w:contextualSpacing/>
        <w:textAlignment w:val="baseline"/>
        <w:rPr>
          <w:color w:val="000000" w:themeColor="text1"/>
        </w:rPr>
      </w:pPr>
    </w:p>
    <w:p w14:paraId="432C158B" w14:textId="329EBBAE" w:rsidR="00DD2D39" w:rsidRDefault="00DD2D39" w:rsidP="007E6908">
      <w:pPr>
        <w:pStyle w:val="ListParagraph"/>
        <w:numPr>
          <w:ilvl w:val="2"/>
          <w:numId w:val="10"/>
        </w:numPr>
        <w:ind w:left="1368" w:right="864"/>
        <w:contextualSpacing/>
        <w:textAlignment w:val="baseline"/>
        <w:rPr>
          <w:color w:val="000000" w:themeColor="text1"/>
        </w:rPr>
      </w:pPr>
      <w:r w:rsidRPr="007E6908">
        <w:rPr>
          <w:color w:val="000000" w:themeColor="text1"/>
        </w:rPr>
        <w:t xml:space="preserve">Advocate for an authentic understanding of all human rights as interrelated, interdependent, and indivisible, and thus in emphasizing the absolute protection of </w:t>
      </w:r>
      <w:proofErr w:type="spellStart"/>
      <w:r w:rsidRPr="007E6908">
        <w:rPr>
          <w:color w:val="000000" w:themeColor="text1"/>
        </w:rPr>
        <w:t>FoT</w:t>
      </w:r>
      <w:proofErr w:type="spellEnd"/>
      <w:r w:rsidRPr="007E6908">
        <w:rPr>
          <w:color w:val="000000" w:themeColor="text1"/>
        </w:rPr>
        <w:t xml:space="preserve">, also caution States against disregarding the essential external dimension of </w:t>
      </w:r>
      <w:proofErr w:type="spellStart"/>
      <w:r w:rsidRPr="007E6908">
        <w:rPr>
          <w:color w:val="000000" w:themeColor="text1"/>
        </w:rPr>
        <w:t>FoRB</w:t>
      </w:r>
      <w:proofErr w:type="spellEnd"/>
      <w:r w:rsidRPr="007E6908">
        <w:rPr>
          <w:color w:val="000000" w:themeColor="text1"/>
        </w:rPr>
        <w:t xml:space="preserve"> in accordance with international human rights law.</w:t>
      </w:r>
      <w:r w:rsidR="007E6908">
        <w:rPr>
          <w:color w:val="000000" w:themeColor="text1"/>
        </w:rPr>
        <w:tab/>
      </w:r>
      <w:r w:rsidR="007E6908">
        <w:rPr>
          <w:color w:val="000000" w:themeColor="text1"/>
        </w:rPr>
        <w:br/>
      </w:r>
    </w:p>
    <w:p w14:paraId="5DD119E6" w14:textId="35813DE4" w:rsidR="007E6908" w:rsidRDefault="007E6908" w:rsidP="007E6908">
      <w:pPr>
        <w:pStyle w:val="ListParagraph"/>
        <w:numPr>
          <w:ilvl w:val="0"/>
          <w:numId w:val="0"/>
        </w:numPr>
        <w:ind w:left="1440"/>
        <w:rPr>
          <w:color w:val="000000" w:themeColor="text1"/>
        </w:rPr>
      </w:pPr>
    </w:p>
    <w:p w14:paraId="3A301C6F" w14:textId="62BFA889" w:rsidR="007E6908" w:rsidRDefault="007E6908" w:rsidP="007E6908">
      <w:pPr>
        <w:pStyle w:val="ListParagraph"/>
        <w:numPr>
          <w:ilvl w:val="0"/>
          <w:numId w:val="0"/>
        </w:numPr>
        <w:ind w:left="1440"/>
        <w:rPr>
          <w:color w:val="000000" w:themeColor="text1"/>
        </w:rPr>
      </w:pPr>
    </w:p>
    <w:p w14:paraId="6DB18448" w14:textId="4E2CA94E" w:rsidR="007E6908" w:rsidRDefault="007E6908" w:rsidP="007E6908">
      <w:pPr>
        <w:pStyle w:val="ListParagraph"/>
        <w:numPr>
          <w:ilvl w:val="0"/>
          <w:numId w:val="0"/>
        </w:numPr>
        <w:ind w:left="1440"/>
        <w:rPr>
          <w:color w:val="000000" w:themeColor="text1"/>
        </w:rPr>
      </w:pPr>
    </w:p>
    <w:p w14:paraId="2267E596" w14:textId="06DF7394" w:rsidR="007E6908" w:rsidRDefault="007E6908" w:rsidP="007E6908">
      <w:pPr>
        <w:pStyle w:val="ListParagraph"/>
        <w:numPr>
          <w:ilvl w:val="0"/>
          <w:numId w:val="0"/>
        </w:numPr>
        <w:ind w:left="1440"/>
        <w:rPr>
          <w:color w:val="000000" w:themeColor="text1"/>
        </w:rPr>
      </w:pPr>
    </w:p>
    <w:p w14:paraId="45619E33" w14:textId="4CFEF586" w:rsidR="007E6908" w:rsidRDefault="007E6908" w:rsidP="007E6908">
      <w:pPr>
        <w:pStyle w:val="ListParagraph"/>
        <w:numPr>
          <w:ilvl w:val="0"/>
          <w:numId w:val="0"/>
        </w:numPr>
        <w:ind w:left="1440"/>
        <w:rPr>
          <w:color w:val="000000" w:themeColor="text1"/>
        </w:rPr>
      </w:pPr>
    </w:p>
    <w:p w14:paraId="6C1DFE34" w14:textId="55ADF9A4" w:rsidR="007E6908" w:rsidRDefault="007E6908" w:rsidP="007E6908">
      <w:pPr>
        <w:pStyle w:val="ListParagraph"/>
        <w:numPr>
          <w:ilvl w:val="0"/>
          <w:numId w:val="0"/>
        </w:numPr>
        <w:ind w:left="1440"/>
        <w:rPr>
          <w:color w:val="000000" w:themeColor="text1"/>
        </w:rPr>
      </w:pPr>
    </w:p>
    <w:p w14:paraId="0E4EE006" w14:textId="02F4F8AF" w:rsidR="007E6908" w:rsidRDefault="007E6908" w:rsidP="007E6908">
      <w:pPr>
        <w:pStyle w:val="ListParagraph"/>
        <w:numPr>
          <w:ilvl w:val="0"/>
          <w:numId w:val="0"/>
        </w:numPr>
        <w:ind w:left="1440"/>
        <w:rPr>
          <w:color w:val="000000" w:themeColor="text1"/>
        </w:rPr>
      </w:pPr>
    </w:p>
    <w:p w14:paraId="0AF51563" w14:textId="77423933" w:rsidR="007E6908" w:rsidRDefault="007E6908" w:rsidP="007E6908">
      <w:pPr>
        <w:pStyle w:val="ListParagraph"/>
        <w:numPr>
          <w:ilvl w:val="0"/>
          <w:numId w:val="0"/>
        </w:numPr>
        <w:ind w:left="1440"/>
        <w:rPr>
          <w:color w:val="000000" w:themeColor="text1"/>
        </w:rPr>
      </w:pPr>
    </w:p>
    <w:p w14:paraId="4299603D" w14:textId="110DE57F" w:rsidR="007E6908" w:rsidRDefault="007E6908" w:rsidP="007E6908">
      <w:pPr>
        <w:pStyle w:val="ListParagraph"/>
        <w:numPr>
          <w:ilvl w:val="0"/>
          <w:numId w:val="0"/>
        </w:numPr>
        <w:ind w:left="1440"/>
        <w:rPr>
          <w:color w:val="000000" w:themeColor="text1"/>
        </w:rPr>
      </w:pPr>
    </w:p>
    <w:p w14:paraId="5D29EABD" w14:textId="2C1F37F1" w:rsidR="007E6908" w:rsidRDefault="007E6908" w:rsidP="007E6908">
      <w:pPr>
        <w:pStyle w:val="ListParagraph"/>
        <w:numPr>
          <w:ilvl w:val="0"/>
          <w:numId w:val="0"/>
        </w:numPr>
        <w:ind w:left="1440"/>
        <w:rPr>
          <w:color w:val="000000" w:themeColor="text1"/>
        </w:rPr>
      </w:pPr>
    </w:p>
    <w:p w14:paraId="44B1E5E0" w14:textId="77CCAD98" w:rsidR="007E6908" w:rsidRDefault="007E6908" w:rsidP="007E6908">
      <w:pPr>
        <w:pStyle w:val="ListParagraph"/>
        <w:numPr>
          <w:ilvl w:val="0"/>
          <w:numId w:val="0"/>
        </w:numPr>
        <w:ind w:left="1440"/>
        <w:rPr>
          <w:color w:val="000000" w:themeColor="text1"/>
        </w:rPr>
      </w:pPr>
    </w:p>
    <w:p w14:paraId="022C9DA7" w14:textId="04A8C5D8" w:rsidR="007E6908" w:rsidRDefault="007E6908" w:rsidP="007E6908">
      <w:pPr>
        <w:pStyle w:val="ListParagraph"/>
        <w:numPr>
          <w:ilvl w:val="0"/>
          <w:numId w:val="0"/>
        </w:numPr>
        <w:ind w:left="1440"/>
        <w:rPr>
          <w:color w:val="000000" w:themeColor="text1"/>
        </w:rPr>
      </w:pPr>
    </w:p>
    <w:p w14:paraId="539A56E8" w14:textId="77777777" w:rsidR="007E6908" w:rsidRPr="007E6908" w:rsidRDefault="007E6908" w:rsidP="007E6908">
      <w:pPr>
        <w:pStyle w:val="ListParagraph"/>
        <w:numPr>
          <w:ilvl w:val="0"/>
          <w:numId w:val="0"/>
        </w:numPr>
        <w:ind w:left="1440"/>
        <w:rPr>
          <w:color w:val="000000" w:themeColor="text1"/>
        </w:rPr>
      </w:pPr>
    </w:p>
    <w:p w14:paraId="4CBF313F" w14:textId="77777777" w:rsidR="007E6908" w:rsidRPr="007E6908" w:rsidRDefault="007E6908" w:rsidP="007E6908">
      <w:pPr>
        <w:pStyle w:val="ListParagraph"/>
        <w:numPr>
          <w:ilvl w:val="0"/>
          <w:numId w:val="0"/>
        </w:numPr>
        <w:ind w:left="1368" w:right="864"/>
        <w:contextualSpacing/>
        <w:textAlignment w:val="baseline"/>
        <w:rPr>
          <w:color w:val="000000" w:themeColor="text1"/>
        </w:rPr>
      </w:pPr>
    </w:p>
    <w:p w14:paraId="56F3A4DC" w14:textId="0F51989E" w:rsidR="00DD2D39" w:rsidRPr="007E6908" w:rsidRDefault="00DD2D39" w:rsidP="007E6908">
      <w:pPr>
        <w:spacing w:line="276" w:lineRule="auto"/>
        <w:ind w:left="1080" w:firstLine="810"/>
        <w:contextualSpacing/>
        <w:textAlignment w:val="baseline"/>
        <w:rPr>
          <w:rFonts w:cs="Arial"/>
          <w:color w:val="000000" w:themeColor="text1"/>
        </w:rPr>
      </w:pPr>
    </w:p>
    <w:p w14:paraId="4858ADA2" w14:textId="0D09EE3B" w:rsidR="00DD2D39" w:rsidRPr="007E6908" w:rsidRDefault="00DD2D39" w:rsidP="00C30633">
      <w:pPr>
        <w:ind w:left="360" w:firstLine="810"/>
        <w:contextualSpacing/>
        <w:textAlignment w:val="baseline"/>
        <w:rPr>
          <w:rFonts w:cs="Arial"/>
          <w:color w:val="000000" w:themeColor="text1"/>
        </w:rPr>
      </w:pPr>
    </w:p>
    <w:p w14:paraId="510500C2" w14:textId="47FAFC93" w:rsidR="00DD2D39" w:rsidRPr="007E6908" w:rsidRDefault="00DD2D39" w:rsidP="00A25EE3">
      <w:pPr>
        <w:ind w:hanging="540"/>
        <w:contextualSpacing/>
        <w:textAlignment w:val="baseline"/>
        <w:rPr>
          <w:rFonts w:cs="Arial"/>
          <w:color w:val="000000" w:themeColor="text1"/>
        </w:rPr>
      </w:pPr>
    </w:p>
    <w:p w14:paraId="02B8750A" w14:textId="0A39BAEC" w:rsidR="00DD2D39" w:rsidRPr="007E6908" w:rsidRDefault="00DD2D39" w:rsidP="00A25EE3">
      <w:pPr>
        <w:ind w:hanging="540"/>
        <w:contextualSpacing/>
        <w:textAlignment w:val="baseline"/>
        <w:rPr>
          <w:rFonts w:cs="Arial"/>
          <w:color w:val="000000" w:themeColor="text1"/>
        </w:rPr>
      </w:pPr>
    </w:p>
    <w:p w14:paraId="798EE5CF" w14:textId="3DBD9D2B" w:rsidR="001C4C96" w:rsidRPr="007E6908" w:rsidRDefault="007E6908" w:rsidP="00A25EE3">
      <w:pPr>
        <w:ind w:hanging="540"/>
        <w:contextualSpacing/>
        <w:textAlignment w:val="baseline"/>
        <w:rPr>
          <w:rFonts w:cs="Arial"/>
          <w:color w:val="000000" w:themeColor="text1"/>
        </w:rPr>
      </w:pPr>
      <w:r w:rsidRPr="000577A7">
        <w:rPr>
          <w:noProof/>
        </w:rPr>
        <w:lastRenderedPageBreak/>
        <w:drawing>
          <wp:anchor distT="0" distB="0" distL="114300" distR="114300" simplePos="0" relativeHeight="251662336" behindDoc="1" locked="0" layoutInCell="1" allowOverlap="1" wp14:anchorId="647D5FF2" wp14:editId="348F9263">
            <wp:simplePos x="0" y="0"/>
            <wp:positionH relativeFrom="page">
              <wp:posOffset>6350</wp:posOffset>
            </wp:positionH>
            <wp:positionV relativeFrom="paragraph">
              <wp:posOffset>-923290</wp:posOffset>
            </wp:positionV>
            <wp:extent cx="7543640" cy="1067520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7543640" cy="1067520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BB3BAD7" w14:textId="4913AA17" w:rsidR="001C4C96" w:rsidRPr="007E6908" w:rsidRDefault="001C4C96" w:rsidP="00A25EE3">
      <w:pPr>
        <w:ind w:hanging="540"/>
        <w:contextualSpacing/>
        <w:textAlignment w:val="baseline"/>
        <w:rPr>
          <w:rFonts w:cs="Arial"/>
          <w:color w:val="000000" w:themeColor="text1"/>
        </w:rPr>
      </w:pPr>
    </w:p>
    <w:p w14:paraId="127101FC" w14:textId="1465DAEB" w:rsidR="001C4C96" w:rsidRPr="007E6908" w:rsidRDefault="001C4C96" w:rsidP="00A25EE3">
      <w:pPr>
        <w:ind w:hanging="540"/>
        <w:contextualSpacing/>
        <w:textAlignment w:val="baseline"/>
        <w:rPr>
          <w:rFonts w:cs="Arial"/>
          <w:color w:val="000000" w:themeColor="text1"/>
        </w:rPr>
      </w:pPr>
    </w:p>
    <w:p w14:paraId="228C2FF5" w14:textId="77188186" w:rsidR="001C4C96" w:rsidRPr="007E6908" w:rsidRDefault="001C4C96" w:rsidP="00A25EE3">
      <w:pPr>
        <w:ind w:hanging="540"/>
        <w:contextualSpacing/>
        <w:textAlignment w:val="baseline"/>
        <w:rPr>
          <w:rFonts w:cs="Arial"/>
          <w:color w:val="000000" w:themeColor="text1"/>
        </w:rPr>
      </w:pPr>
    </w:p>
    <w:p w14:paraId="022DE260" w14:textId="3552378B" w:rsidR="001C4C96" w:rsidRPr="007E6908" w:rsidRDefault="001C4C96" w:rsidP="00A25EE3">
      <w:pPr>
        <w:ind w:hanging="540"/>
        <w:contextualSpacing/>
        <w:textAlignment w:val="baseline"/>
        <w:rPr>
          <w:rFonts w:cs="Arial"/>
          <w:color w:val="000000" w:themeColor="text1"/>
        </w:rPr>
      </w:pPr>
    </w:p>
    <w:p w14:paraId="2E29B1F5" w14:textId="7D308D0F" w:rsidR="001C4C96" w:rsidRPr="007E6908" w:rsidRDefault="001C4C96" w:rsidP="00A25EE3">
      <w:pPr>
        <w:ind w:hanging="540"/>
        <w:contextualSpacing/>
        <w:textAlignment w:val="baseline"/>
        <w:rPr>
          <w:rFonts w:cs="Arial"/>
          <w:color w:val="000000" w:themeColor="text1"/>
        </w:rPr>
      </w:pPr>
    </w:p>
    <w:p w14:paraId="68CD091E" w14:textId="24A8A51A" w:rsidR="001C4C96" w:rsidRPr="007E6908" w:rsidRDefault="001C4C96" w:rsidP="00A25EE3">
      <w:pPr>
        <w:ind w:hanging="540"/>
        <w:contextualSpacing/>
        <w:textAlignment w:val="baseline"/>
        <w:rPr>
          <w:rFonts w:cs="Arial"/>
          <w:color w:val="000000" w:themeColor="text1"/>
        </w:rPr>
      </w:pPr>
    </w:p>
    <w:p w14:paraId="261CFFB0" w14:textId="4606CB4E" w:rsidR="001C4C96" w:rsidRPr="007E6908" w:rsidRDefault="001C4C96" w:rsidP="00A25EE3">
      <w:pPr>
        <w:ind w:hanging="540"/>
        <w:contextualSpacing/>
        <w:textAlignment w:val="baseline"/>
        <w:rPr>
          <w:rFonts w:cs="Arial"/>
          <w:color w:val="000000" w:themeColor="text1"/>
        </w:rPr>
      </w:pPr>
    </w:p>
    <w:p w14:paraId="25261D30" w14:textId="6610DC88" w:rsidR="00DD2D39" w:rsidRPr="007E6908" w:rsidRDefault="00DD2D39" w:rsidP="00A25EE3">
      <w:pPr>
        <w:ind w:hanging="540"/>
        <w:contextualSpacing/>
        <w:textAlignment w:val="baseline"/>
        <w:rPr>
          <w:rFonts w:cs="Arial"/>
          <w:color w:val="000000" w:themeColor="text1"/>
        </w:rPr>
      </w:pPr>
    </w:p>
    <w:p w14:paraId="586366FD" w14:textId="26522E04" w:rsidR="00DD2D39" w:rsidRPr="007E6908" w:rsidRDefault="00DD2D39" w:rsidP="00A25EE3">
      <w:pPr>
        <w:ind w:hanging="540"/>
        <w:contextualSpacing/>
        <w:textAlignment w:val="baseline"/>
        <w:rPr>
          <w:rFonts w:cs="Arial"/>
          <w:color w:val="000000" w:themeColor="text1"/>
        </w:rPr>
      </w:pPr>
    </w:p>
    <w:p w14:paraId="78789870" w14:textId="31CFE38E" w:rsidR="00502FDE" w:rsidRPr="007E6908" w:rsidRDefault="00502FDE" w:rsidP="00A25EE3">
      <w:pPr>
        <w:ind w:hanging="540"/>
        <w:contextualSpacing/>
        <w:textAlignment w:val="baseline"/>
        <w:rPr>
          <w:rFonts w:cs="Arial"/>
          <w:color w:val="000000" w:themeColor="text1"/>
        </w:rPr>
      </w:pPr>
    </w:p>
    <w:p w14:paraId="20B8E8BB" w14:textId="343C4028" w:rsidR="00502FDE" w:rsidRPr="007E6908" w:rsidRDefault="00502FDE" w:rsidP="00A25EE3">
      <w:pPr>
        <w:ind w:hanging="540"/>
        <w:contextualSpacing/>
        <w:textAlignment w:val="baseline"/>
        <w:rPr>
          <w:rFonts w:cs="Arial"/>
          <w:color w:val="000000" w:themeColor="text1"/>
        </w:rPr>
      </w:pPr>
    </w:p>
    <w:p w14:paraId="66C0519C" w14:textId="7B07CBC6" w:rsidR="00DD2D39" w:rsidRPr="007E6908" w:rsidRDefault="00DD2D39" w:rsidP="00A25EE3">
      <w:pPr>
        <w:ind w:hanging="540"/>
        <w:contextualSpacing/>
        <w:textAlignment w:val="baseline"/>
        <w:rPr>
          <w:rFonts w:cs="Arial"/>
          <w:color w:val="000000" w:themeColor="text1"/>
        </w:rPr>
      </w:pPr>
    </w:p>
    <w:p w14:paraId="20A98AA2" w14:textId="233839B4" w:rsidR="00DD2D39" w:rsidRPr="007E6908" w:rsidRDefault="00DD2D39" w:rsidP="00A25EE3">
      <w:pPr>
        <w:ind w:hanging="540"/>
        <w:contextualSpacing/>
        <w:textAlignment w:val="baseline"/>
        <w:rPr>
          <w:rFonts w:cs="Arial"/>
          <w:color w:val="000000" w:themeColor="text1"/>
        </w:rPr>
      </w:pPr>
    </w:p>
    <w:p w14:paraId="1ECA5219" w14:textId="52BC48FF" w:rsidR="00DD2D39" w:rsidRPr="007E6908" w:rsidRDefault="00DD2D39" w:rsidP="00A25EE3">
      <w:pPr>
        <w:ind w:hanging="540"/>
        <w:contextualSpacing/>
        <w:textAlignment w:val="baseline"/>
        <w:rPr>
          <w:rFonts w:cs="Arial"/>
          <w:color w:val="000000" w:themeColor="text1"/>
        </w:rPr>
      </w:pPr>
    </w:p>
    <w:p w14:paraId="1C493628" w14:textId="77777777" w:rsidR="00DD2D39" w:rsidRPr="007E6908" w:rsidRDefault="00DD2D39" w:rsidP="00A25EE3">
      <w:pPr>
        <w:ind w:hanging="540"/>
        <w:contextualSpacing/>
        <w:textAlignment w:val="baseline"/>
        <w:rPr>
          <w:rFonts w:cs="Arial"/>
          <w:color w:val="000000" w:themeColor="text1"/>
        </w:rPr>
      </w:pPr>
    </w:p>
    <w:p w14:paraId="0CAA4A35" w14:textId="2D655DA2" w:rsidR="00DD2D39" w:rsidRPr="007E6908" w:rsidRDefault="00DD2D39" w:rsidP="00A25EE3">
      <w:pPr>
        <w:tabs>
          <w:tab w:val="left" w:pos="5222"/>
        </w:tabs>
        <w:ind w:hanging="540"/>
        <w:contextualSpacing/>
        <w:textAlignment w:val="baseline"/>
        <w:rPr>
          <w:rFonts w:cs="Arial"/>
          <w:color w:val="000000" w:themeColor="text1"/>
        </w:rPr>
      </w:pPr>
      <w:r w:rsidRPr="007E6908">
        <w:rPr>
          <w:rFonts w:cs="Arial"/>
          <w:color w:val="000000" w:themeColor="text1"/>
        </w:rPr>
        <w:tab/>
      </w:r>
    </w:p>
    <w:p w14:paraId="20FFB945" w14:textId="43EA48BF" w:rsidR="00DD2D39" w:rsidRDefault="00DD2D39" w:rsidP="00A25EE3">
      <w:pPr>
        <w:ind w:hanging="540"/>
        <w:contextualSpacing/>
        <w:textAlignment w:val="baseline"/>
        <w:rPr>
          <w:rFonts w:ascii="Times" w:hAnsi="Times"/>
          <w:color w:val="000000" w:themeColor="text1"/>
        </w:rPr>
      </w:pPr>
    </w:p>
    <w:p w14:paraId="0DF58F9F" w14:textId="77777777" w:rsidR="00DD2D39" w:rsidRPr="00DD2D39" w:rsidRDefault="00DD2D39" w:rsidP="00A25EE3">
      <w:pPr>
        <w:ind w:hanging="540"/>
        <w:contextualSpacing/>
        <w:textAlignment w:val="baseline"/>
        <w:rPr>
          <w:rFonts w:ascii="Times" w:hAnsi="Times"/>
          <w:color w:val="000000" w:themeColor="text1"/>
        </w:rPr>
      </w:pPr>
    </w:p>
    <w:p w14:paraId="5907D683" w14:textId="0817B40F" w:rsidR="009F4E09" w:rsidRPr="000577A7" w:rsidRDefault="009F4E09" w:rsidP="00A25EE3">
      <w:pPr>
        <w:ind w:hanging="540"/>
      </w:pPr>
    </w:p>
    <w:p w14:paraId="31F032AF" w14:textId="42CFECD6" w:rsidR="00601F5B" w:rsidRPr="000577A7" w:rsidRDefault="00694311" w:rsidP="00A25EE3">
      <w:pPr>
        <w:ind w:hanging="540"/>
      </w:pPr>
      <w:r w:rsidRPr="000577A7">
        <w:rPr>
          <w:noProof/>
        </w:rPr>
        <mc:AlternateContent>
          <mc:Choice Requires="wps">
            <w:drawing>
              <wp:anchor distT="0" distB="0" distL="114300" distR="114300" simplePos="0" relativeHeight="251664384" behindDoc="0" locked="0" layoutInCell="1" allowOverlap="1" wp14:anchorId="224E3F53" wp14:editId="0557DA0D">
                <wp:simplePos x="0" y="0"/>
                <wp:positionH relativeFrom="column">
                  <wp:posOffset>1025442</wp:posOffset>
                </wp:positionH>
                <wp:positionV relativeFrom="paragraph">
                  <wp:posOffset>2876799</wp:posOffset>
                </wp:positionV>
                <wp:extent cx="3771900" cy="228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71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8AF355A" w14:textId="40C39080" w:rsidR="004174D9" w:rsidRPr="00BD3175" w:rsidRDefault="004174D9" w:rsidP="00015DA6">
                            <w:pPr>
                              <w:pStyle w:val="Footer"/>
                              <w:jc w:val="center"/>
                              <w:rPr>
                                <w:rFonts w:ascii="Helvetica" w:hAnsi="Helvetica"/>
                                <w:sz w:val="16"/>
                                <w:szCs w:val="16"/>
                              </w:rPr>
                            </w:pPr>
                            <w:r w:rsidRPr="00BD3175">
                              <w:rPr>
                                <w:rFonts w:ascii="Helvetica" w:hAnsi="Helvetica" w:cs="Times New Roman"/>
                                <w:sz w:val="16"/>
                                <w:szCs w:val="16"/>
                              </w:rPr>
                              <w:t>©</w:t>
                            </w:r>
                            <w:r w:rsidR="003509BF">
                              <w:rPr>
                                <w:rFonts w:ascii="Helvetica" w:hAnsi="Helvetica"/>
                                <w:sz w:val="16"/>
                                <w:szCs w:val="16"/>
                              </w:rPr>
                              <w:t xml:space="preserve"> </w:t>
                            </w:r>
                            <w:r w:rsidR="00EE0EBB">
                              <w:rPr>
                                <w:rFonts w:ascii="Helvetica" w:hAnsi="Helvetica"/>
                                <w:sz w:val="16"/>
                                <w:szCs w:val="16"/>
                              </w:rPr>
                              <w:t>202</w:t>
                            </w:r>
                            <w:r w:rsidR="007E6908">
                              <w:rPr>
                                <w:rFonts w:ascii="Helvetica" w:hAnsi="Helvetica"/>
                                <w:sz w:val="16"/>
                                <w:szCs w:val="16"/>
                              </w:rPr>
                              <w:t>1</w:t>
                            </w:r>
                          </w:p>
                          <w:p w14:paraId="549EA16D" w14:textId="77777777" w:rsidR="004174D9" w:rsidRPr="009462B3" w:rsidRDefault="004174D9">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3F53" id="Text Box 5" o:spid="_x0000_s1030" type="#_x0000_t202" style="position:absolute;margin-left:80.75pt;margin-top:226.5pt;width:29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" filled="f" stroked="f">
                <v:textbox>
                  <w:txbxContent>
                    <w:p w14:paraId="58AF355A" w14:textId="40C39080" w:rsidR="004174D9" w:rsidRPr="00BD3175" w:rsidRDefault="004174D9" w:rsidP="00015DA6">
                      <w:pPr>
                        <w:pStyle w:val="Footer"/>
                        <w:jc w:val="center"/>
                        <w:rPr>
                          <w:rFonts w:ascii="Helvetica" w:hAnsi="Helvetica"/>
                          <w:sz w:val="16"/>
                          <w:szCs w:val="16"/>
                        </w:rPr>
                      </w:pPr>
                      <w:r w:rsidRPr="00BD3175">
                        <w:rPr>
                          <w:rFonts w:ascii="Helvetica" w:hAnsi="Helvetica" w:cs="Times New Roman"/>
                          <w:sz w:val="16"/>
                          <w:szCs w:val="16"/>
                        </w:rPr>
                        <w:t>©</w:t>
                      </w:r>
                      <w:r w:rsidR="003509BF">
                        <w:rPr>
                          <w:rFonts w:ascii="Helvetica" w:hAnsi="Helvetica"/>
                          <w:sz w:val="16"/>
                          <w:szCs w:val="16"/>
                        </w:rPr>
                        <w:t xml:space="preserve"> </w:t>
                      </w:r>
                      <w:r w:rsidR="00EE0EBB">
                        <w:rPr>
                          <w:rFonts w:ascii="Helvetica" w:hAnsi="Helvetica"/>
                          <w:sz w:val="16"/>
                          <w:szCs w:val="16"/>
                        </w:rPr>
                        <w:t>202</w:t>
                      </w:r>
                      <w:r w:rsidR="007E6908">
                        <w:rPr>
                          <w:rFonts w:ascii="Helvetica" w:hAnsi="Helvetica"/>
                          <w:sz w:val="16"/>
                          <w:szCs w:val="16"/>
                        </w:rPr>
                        <w:t>1</w:t>
                      </w:r>
                    </w:p>
                    <w:p w14:paraId="549EA16D" w14:textId="77777777" w:rsidR="004174D9" w:rsidRPr="009462B3" w:rsidRDefault="004174D9">
                      <w:pPr>
                        <w:rPr>
                          <w:noProof/>
                        </w:rPr>
                      </w:pPr>
                    </w:p>
                  </w:txbxContent>
                </v:textbox>
              </v:shape>
            </w:pict>
          </mc:Fallback>
        </mc:AlternateContent>
      </w:r>
    </w:p>
    <w:sectPr w:rsidR="00601F5B" w:rsidRPr="000577A7" w:rsidSect="002629E9">
      <w:footerReference w:type="defaul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26C9" w14:textId="77777777" w:rsidR="00C33EB7" w:rsidRDefault="00C33EB7" w:rsidP="00015DA6">
      <w:r>
        <w:separator/>
      </w:r>
    </w:p>
  </w:endnote>
  <w:endnote w:type="continuationSeparator" w:id="0">
    <w:p w14:paraId="3554B6BF" w14:textId="77777777" w:rsidR="00C33EB7" w:rsidRDefault="00C33EB7" w:rsidP="0001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47CA" w14:textId="77777777" w:rsidR="004174D9" w:rsidRDefault="004174D9" w:rsidP="004174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00DF82" w14:textId="77777777" w:rsidR="004174D9" w:rsidRDefault="000823E7">
    <w:pPr>
      <w:pStyle w:val="Footer"/>
    </w:pPr>
    <w:sdt>
      <w:sdtPr>
        <w:id w:val="969400743"/>
        <w:placeholder>
          <w:docPart w:val="8A2AC2893C9EFA448FB411C05A5FCF90"/>
        </w:placeholder>
        <w:temporary/>
        <w:showingPlcHdr/>
      </w:sdtPr>
      <w:sdtEndPr/>
      <w:sdtContent>
        <w:r w:rsidR="004174D9">
          <w:t>[Type text]</w:t>
        </w:r>
      </w:sdtContent>
    </w:sdt>
    <w:r w:rsidR="004174D9">
      <w:ptab w:relativeTo="margin" w:alignment="center" w:leader="none"/>
    </w:r>
    <w:sdt>
      <w:sdtPr>
        <w:id w:val="969400748"/>
        <w:placeholder>
          <w:docPart w:val="2A409E349172074CAA54ED48BBBD524B"/>
        </w:placeholder>
        <w:temporary/>
        <w:showingPlcHdr/>
      </w:sdtPr>
      <w:sdtEndPr/>
      <w:sdtContent>
        <w:r w:rsidR="004174D9">
          <w:t>[Type text]</w:t>
        </w:r>
      </w:sdtContent>
    </w:sdt>
    <w:r w:rsidR="004174D9">
      <w:ptab w:relativeTo="margin" w:alignment="right" w:leader="none"/>
    </w:r>
    <w:sdt>
      <w:sdtPr>
        <w:id w:val="969400753"/>
        <w:placeholder>
          <w:docPart w:val="130EFB9EC276A141B0BF46FE59B6E27D"/>
        </w:placeholder>
        <w:temporary/>
        <w:showingPlcHdr/>
      </w:sdtPr>
      <w:sdtEndPr/>
      <w:sdtContent>
        <w:r w:rsidR="004174D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5F5C" w14:textId="77777777" w:rsidR="004174D9" w:rsidRDefault="00417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45A7" w14:textId="77777777" w:rsidR="00C33EB7" w:rsidRDefault="00C33EB7" w:rsidP="00015DA6">
      <w:r>
        <w:separator/>
      </w:r>
    </w:p>
  </w:footnote>
  <w:footnote w:type="continuationSeparator" w:id="0">
    <w:p w14:paraId="4FD29792" w14:textId="77777777" w:rsidR="00C33EB7" w:rsidRDefault="00C33EB7" w:rsidP="00015DA6">
      <w:r>
        <w:continuationSeparator/>
      </w:r>
    </w:p>
  </w:footnote>
  <w:footnote w:id="1">
    <w:p w14:paraId="79D06805"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U.N. Human Rights Comm. (HRC), General Comment No. 22: Article 18: Freedom of Thought, Conscience or Religion, ¶ 1, U.N. Doc. CCPR/C/21/Rev.1/Add.4 (July 30, 1993) [hereinafter HRC, General Comment No. 22].</w:t>
      </w:r>
    </w:p>
  </w:footnote>
  <w:footnote w:id="2">
    <w:p w14:paraId="4B33736A"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International Covenant on Civil and Political Rights (ICCPR) art. 18(1), opened for signature Dec. 19, 1966, 993 U.N.T.S. 3.</w:t>
      </w:r>
    </w:p>
  </w:footnote>
  <w:footnote w:id="3">
    <w:p w14:paraId="0FDF7D0E"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Metzinger, T. K. (2013). The myth of cognitive agency: subpersonal thinking as a cyclically recurring loss of mental autonomy. </w:t>
      </w:r>
      <w:r w:rsidRPr="007E6908">
        <w:rPr>
          <w:rFonts w:cs="Arial"/>
          <w:i/>
          <w:iCs/>
          <w:sz w:val="19"/>
          <w:szCs w:val="19"/>
        </w:rPr>
        <w:t>Front. Psychol.</w:t>
      </w:r>
      <w:r w:rsidRPr="007E6908">
        <w:rPr>
          <w:rFonts w:cs="Arial"/>
          <w:sz w:val="19"/>
          <w:szCs w:val="19"/>
        </w:rPr>
        <w:t> 4:931. doi: 10.3389/fpsyg.2013.00931.</w:t>
      </w:r>
    </w:p>
  </w:footnote>
  <w:footnote w:id="4">
    <w:p w14:paraId="0BCD49DF"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Murdoch, J., Protecting the right to freedom of thought, conscience and religion under the European Convention of Human Rights. Interpreting Article 9 of the Convention: general considerations, p.18.</w:t>
      </w:r>
    </w:p>
  </w:footnote>
  <w:footnote w:id="5">
    <w:p w14:paraId="5D97A3F0"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Application no. 2515/04 (2009).</w:t>
      </w:r>
    </w:p>
  </w:footnote>
  <w:footnote w:id="6">
    <w:p w14:paraId="1D79034F" w14:textId="77777777" w:rsidR="00DD2D39" w:rsidRPr="007E6908" w:rsidRDefault="00DD2D39" w:rsidP="00DD2D39">
      <w:pPr>
        <w:pStyle w:val="FootnoteText"/>
        <w:rPr>
          <w:rFonts w:cs="Arial"/>
          <w:sz w:val="19"/>
          <w:szCs w:val="19"/>
          <w:lang w:val="it-IT"/>
        </w:rPr>
      </w:pPr>
      <w:r w:rsidRPr="007E6908">
        <w:rPr>
          <w:rStyle w:val="FootnoteReference"/>
          <w:rFonts w:cs="Arial"/>
          <w:sz w:val="19"/>
          <w:szCs w:val="19"/>
        </w:rPr>
        <w:footnoteRef/>
      </w:r>
      <w:r w:rsidRPr="007E6908">
        <w:rPr>
          <w:rFonts w:cs="Arial"/>
          <w:sz w:val="19"/>
          <w:szCs w:val="19"/>
          <w:lang w:val="it-IT"/>
        </w:rPr>
        <w:t xml:space="preserve"> ibid para 73.</w:t>
      </w:r>
    </w:p>
  </w:footnote>
  <w:footnote w:id="7">
    <w:p w14:paraId="4680AE5D" w14:textId="77777777" w:rsidR="00DD2D39" w:rsidRPr="007E6908" w:rsidRDefault="00DD2D39" w:rsidP="00DD2D39">
      <w:pPr>
        <w:pStyle w:val="FootnoteText"/>
        <w:rPr>
          <w:rFonts w:cs="Arial"/>
          <w:sz w:val="19"/>
          <w:szCs w:val="19"/>
          <w:lang w:val="it-IT"/>
        </w:rPr>
      </w:pPr>
      <w:r w:rsidRPr="007E6908">
        <w:rPr>
          <w:rStyle w:val="FootnoteReference"/>
          <w:rFonts w:cs="Arial"/>
          <w:sz w:val="19"/>
          <w:szCs w:val="19"/>
        </w:rPr>
        <w:footnoteRef/>
      </w:r>
      <w:r w:rsidRPr="007E6908">
        <w:rPr>
          <w:rFonts w:cs="Arial"/>
          <w:sz w:val="19"/>
          <w:szCs w:val="19"/>
          <w:lang w:val="it-IT"/>
        </w:rPr>
        <w:t xml:space="preserve"> Application No.1860/50, para. 30.</w:t>
      </w:r>
    </w:p>
  </w:footnote>
  <w:footnote w:id="8">
    <w:p w14:paraId="51ADF642" w14:textId="77777777" w:rsidR="00DD2D39" w:rsidRPr="007E6908" w:rsidRDefault="00DD2D39" w:rsidP="00DD2D39">
      <w:pPr>
        <w:pStyle w:val="FootnoteText"/>
        <w:rPr>
          <w:rFonts w:cs="Arial"/>
          <w:sz w:val="19"/>
          <w:szCs w:val="19"/>
          <w:lang w:val="it-IT"/>
        </w:rPr>
      </w:pPr>
      <w:r w:rsidRPr="007E6908">
        <w:rPr>
          <w:rStyle w:val="FootnoteReference"/>
          <w:rFonts w:cs="Arial"/>
          <w:sz w:val="19"/>
          <w:szCs w:val="19"/>
        </w:rPr>
        <w:footnoteRef/>
      </w:r>
      <w:r w:rsidRPr="007E6908">
        <w:rPr>
          <w:rFonts w:cs="Arial"/>
          <w:sz w:val="19"/>
          <w:szCs w:val="19"/>
          <w:lang w:val="it-IT"/>
        </w:rPr>
        <w:t xml:space="preserve"> Application No. 15472/02, para 98.</w:t>
      </w:r>
    </w:p>
  </w:footnote>
  <w:footnote w:id="9">
    <w:p w14:paraId="19CD1EF7"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w:t>
      </w:r>
      <w:bookmarkStart w:id="0" w:name="_Hlk75943870"/>
      <w:r w:rsidRPr="007E6908">
        <w:rPr>
          <w:rFonts w:cs="Arial"/>
          <w:sz w:val="19"/>
          <w:szCs w:val="19"/>
        </w:rPr>
        <w:t xml:space="preserve">ICCPR, </w:t>
      </w:r>
      <w:r w:rsidRPr="007E6908">
        <w:rPr>
          <w:rFonts w:cs="Arial"/>
          <w:i/>
          <w:iCs/>
          <w:sz w:val="19"/>
          <w:szCs w:val="19"/>
        </w:rPr>
        <w:t>supra</w:t>
      </w:r>
      <w:r w:rsidRPr="007E6908">
        <w:rPr>
          <w:rFonts w:cs="Arial"/>
          <w:sz w:val="19"/>
          <w:szCs w:val="19"/>
        </w:rPr>
        <w:t xml:space="preserve"> note 2, art. 18(1).</w:t>
      </w:r>
      <w:bookmarkEnd w:id="0"/>
    </w:p>
  </w:footnote>
  <w:footnote w:id="10">
    <w:p w14:paraId="6D29AD2A"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Bielefeldt, H., Elimination of all forms of religious intolerance, A/67/303, New York, 13 Aug. 2012.</w:t>
      </w:r>
    </w:p>
  </w:footnote>
  <w:footnote w:id="11">
    <w:p w14:paraId="72E51060" w14:textId="77777777" w:rsidR="00DD2D39" w:rsidRPr="007E6908" w:rsidRDefault="00DD2D39" w:rsidP="00DD2D39">
      <w:pPr>
        <w:pStyle w:val="FootnoteText"/>
        <w:tabs>
          <w:tab w:val="left" w:pos="1910"/>
        </w:tabs>
        <w:rPr>
          <w:rFonts w:cs="Arial"/>
          <w:sz w:val="19"/>
          <w:szCs w:val="19"/>
        </w:rPr>
      </w:pPr>
      <w:r w:rsidRPr="007E6908">
        <w:rPr>
          <w:rStyle w:val="FootnoteReference"/>
          <w:rFonts w:cs="Arial"/>
          <w:sz w:val="19"/>
          <w:szCs w:val="19"/>
        </w:rPr>
        <w:footnoteRef/>
      </w:r>
      <w:r w:rsidRPr="007E6908">
        <w:rPr>
          <w:rFonts w:cs="Arial"/>
          <w:sz w:val="19"/>
          <w:szCs w:val="19"/>
        </w:rPr>
        <w:t xml:space="preserve"> Meghan Grizzle Fischer, Anti-conversion laws and the international response, 6 PENN ST. J. LAW &amp; INT’L AFF. 1 (2018).</w:t>
      </w:r>
    </w:p>
  </w:footnote>
  <w:footnote w:id="12">
    <w:p w14:paraId="58B23746"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Heiner Bielefeldt (Special Rapporteur on freedom of religion or belief), Interim report of the Special Rapporteur on freedom of religion or belief, ¶ 15, U.N. Doc. A/67/303 (Aug. 13, 2012) [hereinafter Bielefeldt, Right to convert].</w:t>
      </w:r>
    </w:p>
  </w:footnote>
  <w:footnote w:id="13">
    <w:p w14:paraId="47FF50C5" w14:textId="77777777" w:rsidR="00DD2D39" w:rsidRPr="007E6908" w:rsidRDefault="00DD2D39" w:rsidP="00DD2D39">
      <w:pPr>
        <w:pStyle w:val="FootnoteText"/>
        <w:rPr>
          <w:rFonts w:cs="Arial"/>
          <w:color w:val="FF0000"/>
          <w:sz w:val="19"/>
          <w:szCs w:val="19"/>
        </w:rPr>
      </w:pPr>
      <w:r w:rsidRPr="007E6908">
        <w:rPr>
          <w:rStyle w:val="FootnoteReference"/>
          <w:rFonts w:cs="Arial"/>
          <w:sz w:val="19"/>
          <w:szCs w:val="19"/>
        </w:rPr>
        <w:footnoteRef/>
      </w:r>
      <w:r w:rsidRPr="007E6908">
        <w:rPr>
          <w:rFonts w:cs="Arial"/>
          <w:b/>
          <w:bCs/>
          <w:color w:val="FF0000"/>
          <w:sz w:val="19"/>
          <w:szCs w:val="19"/>
        </w:rPr>
        <w:t xml:space="preserve"> </w:t>
      </w:r>
      <w:r w:rsidRPr="007E6908">
        <w:rPr>
          <w:rFonts w:cs="Arial"/>
          <w:sz w:val="19"/>
          <w:szCs w:val="19"/>
        </w:rPr>
        <w:t>Universal Declaration of Human Rights, C.A. Res. 217A, art. 26(3), U.&gt; GAOR, 3d Sess., 1st plen. Mtg., U.N. Doc. A/810 (Dec. 12, 1948)</w:t>
      </w:r>
    </w:p>
  </w:footnote>
  <w:footnote w:id="14">
    <w:p w14:paraId="28CA7554"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ICCPR, </w:t>
      </w:r>
      <w:r w:rsidRPr="007E6908">
        <w:rPr>
          <w:rFonts w:cs="Arial"/>
          <w:i/>
          <w:iCs/>
          <w:sz w:val="19"/>
          <w:szCs w:val="19"/>
        </w:rPr>
        <w:t>supra</w:t>
      </w:r>
      <w:r w:rsidRPr="007E6908">
        <w:rPr>
          <w:rFonts w:cs="Arial"/>
          <w:sz w:val="19"/>
          <w:szCs w:val="19"/>
        </w:rPr>
        <w:t xml:space="preserve"> note 2, art. 18(4).</w:t>
      </w:r>
    </w:p>
  </w:footnote>
  <w:footnote w:id="15">
    <w:p w14:paraId="7A03D03C"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HRC, General Comment No. 22</w:t>
      </w:r>
      <w:r w:rsidRPr="007E6908">
        <w:rPr>
          <w:rFonts w:cs="Arial"/>
          <w:i/>
          <w:iCs/>
          <w:sz w:val="19"/>
          <w:szCs w:val="19"/>
        </w:rPr>
        <w:t>, supra</w:t>
      </w:r>
      <w:r w:rsidRPr="007E6908">
        <w:rPr>
          <w:rFonts w:cs="Arial"/>
          <w:sz w:val="19"/>
          <w:szCs w:val="19"/>
        </w:rPr>
        <w:t xml:space="preserve"> note 1, ¶ 6.</w:t>
      </w:r>
    </w:p>
  </w:footnote>
  <w:footnote w:id="16">
    <w:p w14:paraId="7F587AE4"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w:t>
      </w:r>
      <w:r w:rsidRPr="007E6908">
        <w:rPr>
          <w:rFonts w:cs="Arial"/>
          <w:i/>
          <w:iCs/>
          <w:sz w:val="19"/>
          <w:szCs w:val="19"/>
        </w:rPr>
        <w:t>Id.</w:t>
      </w:r>
      <w:r w:rsidRPr="007E6908">
        <w:rPr>
          <w:rFonts w:cs="Arial"/>
          <w:sz w:val="19"/>
          <w:szCs w:val="19"/>
        </w:rPr>
        <w:t xml:space="preserve"> </w:t>
      </w:r>
    </w:p>
  </w:footnote>
  <w:footnote w:id="17">
    <w:p w14:paraId="006F68A7"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General Comment No. 22, para. 8.</w:t>
      </w:r>
    </w:p>
  </w:footnote>
  <w:footnote w:id="18">
    <w:p w14:paraId="4D0E90D4"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w:t>
      </w:r>
      <w:r w:rsidRPr="007E6908">
        <w:rPr>
          <w:rFonts w:cs="Arial"/>
          <w:i/>
          <w:iCs/>
          <w:sz w:val="19"/>
          <w:szCs w:val="19"/>
        </w:rPr>
        <w:t>Id.</w:t>
      </w:r>
      <w:r w:rsidRPr="007E6908">
        <w:rPr>
          <w:rFonts w:cs="Arial"/>
          <w:sz w:val="19"/>
          <w:szCs w:val="19"/>
        </w:rPr>
        <w:t xml:space="preserve"> ¶ 10.</w:t>
      </w:r>
    </w:p>
  </w:footnote>
  <w:footnote w:id="19">
    <w:p w14:paraId="42D6FDC4" w14:textId="77777777" w:rsidR="00DD2D39" w:rsidRPr="007E6908" w:rsidRDefault="00DD2D39" w:rsidP="00DD2D39">
      <w:pPr>
        <w:pStyle w:val="FootnoteText"/>
        <w:rPr>
          <w:rFonts w:cs="Arial"/>
          <w:iCs/>
          <w:sz w:val="19"/>
          <w:szCs w:val="19"/>
        </w:rPr>
      </w:pPr>
      <w:r w:rsidRPr="007E6908">
        <w:rPr>
          <w:rStyle w:val="FootnoteReference"/>
          <w:rFonts w:cs="Arial"/>
          <w:sz w:val="19"/>
          <w:szCs w:val="19"/>
        </w:rPr>
        <w:footnoteRef/>
      </w:r>
      <w:r w:rsidRPr="007E6908">
        <w:rPr>
          <w:rFonts w:cs="Arial"/>
          <w:sz w:val="19"/>
          <w:szCs w:val="19"/>
        </w:rPr>
        <w:t xml:space="preserve"> </w:t>
      </w:r>
      <w:r w:rsidRPr="007E6908">
        <w:rPr>
          <w:rFonts w:cs="Arial"/>
          <w:i/>
          <w:sz w:val="19"/>
          <w:szCs w:val="19"/>
        </w:rPr>
        <w:t xml:space="preserve">See </w:t>
      </w:r>
      <w:r w:rsidRPr="007E6908">
        <w:rPr>
          <w:rFonts w:cs="Arial"/>
          <w:iCs/>
          <w:sz w:val="19"/>
          <w:szCs w:val="19"/>
        </w:rPr>
        <w:t>Paul Coleman, ‘Censored: How European ‘hate speech’ laws are threatening freedom of speech’ (Vienna, 2016).</w:t>
      </w:r>
    </w:p>
  </w:footnote>
  <w:footnote w:id="20">
    <w:p w14:paraId="4CD22AF5"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ICCPR, </w:t>
      </w:r>
      <w:r w:rsidRPr="007E6908">
        <w:rPr>
          <w:rFonts w:cs="Arial"/>
          <w:i/>
          <w:iCs/>
          <w:sz w:val="19"/>
          <w:szCs w:val="19"/>
        </w:rPr>
        <w:t>supra</w:t>
      </w:r>
      <w:r w:rsidRPr="007E6908">
        <w:rPr>
          <w:rFonts w:cs="Arial"/>
          <w:sz w:val="19"/>
          <w:szCs w:val="19"/>
        </w:rPr>
        <w:t xml:space="preserve"> note 2, art. 18(2).</w:t>
      </w:r>
    </w:p>
  </w:footnote>
  <w:footnote w:id="21">
    <w:p w14:paraId="35C6E247" w14:textId="77777777" w:rsidR="00DD2D39" w:rsidRPr="007E6908" w:rsidRDefault="00DD2D39" w:rsidP="00DD2D39">
      <w:pPr>
        <w:pStyle w:val="FootnoteText"/>
        <w:rPr>
          <w:rFonts w:cs="Arial"/>
          <w:sz w:val="19"/>
          <w:szCs w:val="19"/>
        </w:rPr>
      </w:pPr>
      <w:r w:rsidRPr="007E6908">
        <w:rPr>
          <w:rStyle w:val="FootnoteReference"/>
          <w:rFonts w:cs="Arial"/>
          <w:sz w:val="19"/>
          <w:szCs w:val="19"/>
        </w:rPr>
        <w:footnoteRef/>
      </w:r>
      <w:r w:rsidRPr="007E6908">
        <w:rPr>
          <w:rFonts w:cs="Arial"/>
          <w:sz w:val="19"/>
          <w:szCs w:val="19"/>
        </w:rPr>
        <w:t xml:space="preserve"> Application No. 5493/72, para. 49.</w:t>
      </w:r>
    </w:p>
  </w:footnote>
  <w:footnote w:id="22">
    <w:p w14:paraId="29E39F80" w14:textId="77777777" w:rsidR="00DD2D39" w:rsidRPr="007E6908" w:rsidRDefault="00DD2D39" w:rsidP="00DD2D39">
      <w:pPr>
        <w:rPr>
          <w:rFonts w:cs="Arial"/>
          <w:sz w:val="19"/>
          <w:szCs w:val="19"/>
        </w:rPr>
      </w:pPr>
      <w:r w:rsidRPr="007E6908">
        <w:rPr>
          <w:rStyle w:val="FootnoteReference"/>
          <w:rFonts w:cs="Arial"/>
          <w:sz w:val="19"/>
          <w:szCs w:val="19"/>
        </w:rPr>
        <w:footnoteRef/>
      </w:r>
      <w:r w:rsidRPr="007E6908">
        <w:rPr>
          <w:rFonts w:cs="Arial"/>
          <w:sz w:val="19"/>
          <w:szCs w:val="19"/>
        </w:rPr>
        <w:t xml:space="preserve"> </w:t>
      </w:r>
      <w:r w:rsidRPr="007E6908">
        <w:rPr>
          <w:rFonts w:eastAsia="Arial Unicode MS" w:cs="Arial"/>
          <w:sz w:val="19"/>
          <w:szCs w:val="19"/>
        </w:rPr>
        <w:t>Orwell, George, Ben Pimlott, and Peter H. Davison. </w:t>
      </w:r>
      <w:r w:rsidRPr="007E6908">
        <w:rPr>
          <w:rFonts w:eastAsia="Arial Unicode MS" w:cs="Arial"/>
          <w:i/>
          <w:iCs/>
          <w:sz w:val="19"/>
          <w:szCs w:val="19"/>
        </w:rPr>
        <w:t>Nineteen Eighty-Four</w:t>
      </w:r>
      <w:r w:rsidRPr="007E6908">
        <w:rPr>
          <w:rFonts w:eastAsia="Arial Unicode MS" w:cs="Arial"/>
          <w:sz w:val="19"/>
          <w:szCs w:val="19"/>
        </w:rPr>
        <w:t>. London: Penguin Books in association with Secker &amp; Warburg, 1989</w:t>
      </w:r>
      <w:r w:rsidRPr="007E6908">
        <w:rPr>
          <w:rFonts w:cs="Arial"/>
          <w:sz w:val="19"/>
          <w:szCs w:val="19"/>
        </w:rPr>
        <w:t xml:space="preserve">, </w:t>
      </w:r>
      <w:r w:rsidRPr="007E6908">
        <w:rPr>
          <w:rFonts w:cs="Arial"/>
          <w:sz w:val="19"/>
          <w:szCs w:val="19"/>
          <w:shd w:val="clear" w:color="auto" w:fill="FFFFFF"/>
        </w:rPr>
        <w:t>Part 1, </w:t>
      </w:r>
      <w:r w:rsidRPr="007E6908">
        <w:rPr>
          <w:rFonts w:cs="Arial"/>
          <w:sz w:val="19"/>
          <w:szCs w:val="19"/>
        </w:rPr>
        <w:t>Chapter</w:t>
      </w:r>
      <w:r w:rsidRPr="007E6908">
        <w:rPr>
          <w:rFonts w:cs="Arial"/>
          <w:sz w:val="19"/>
          <w:szCs w:val="19"/>
          <w:shd w:val="clear" w:color="auto" w:fill="FFFFFF"/>
        </w:rPr>
        <w:t>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F54"/>
    <w:multiLevelType w:val="multilevel"/>
    <w:tmpl w:val="07F23A0A"/>
    <w:numStyleLink w:val="ArialADFList"/>
  </w:abstractNum>
  <w:abstractNum w:abstractNumId="1" w15:restartNumberingAfterBreak="0">
    <w:nsid w:val="11F10A69"/>
    <w:multiLevelType w:val="multilevel"/>
    <w:tmpl w:val="0ED09F80"/>
    <w:lvl w:ilvl="0">
      <w:start w:val="3"/>
      <w:numFmt w:val="decimal"/>
      <w:lvlText w:val="%1."/>
      <w:lvlJc w:val="left"/>
      <w:pPr>
        <w:tabs>
          <w:tab w:val="num" w:pos="630"/>
        </w:tabs>
        <w:ind w:left="630" w:hanging="360"/>
      </w:pPr>
    </w:lvl>
    <w:lvl w:ilvl="1">
      <w:start w:val="1"/>
      <w:numFmt w:val="lowerLetter"/>
      <w:lvlText w:val="%2."/>
      <w:lvlJc w:val="left"/>
      <w:pPr>
        <w:ind w:left="1350" w:hanging="360"/>
      </w:pPr>
      <w:rPr>
        <w:rFonts w:hint="default"/>
      </w:rPr>
    </w:lvl>
    <w:lvl w:ilvl="2">
      <w:start w:val="1"/>
      <w:numFmt w:val="lowerLetter"/>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15:restartNumberingAfterBreak="0">
    <w:nsid w:val="26500CA7"/>
    <w:multiLevelType w:val="multilevel"/>
    <w:tmpl w:val="07F23A0A"/>
    <w:styleLink w:val="ArialADFList"/>
    <w:lvl w:ilvl="0">
      <w:start w:val="1"/>
      <w:numFmt w:val="lowerLetter"/>
      <w:pStyle w:val="ListParagraph"/>
      <w:lvlText w:val="(%1)"/>
      <w:lvlJc w:val="left"/>
      <w:pPr>
        <w:tabs>
          <w:tab w:val="num" w:pos="1800"/>
        </w:tabs>
        <w:ind w:left="1800" w:hanging="648"/>
      </w:pPr>
      <w:rPr>
        <w:rFonts w:ascii="Arial" w:hAnsi="Arial" w:hint="default"/>
        <w:sz w:val="22"/>
      </w:rPr>
    </w:lvl>
    <w:lvl w:ilvl="1">
      <w:start w:val="1"/>
      <w:numFmt w:val="lowerRoman"/>
      <w:lvlText w:val="(%2)"/>
      <w:lvlJc w:val="left"/>
      <w:pPr>
        <w:tabs>
          <w:tab w:val="num" w:pos="2592"/>
        </w:tabs>
        <w:ind w:left="2592" w:hanging="432"/>
      </w:pPr>
      <w:rPr>
        <w:rFonts w:ascii="Arial" w:hAnsi="Arial" w:hint="default"/>
        <w:sz w:val="22"/>
      </w:rPr>
    </w:lvl>
    <w:lvl w:ilvl="2">
      <w:start w:val="1"/>
      <w:numFmt w:val="lowerRoman"/>
      <w:lvlText w:val="%3."/>
      <w:lvlJc w:val="right"/>
      <w:pPr>
        <w:ind w:left="8856" w:hanging="180"/>
      </w:pPr>
      <w:rPr>
        <w:rFonts w:hint="default"/>
      </w:rPr>
    </w:lvl>
    <w:lvl w:ilvl="3">
      <w:start w:val="1"/>
      <w:numFmt w:val="decimal"/>
      <w:lvlText w:val="%4."/>
      <w:lvlJc w:val="left"/>
      <w:pPr>
        <w:ind w:left="9576" w:hanging="360"/>
      </w:pPr>
      <w:rPr>
        <w:rFonts w:hint="default"/>
      </w:rPr>
    </w:lvl>
    <w:lvl w:ilvl="4">
      <w:start w:val="1"/>
      <w:numFmt w:val="lowerLetter"/>
      <w:lvlText w:val="%5."/>
      <w:lvlJc w:val="left"/>
      <w:pPr>
        <w:ind w:left="10296" w:hanging="360"/>
      </w:pPr>
      <w:rPr>
        <w:rFonts w:hint="default"/>
      </w:rPr>
    </w:lvl>
    <w:lvl w:ilvl="5">
      <w:start w:val="1"/>
      <w:numFmt w:val="lowerRoman"/>
      <w:lvlText w:val="%6."/>
      <w:lvlJc w:val="right"/>
      <w:pPr>
        <w:ind w:left="11016" w:hanging="180"/>
      </w:pPr>
      <w:rPr>
        <w:rFonts w:hint="default"/>
      </w:rPr>
    </w:lvl>
    <w:lvl w:ilvl="6">
      <w:start w:val="1"/>
      <w:numFmt w:val="decimal"/>
      <w:lvlText w:val="%7."/>
      <w:lvlJc w:val="left"/>
      <w:pPr>
        <w:ind w:left="11736" w:hanging="360"/>
      </w:pPr>
      <w:rPr>
        <w:rFonts w:hint="default"/>
      </w:rPr>
    </w:lvl>
    <w:lvl w:ilvl="7">
      <w:start w:val="1"/>
      <w:numFmt w:val="lowerLetter"/>
      <w:lvlText w:val="%8."/>
      <w:lvlJc w:val="left"/>
      <w:pPr>
        <w:ind w:left="12456" w:hanging="360"/>
      </w:pPr>
      <w:rPr>
        <w:rFonts w:hint="default"/>
      </w:rPr>
    </w:lvl>
    <w:lvl w:ilvl="8">
      <w:start w:val="1"/>
      <w:numFmt w:val="lowerRoman"/>
      <w:lvlText w:val="%9."/>
      <w:lvlJc w:val="right"/>
      <w:pPr>
        <w:ind w:left="13176" w:hanging="180"/>
      </w:pPr>
      <w:rPr>
        <w:rFonts w:hint="default"/>
      </w:rPr>
    </w:lvl>
  </w:abstractNum>
  <w:abstractNum w:abstractNumId="3" w15:restartNumberingAfterBreak="0">
    <w:nsid w:val="36366CB3"/>
    <w:multiLevelType w:val="hybridMultilevel"/>
    <w:tmpl w:val="58A4ED60"/>
    <w:lvl w:ilvl="0" w:tplc="1C5413BE">
      <w:start w:val="1"/>
      <w:numFmt w:val="lowerLetter"/>
      <w:pStyle w:val="Sectionheading"/>
      <w:lvlText w:val="(%1)"/>
      <w:lvlJc w:val="left"/>
      <w:pPr>
        <w:ind w:left="21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85F93"/>
    <w:multiLevelType w:val="hybridMultilevel"/>
    <w:tmpl w:val="D1A67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024BD"/>
    <w:multiLevelType w:val="multilevel"/>
    <w:tmpl w:val="2DBE1F80"/>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EA3C39"/>
    <w:multiLevelType w:val="hybridMultilevel"/>
    <w:tmpl w:val="ABB25620"/>
    <w:lvl w:ilvl="0" w:tplc="6D9A28BC">
      <w:start w:val="1"/>
      <w:numFmt w:val="lowerLetter"/>
      <w:lvlText w:val="(%1)"/>
      <w:lvlJc w:val="left"/>
      <w:pPr>
        <w:ind w:left="2232" w:hanging="360"/>
      </w:pPr>
      <w:rPr>
        <w:rFonts w:ascii="Arial" w:hAnsi="Arial" w:cs="Arial" w:hint="default"/>
        <w:sz w:val="22"/>
        <w:szCs w:val="22"/>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7" w15:restartNumberingAfterBreak="0">
    <w:nsid w:val="6D6620CF"/>
    <w:multiLevelType w:val="hybridMultilevel"/>
    <w:tmpl w:val="6A3A9D02"/>
    <w:lvl w:ilvl="0" w:tplc="7BF854DC">
      <w:start w:val="1"/>
      <w:numFmt w:val="decimal"/>
      <w:pStyle w:val="Courtnumberedparagraph"/>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9CA7D60"/>
    <w:multiLevelType w:val="hybridMultilevel"/>
    <w:tmpl w:val="C6089C5C"/>
    <w:lvl w:ilvl="0" w:tplc="19A2C99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0"/>
  </w:num>
  <w:num w:numId="5">
    <w:abstractNumId w:val="6"/>
  </w:num>
  <w:num w:numId="6">
    <w:abstractNumId w:val="7"/>
    <w:lvlOverride w:ilvl="0">
      <w:startOverride w:val="1"/>
    </w:lvlOverride>
  </w:num>
  <w:num w:numId="7">
    <w:abstractNumId w:val="5"/>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D1"/>
    <w:rsid w:val="00015DA6"/>
    <w:rsid w:val="000349DE"/>
    <w:rsid w:val="00037BCD"/>
    <w:rsid w:val="00045BFF"/>
    <w:rsid w:val="000577A7"/>
    <w:rsid w:val="000823E7"/>
    <w:rsid w:val="00087F28"/>
    <w:rsid w:val="000E5066"/>
    <w:rsid w:val="00117F79"/>
    <w:rsid w:val="00140537"/>
    <w:rsid w:val="00145FDB"/>
    <w:rsid w:val="00155463"/>
    <w:rsid w:val="001729EB"/>
    <w:rsid w:val="001731AC"/>
    <w:rsid w:val="001B3C3B"/>
    <w:rsid w:val="001C4C96"/>
    <w:rsid w:val="001F2296"/>
    <w:rsid w:val="00222BBD"/>
    <w:rsid w:val="00253B3E"/>
    <w:rsid w:val="002562E4"/>
    <w:rsid w:val="002629E9"/>
    <w:rsid w:val="002664B7"/>
    <w:rsid w:val="002870EE"/>
    <w:rsid w:val="00293274"/>
    <w:rsid w:val="002A5BFE"/>
    <w:rsid w:val="002B6A2C"/>
    <w:rsid w:val="002C5ECB"/>
    <w:rsid w:val="002D2270"/>
    <w:rsid w:val="00300880"/>
    <w:rsid w:val="00306485"/>
    <w:rsid w:val="003312E7"/>
    <w:rsid w:val="00346E1D"/>
    <w:rsid w:val="003509BF"/>
    <w:rsid w:val="00363AE5"/>
    <w:rsid w:val="00392041"/>
    <w:rsid w:val="003B6A42"/>
    <w:rsid w:val="003C205B"/>
    <w:rsid w:val="003D2DA3"/>
    <w:rsid w:val="003D3E02"/>
    <w:rsid w:val="003E2AC9"/>
    <w:rsid w:val="004174D9"/>
    <w:rsid w:val="00441BDE"/>
    <w:rsid w:val="00447B6F"/>
    <w:rsid w:val="00454E13"/>
    <w:rsid w:val="00483152"/>
    <w:rsid w:val="004927D2"/>
    <w:rsid w:val="004D1260"/>
    <w:rsid w:val="004D2701"/>
    <w:rsid w:val="004E0C74"/>
    <w:rsid w:val="004E2A3B"/>
    <w:rsid w:val="004E4909"/>
    <w:rsid w:val="00502FDE"/>
    <w:rsid w:val="0051033A"/>
    <w:rsid w:val="005114E8"/>
    <w:rsid w:val="0051170A"/>
    <w:rsid w:val="00520DEF"/>
    <w:rsid w:val="00573515"/>
    <w:rsid w:val="0059060D"/>
    <w:rsid w:val="005A1A4B"/>
    <w:rsid w:val="005C1273"/>
    <w:rsid w:val="005E141B"/>
    <w:rsid w:val="005F52C5"/>
    <w:rsid w:val="005F5E70"/>
    <w:rsid w:val="00600291"/>
    <w:rsid w:val="00601F5B"/>
    <w:rsid w:val="00614182"/>
    <w:rsid w:val="00617521"/>
    <w:rsid w:val="006377D5"/>
    <w:rsid w:val="0064307E"/>
    <w:rsid w:val="00643145"/>
    <w:rsid w:val="00653712"/>
    <w:rsid w:val="00674C2F"/>
    <w:rsid w:val="00693E16"/>
    <w:rsid w:val="00694311"/>
    <w:rsid w:val="006962CC"/>
    <w:rsid w:val="006970DE"/>
    <w:rsid w:val="006A0974"/>
    <w:rsid w:val="006D1C64"/>
    <w:rsid w:val="006E57E1"/>
    <w:rsid w:val="006F01C9"/>
    <w:rsid w:val="006F270B"/>
    <w:rsid w:val="00704037"/>
    <w:rsid w:val="00732FB0"/>
    <w:rsid w:val="007617CE"/>
    <w:rsid w:val="00767871"/>
    <w:rsid w:val="007A5C44"/>
    <w:rsid w:val="007C68AB"/>
    <w:rsid w:val="007E3109"/>
    <w:rsid w:val="007E6908"/>
    <w:rsid w:val="00811EDA"/>
    <w:rsid w:val="008479C1"/>
    <w:rsid w:val="0086293A"/>
    <w:rsid w:val="00890E0E"/>
    <w:rsid w:val="00892595"/>
    <w:rsid w:val="008D1783"/>
    <w:rsid w:val="008D5AC9"/>
    <w:rsid w:val="008E3F6E"/>
    <w:rsid w:val="00901F70"/>
    <w:rsid w:val="0090227C"/>
    <w:rsid w:val="0091541E"/>
    <w:rsid w:val="00925BD5"/>
    <w:rsid w:val="0094068A"/>
    <w:rsid w:val="009406CC"/>
    <w:rsid w:val="0095560C"/>
    <w:rsid w:val="0096014F"/>
    <w:rsid w:val="00985E81"/>
    <w:rsid w:val="009B482A"/>
    <w:rsid w:val="009C6DA0"/>
    <w:rsid w:val="009E326A"/>
    <w:rsid w:val="009F2BD9"/>
    <w:rsid w:val="009F4E09"/>
    <w:rsid w:val="00A07314"/>
    <w:rsid w:val="00A17647"/>
    <w:rsid w:val="00A25EE3"/>
    <w:rsid w:val="00A415DC"/>
    <w:rsid w:val="00A52D72"/>
    <w:rsid w:val="00A66E6A"/>
    <w:rsid w:val="00A711A8"/>
    <w:rsid w:val="00A72FD8"/>
    <w:rsid w:val="00A73149"/>
    <w:rsid w:val="00A7766B"/>
    <w:rsid w:val="00AA2D98"/>
    <w:rsid w:val="00AA7CA4"/>
    <w:rsid w:val="00AB1F63"/>
    <w:rsid w:val="00AD5E57"/>
    <w:rsid w:val="00AF4AC3"/>
    <w:rsid w:val="00B044F8"/>
    <w:rsid w:val="00B67C13"/>
    <w:rsid w:val="00B841D9"/>
    <w:rsid w:val="00B97588"/>
    <w:rsid w:val="00BA140D"/>
    <w:rsid w:val="00BA45B1"/>
    <w:rsid w:val="00BC2403"/>
    <w:rsid w:val="00BE08E1"/>
    <w:rsid w:val="00C11853"/>
    <w:rsid w:val="00C11867"/>
    <w:rsid w:val="00C1698B"/>
    <w:rsid w:val="00C20ACC"/>
    <w:rsid w:val="00C22C57"/>
    <w:rsid w:val="00C27CAB"/>
    <w:rsid w:val="00C30633"/>
    <w:rsid w:val="00C33EB7"/>
    <w:rsid w:val="00C347CB"/>
    <w:rsid w:val="00CB2462"/>
    <w:rsid w:val="00CC2286"/>
    <w:rsid w:val="00CC3702"/>
    <w:rsid w:val="00CD6DBB"/>
    <w:rsid w:val="00CF17EA"/>
    <w:rsid w:val="00CF630B"/>
    <w:rsid w:val="00D34975"/>
    <w:rsid w:val="00D367A2"/>
    <w:rsid w:val="00D440D1"/>
    <w:rsid w:val="00D511D1"/>
    <w:rsid w:val="00D611CB"/>
    <w:rsid w:val="00D70827"/>
    <w:rsid w:val="00D85800"/>
    <w:rsid w:val="00DD1951"/>
    <w:rsid w:val="00DD2D39"/>
    <w:rsid w:val="00DE2CAE"/>
    <w:rsid w:val="00DF2E32"/>
    <w:rsid w:val="00E15BB8"/>
    <w:rsid w:val="00E40E5C"/>
    <w:rsid w:val="00E42D31"/>
    <w:rsid w:val="00E71780"/>
    <w:rsid w:val="00E83C95"/>
    <w:rsid w:val="00EC7874"/>
    <w:rsid w:val="00ED0018"/>
    <w:rsid w:val="00ED4D00"/>
    <w:rsid w:val="00EE0EBB"/>
    <w:rsid w:val="00EF6A44"/>
    <w:rsid w:val="00F31EA8"/>
    <w:rsid w:val="00F3384B"/>
    <w:rsid w:val="00F41D79"/>
    <w:rsid w:val="00F502EB"/>
    <w:rsid w:val="00F54FE3"/>
    <w:rsid w:val="00F567BB"/>
    <w:rsid w:val="00F81553"/>
    <w:rsid w:val="00F815E3"/>
    <w:rsid w:val="00FC0015"/>
    <w:rsid w:val="00FC0D81"/>
    <w:rsid w:val="00FC105A"/>
    <w:rsid w:val="00FC6FA3"/>
    <w:rsid w:val="00FD71FA"/>
    <w:rsid w:val="00FE4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96E2BD"/>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4D9"/>
    <w:rPr>
      <w:rFonts w:ascii="Arial" w:hAnsi="Arial"/>
      <w:sz w:val="22"/>
    </w:rPr>
  </w:style>
  <w:style w:type="paragraph" w:styleId="Heading1">
    <w:name w:val="heading 1"/>
    <w:basedOn w:val="Normal"/>
    <w:next w:val="Normal"/>
    <w:link w:val="Heading1Char"/>
    <w:uiPriority w:val="9"/>
    <w:qFormat/>
    <w:rsid w:val="004174D9"/>
    <w:pPr>
      <w:keepNext/>
      <w:keepLines/>
      <w:spacing w:before="480"/>
      <w:outlineLvl w:val="0"/>
    </w:pPr>
    <w:rPr>
      <w:rFonts w:ascii="Corbel" w:eastAsiaTheme="majorEastAsia" w:hAnsi="Corbel"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174D9"/>
    <w:pPr>
      <w:keepNext/>
      <w:keepLines/>
      <w:spacing w:before="200"/>
      <w:outlineLvl w:val="1"/>
    </w:pPr>
    <w:rPr>
      <w:rFonts w:ascii="Corbel" w:eastAsiaTheme="majorEastAsia" w:hAnsi="Corbe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9E9"/>
    <w:rPr>
      <w:rFonts w:ascii="Lucida Grande" w:hAnsi="Lucida Grande" w:cs="Lucida Grande"/>
      <w:sz w:val="18"/>
      <w:szCs w:val="18"/>
    </w:rPr>
  </w:style>
  <w:style w:type="paragraph" w:styleId="Header">
    <w:name w:val="header"/>
    <w:basedOn w:val="Normal"/>
    <w:link w:val="HeaderChar"/>
    <w:uiPriority w:val="99"/>
    <w:unhideWhenUsed/>
    <w:rsid w:val="00015DA6"/>
    <w:pPr>
      <w:tabs>
        <w:tab w:val="center" w:pos="4320"/>
        <w:tab w:val="right" w:pos="8640"/>
      </w:tabs>
    </w:pPr>
  </w:style>
  <w:style w:type="character" w:customStyle="1" w:styleId="HeaderChar">
    <w:name w:val="Header Char"/>
    <w:basedOn w:val="DefaultParagraphFont"/>
    <w:link w:val="Header"/>
    <w:uiPriority w:val="99"/>
    <w:rsid w:val="00015DA6"/>
    <w:rPr>
      <w:rFonts w:ascii="Times New Roman" w:hAnsi="Times New Roman"/>
    </w:rPr>
  </w:style>
  <w:style w:type="paragraph" w:styleId="Footer">
    <w:name w:val="footer"/>
    <w:basedOn w:val="Normal"/>
    <w:link w:val="FooterChar"/>
    <w:uiPriority w:val="99"/>
    <w:unhideWhenUsed/>
    <w:rsid w:val="00015DA6"/>
    <w:pPr>
      <w:tabs>
        <w:tab w:val="center" w:pos="4320"/>
        <w:tab w:val="right" w:pos="8640"/>
      </w:tabs>
    </w:pPr>
  </w:style>
  <w:style w:type="character" w:customStyle="1" w:styleId="FooterChar">
    <w:name w:val="Footer Char"/>
    <w:basedOn w:val="DefaultParagraphFont"/>
    <w:link w:val="Footer"/>
    <w:uiPriority w:val="99"/>
    <w:rsid w:val="00015DA6"/>
    <w:rPr>
      <w:rFonts w:ascii="Times New Roman" w:hAnsi="Times New Roman"/>
    </w:rPr>
  </w:style>
  <w:style w:type="character" w:styleId="PageNumber">
    <w:name w:val="page number"/>
    <w:basedOn w:val="DefaultParagraphFont"/>
    <w:uiPriority w:val="99"/>
    <w:semiHidden/>
    <w:unhideWhenUsed/>
    <w:rsid w:val="00015DA6"/>
  </w:style>
  <w:style w:type="character" w:customStyle="1" w:styleId="Heading1Char">
    <w:name w:val="Heading 1 Char"/>
    <w:basedOn w:val="DefaultParagraphFont"/>
    <w:link w:val="Heading1"/>
    <w:uiPriority w:val="9"/>
    <w:rsid w:val="004174D9"/>
    <w:rPr>
      <w:rFonts w:ascii="Corbel" w:eastAsiaTheme="majorEastAsia" w:hAnsi="Corbel" w:cstheme="majorBidi"/>
      <w:b/>
      <w:bCs/>
      <w:color w:val="345A8A" w:themeColor="accent1" w:themeShade="B5"/>
      <w:sz w:val="32"/>
      <w:szCs w:val="32"/>
    </w:rPr>
  </w:style>
  <w:style w:type="paragraph" w:styleId="Title">
    <w:name w:val="Title"/>
    <w:basedOn w:val="Normal"/>
    <w:next w:val="Normal"/>
    <w:link w:val="TitleChar"/>
    <w:uiPriority w:val="10"/>
    <w:qFormat/>
    <w:rsid w:val="004174D9"/>
    <w:pPr>
      <w:pBdr>
        <w:bottom w:val="single" w:sz="8" w:space="4" w:color="4F81BD" w:themeColor="accent1"/>
      </w:pBdr>
      <w:spacing w:after="300"/>
      <w:contextualSpacing/>
    </w:pPr>
    <w:rPr>
      <w:rFonts w:ascii="Corbel" w:eastAsiaTheme="majorEastAsia" w:hAnsi="Corbel"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74D9"/>
    <w:rPr>
      <w:rFonts w:ascii="Corbel" w:eastAsiaTheme="majorEastAsia" w:hAnsi="Corbel"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4174D9"/>
    <w:rPr>
      <w:rFonts w:ascii="Corbel" w:eastAsiaTheme="majorEastAsia" w:hAnsi="Corbel" w:cstheme="majorBidi"/>
      <w:b/>
      <w:bCs/>
      <w:color w:val="4F81BD" w:themeColor="accent1"/>
      <w:sz w:val="26"/>
      <w:szCs w:val="26"/>
    </w:rPr>
  </w:style>
  <w:style w:type="character" w:styleId="Hyperlink">
    <w:name w:val="Hyperlink"/>
    <w:basedOn w:val="DefaultParagraphFont"/>
    <w:uiPriority w:val="99"/>
    <w:unhideWhenUsed/>
    <w:rsid w:val="00D440D1"/>
    <w:rPr>
      <w:color w:val="0000FF" w:themeColor="hyperlink"/>
      <w:u w:val="single"/>
    </w:rPr>
  </w:style>
  <w:style w:type="paragraph" w:styleId="ListParagraph">
    <w:name w:val="List Paragraph"/>
    <w:basedOn w:val="Courtnumberedparagraph"/>
    <w:link w:val="ListParagraphChar"/>
    <w:uiPriority w:val="34"/>
    <w:qFormat/>
    <w:rsid w:val="00CB2462"/>
    <w:pPr>
      <w:numPr>
        <w:numId w:val="4"/>
      </w:numPr>
      <w:tabs>
        <w:tab w:val="clear" w:pos="1800"/>
        <w:tab w:val="num" w:pos="360"/>
      </w:tabs>
      <w:ind w:left="1440" w:right="1152" w:hanging="360"/>
    </w:pPr>
  </w:style>
  <w:style w:type="character" w:customStyle="1" w:styleId="ListParagraphChar">
    <w:name w:val="List Paragraph Char"/>
    <w:basedOn w:val="DefaultParagraphFont"/>
    <w:link w:val="ListParagraph"/>
    <w:rsid w:val="00CB2462"/>
    <w:rPr>
      <w:rFonts w:ascii="Arial" w:eastAsia="Times New Roman" w:hAnsi="Arial" w:cs="Arial"/>
      <w:sz w:val="22"/>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iPriority w:val="99"/>
    <w:unhideWhenUsed/>
    <w:qFormat/>
    <w:rsid w:val="00CB2462"/>
    <w:pPr>
      <w:jc w:val="both"/>
    </w:pPr>
    <w:rPr>
      <w:sz w:val="20"/>
      <w:szCs w:val="20"/>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basedOn w:val="DefaultParagraphFont"/>
    <w:link w:val="FootnoteText"/>
    <w:uiPriority w:val="99"/>
    <w:qFormat/>
    <w:rsid w:val="00CB2462"/>
    <w:rPr>
      <w:rFonts w:ascii="Arial" w:hAnsi="Arial"/>
      <w:sz w:val="20"/>
      <w:szCs w:val="20"/>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basedOn w:val="DefaultParagraphFont"/>
    <w:link w:val="4GCharCharChar"/>
    <w:uiPriority w:val="99"/>
    <w:unhideWhenUsed/>
    <w:qFormat/>
    <w:rsid w:val="00CB2462"/>
    <w:rPr>
      <w:vertAlign w:val="superscript"/>
    </w:rPr>
  </w:style>
  <w:style w:type="paragraph" w:customStyle="1" w:styleId="Courtnumberedparagraph">
    <w:name w:val="Court numbered paragraph"/>
    <w:basedOn w:val="Normal"/>
    <w:link w:val="CourtnumberedparagraphChar"/>
    <w:qFormat/>
    <w:rsid w:val="00CB2462"/>
    <w:pPr>
      <w:numPr>
        <w:numId w:val="1"/>
      </w:numPr>
      <w:spacing w:before="180" w:after="180" w:line="276" w:lineRule="auto"/>
      <w:jc w:val="both"/>
    </w:pPr>
    <w:rPr>
      <w:rFonts w:eastAsia="Times New Roman" w:cs="Arial"/>
    </w:rPr>
  </w:style>
  <w:style w:type="numbering" w:customStyle="1" w:styleId="ArialADFList">
    <w:name w:val="Arial ADF List"/>
    <w:uiPriority w:val="99"/>
    <w:locked/>
    <w:rsid w:val="00CB2462"/>
    <w:pPr>
      <w:numPr>
        <w:numId w:val="2"/>
      </w:numPr>
    </w:pPr>
  </w:style>
  <w:style w:type="character" w:customStyle="1" w:styleId="CourtnumberedparagraphChar">
    <w:name w:val="Court numbered paragraph Char"/>
    <w:basedOn w:val="ListParagraphChar"/>
    <w:link w:val="Courtnumberedparagraph"/>
    <w:rsid w:val="00CB2462"/>
    <w:rPr>
      <w:rFonts w:ascii="Arial" w:eastAsia="Times New Roman" w:hAnsi="Arial" w:cs="Arial"/>
      <w:sz w:val="22"/>
    </w:rPr>
  </w:style>
  <w:style w:type="paragraph" w:customStyle="1" w:styleId="Sectionheading">
    <w:name w:val="Section heading"/>
    <w:basedOn w:val="Courtnumberedparagraph"/>
    <w:next w:val="Courtnumberedparagraph"/>
    <w:link w:val="SectionheadingChar"/>
    <w:qFormat/>
    <w:rsid w:val="00CB2462"/>
    <w:pPr>
      <w:numPr>
        <w:numId w:val="3"/>
      </w:numPr>
      <w:tabs>
        <w:tab w:val="num" w:pos="360"/>
      </w:tabs>
      <w:spacing w:after="0" w:line="240" w:lineRule="auto"/>
      <w:ind w:left="426" w:hanging="426"/>
    </w:pPr>
    <w:rPr>
      <w:b/>
    </w:rPr>
  </w:style>
  <w:style w:type="character" w:customStyle="1" w:styleId="SectionheadingChar">
    <w:name w:val="Section heading Char"/>
    <w:basedOn w:val="CourtnumberedparagraphChar"/>
    <w:link w:val="Sectionheading"/>
    <w:rsid w:val="00CB2462"/>
    <w:rPr>
      <w:rFonts w:ascii="Arial" w:eastAsia="Times New Roman" w:hAnsi="Arial" w:cs="Arial"/>
      <w:b/>
      <w:sz w:val="22"/>
    </w:rPr>
  </w:style>
  <w:style w:type="character" w:styleId="CommentReference">
    <w:name w:val="annotation reference"/>
    <w:basedOn w:val="DefaultParagraphFont"/>
    <w:uiPriority w:val="99"/>
    <w:semiHidden/>
    <w:unhideWhenUsed/>
    <w:rsid w:val="00CB2462"/>
    <w:rPr>
      <w:sz w:val="18"/>
      <w:szCs w:val="18"/>
    </w:rPr>
  </w:style>
  <w:style w:type="paragraph" w:styleId="CommentText">
    <w:name w:val="annotation text"/>
    <w:basedOn w:val="Normal"/>
    <w:link w:val="CommentTextChar"/>
    <w:uiPriority w:val="99"/>
    <w:unhideWhenUsed/>
    <w:rsid w:val="00CB2462"/>
    <w:rPr>
      <w:rFonts w:ascii="Times New Roman" w:eastAsiaTheme="minorHAnsi" w:hAnsi="Times New Roman"/>
      <w:sz w:val="24"/>
    </w:rPr>
  </w:style>
  <w:style w:type="character" w:customStyle="1" w:styleId="CommentTextChar">
    <w:name w:val="Comment Text Char"/>
    <w:basedOn w:val="DefaultParagraphFont"/>
    <w:link w:val="CommentText"/>
    <w:uiPriority w:val="99"/>
    <w:rsid w:val="00CB2462"/>
    <w:rPr>
      <w:rFonts w:ascii="Times New Roman" w:eastAsiaTheme="minorHAnsi" w:hAnsi="Times New Roma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CB2462"/>
    <w:pPr>
      <w:spacing w:after="160" w:line="240" w:lineRule="exact"/>
      <w:jc w:val="both"/>
    </w:pPr>
    <w:rPr>
      <w:rFonts w:asciiTheme="minorHAnsi" w:hAnsiTheme="minorHAnsi"/>
      <w:sz w:val="24"/>
      <w:vertAlign w:val="superscript"/>
    </w:rPr>
  </w:style>
  <w:style w:type="paragraph" w:styleId="DocumentMap">
    <w:name w:val="Document Map"/>
    <w:basedOn w:val="Normal"/>
    <w:link w:val="DocumentMapChar"/>
    <w:uiPriority w:val="99"/>
    <w:semiHidden/>
    <w:unhideWhenUsed/>
    <w:rsid w:val="00FC0015"/>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FC0015"/>
    <w:rPr>
      <w:rFonts w:ascii="Times New Roman" w:hAnsi="Times New Roman" w:cs="Times New Roman"/>
    </w:rPr>
  </w:style>
  <w:style w:type="paragraph" w:customStyle="1" w:styleId="Default">
    <w:name w:val="Default"/>
    <w:rsid w:val="0059060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FollowedHyperlink">
    <w:name w:val="FollowedHyperlink"/>
    <w:basedOn w:val="DefaultParagraphFont"/>
    <w:uiPriority w:val="99"/>
    <w:semiHidden/>
    <w:unhideWhenUsed/>
    <w:rsid w:val="0059060D"/>
    <w:rPr>
      <w:color w:val="800080" w:themeColor="followedHyperlink"/>
      <w:u w:val="single"/>
    </w:rPr>
  </w:style>
  <w:style w:type="paragraph" w:styleId="NormalWeb">
    <w:name w:val="Normal (Web)"/>
    <w:basedOn w:val="Normal"/>
    <w:uiPriority w:val="99"/>
    <w:semiHidden/>
    <w:unhideWhenUsed/>
    <w:rsid w:val="00392041"/>
    <w:pPr>
      <w:spacing w:before="100" w:beforeAutospacing="1" w:after="100" w:afterAutospacing="1"/>
    </w:pPr>
    <w:rPr>
      <w:rFonts w:ascii="Times New Roman" w:hAnsi="Times New Roman" w:cs="Times New Roman"/>
      <w:sz w:val="24"/>
    </w:rPr>
  </w:style>
  <w:style w:type="paragraph" w:styleId="CommentSubject">
    <w:name w:val="annotation subject"/>
    <w:basedOn w:val="CommentText"/>
    <w:next w:val="CommentText"/>
    <w:link w:val="CommentSubjectChar"/>
    <w:uiPriority w:val="99"/>
    <w:semiHidden/>
    <w:unhideWhenUsed/>
    <w:rsid w:val="00C347CB"/>
    <w:rPr>
      <w:rFonts w:ascii="Arial" w:eastAsiaTheme="minorEastAsia" w:hAnsi="Arial"/>
      <w:b/>
      <w:bCs/>
      <w:sz w:val="20"/>
      <w:szCs w:val="20"/>
    </w:rPr>
  </w:style>
  <w:style w:type="character" w:customStyle="1" w:styleId="CommentSubjectChar">
    <w:name w:val="Comment Subject Char"/>
    <w:basedOn w:val="CommentTextChar"/>
    <w:link w:val="CommentSubject"/>
    <w:uiPriority w:val="99"/>
    <w:semiHidden/>
    <w:rsid w:val="00C347CB"/>
    <w:rPr>
      <w:rFonts w:ascii="Arial" w:eastAsiaTheme="minorHAnsi" w:hAnsi="Arial"/>
      <w:b/>
      <w:bCs/>
      <w:sz w:val="20"/>
      <w:szCs w:val="20"/>
    </w:rPr>
  </w:style>
  <w:style w:type="paragraph" w:customStyle="1" w:styleId="iSubsectionparagraph">
    <w:name w:val="(i) Subsection paragraph"/>
    <w:basedOn w:val="Courtnumberedparagraph"/>
    <w:qFormat/>
    <w:rsid w:val="00363AE5"/>
    <w:pPr>
      <w:numPr>
        <w:numId w:val="0"/>
      </w:numPr>
      <w:ind w:firstLine="450"/>
    </w:pPr>
    <w:rPr>
      <w:i/>
    </w:rPr>
  </w:style>
  <w:style w:type="paragraph" w:styleId="Revision">
    <w:name w:val="Revision"/>
    <w:hidden/>
    <w:uiPriority w:val="99"/>
    <w:semiHidden/>
    <w:rsid w:val="000577A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365">
      <w:bodyDiv w:val="1"/>
      <w:marLeft w:val="0"/>
      <w:marRight w:val="0"/>
      <w:marTop w:val="0"/>
      <w:marBottom w:val="0"/>
      <w:divBdr>
        <w:top w:val="none" w:sz="0" w:space="0" w:color="auto"/>
        <w:left w:val="none" w:sz="0" w:space="0" w:color="auto"/>
        <w:bottom w:val="none" w:sz="0" w:space="0" w:color="auto"/>
        <w:right w:val="none" w:sz="0" w:space="0" w:color="auto"/>
      </w:divBdr>
    </w:div>
    <w:div w:id="51973925">
      <w:bodyDiv w:val="1"/>
      <w:marLeft w:val="0"/>
      <w:marRight w:val="0"/>
      <w:marTop w:val="0"/>
      <w:marBottom w:val="0"/>
      <w:divBdr>
        <w:top w:val="none" w:sz="0" w:space="0" w:color="auto"/>
        <w:left w:val="none" w:sz="0" w:space="0" w:color="auto"/>
        <w:bottom w:val="none" w:sz="0" w:space="0" w:color="auto"/>
        <w:right w:val="none" w:sz="0" w:space="0" w:color="auto"/>
      </w:divBdr>
      <w:divsChild>
        <w:div w:id="2085294551">
          <w:marLeft w:val="0"/>
          <w:marRight w:val="0"/>
          <w:marTop w:val="0"/>
          <w:marBottom w:val="0"/>
          <w:divBdr>
            <w:top w:val="none" w:sz="0" w:space="0" w:color="auto"/>
            <w:left w:val="none" w:sz="0" w:space="0" w:color="auto"/>
            <w:bottom w:val="none" w:sz="0" w:space="0" w:color="auto"/>
            <w:right w:val="none" w:sz="0" w:space="0" w:color="auto"/>
          </w:divBdr>
        </w:div>
      </w:divsChild>
    </w:div>
    <w:div w:id="277953760">
      <w:bodyDiv w:val="1"/>
      <w:marLeft w:val="0"/>
      <w:marRight w:val="0"/>
      <w:marTop w:val="0"/>
      <w:marBottom w:val="0"/>
      <w:divBdr>
        <w:top w:val="none" w:sz="0" w:space="0" w:color="auto"/>
        <w:left w:val="none" w:sz="0" w:space="0" w:color="auto"/>
        <w:bottom w:val="none" w:sz="0" w:space="0" w:color="auto"/>
        <w:right w:val="none" w:sz="0" w:space="0" w:color="auto"/>
      </w:divBdr>
    </w:div>
    <w:div w:id="322197920">
      <w:bodyDiv w:val="1"/>
      <w:marLeft w:val="0"/>
      <w:marRight w:val="0"/>
      <w:marTop w:val="0"/>
      <w:marBottom w:val="0"/>
      <w:divBdr>
        <w:top w:val="none" w:sz="0" w:space="0" w:color="auto"/>
        <w:left w:val="none" w:sz="0" w:space="0" w:color="auto"/>
        <w:bottom w:val="none" w:sz="0" w:space="0" w:color="auto"/>
        <w:right w:val="none" w:sz="0" w:space="0" w:color="auto"/>
      </w:divBdr>
    </w:div>
    <w:div w:id="599025838">
      <w:bodyDiv w:val="1"/>
      <w:marLeft w:val="0"/>
      <w:marRight w:val="0"/>
      <w:marTop w:val="0"/>
      <w:marBottom w:val="0"/>
      <w:divBdr>
        <w:top w:val="none" w:sz="0" w:space="0" w:color="auto"/>
        <w:left w:val="none" w:sz="0" w:space="0" w:color="auto"/>
        <w:bottom w:val="none" w:sz="0" w:space="0" w:color="auto"/>
        <w:right w:val="none" w:sz="0" w:space="0" w:color="auto"/>
      </w:divBdr>
    </w:div>
    <w:div w:id="673455227">
      <w:bodyDiv w:val="1"/>
      <w:marLeft w:val="0"/>
      <w:marRight w:val="0"/>
      <w:marTop w:val="0"/>
      <w:marBottom w:val="0"/>
      <w:divBdr>
        <w:top w:val="none" w:sz="0" w:space="0" w:color="auto"/>
        <w:left w:val="none" w:sz="0" w:space="0" w:color="auto"/>
        <w:bottom w:val="none" w:sz="0" w:space="0" w:color="auto"/>
        <w:right w:val="none" w:sz="0" w:space="0" w:color="auto"/>
      </w:divBdr>
    </w:div>
    <w:div w:id="797334704">
      <w:bodyDiv w:val="1"/>
      <w:marLeft w:val="0"/>
      <w:marRight w:val="0"/>
      <w:marTop w:val="0"/>
      <w:marBottom w:val="0"/>
      <w:divBdr>
        <w:top w:val="none" w:sz="0" w:space="0" w:color="auto"/>
        <w:left w:val="none" w:sz="0" w:space="0" w:color="auto"/>
        <w:bottom w:val="none" w:sz="0" w:space="0" w:color="auto"/>
        <w:right w:val="none" w:sz="0" w:space="0" w:color="auto"/>
      </w:divBdr>
    </w:div>
    <w:div w:id="1175539445">
      <w:bodyDiv w:val="1"/>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85274818">
              <w:marLeft w:val="0"/>
              <w:marRight w:val="0"/>
              <w:marTop w:val="0"/>
              <w:marBottom w:val="0"/>
              <w:divBdr>
                <w:top w:val="none" w:sz="0" w:space="0" w:color="auto"/>
                <w:left w:val="none" w:sz="0" w:space="0" w:color="auto"/>
                <w:bottom w:val="none" w:sz="0" w:space="0" w:color="auto"/>
                <w:right w:val="none" w:sz="0" w:space="0" w:color="auto"/>
              </w:divBdr>
              <w:divsChild>
                <w:div w:id="157084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89763">
      <w:bodyDiv w:val="1"/>
      <w:marLeft w:val="0"/>
      <w:marRight w:val="0"/>
      <w:marTop w:val="0"/>
      <w:marBottom w:val="0"/>
      <w:divBdr>
        <w:top w:val="none" w:sz="0" w:space="0" w:color="auto"/>
        <w:left w:val="none" w:sz="0" w:space="0" w:color="auto"/>
        <w:bottom w:val="none" w:sz="0" w:space="0" w:color="auto"/>
        <w:right w:val="none" w:sz="0" w:space="0" w:color="auto"/>
      </w:divBdr>
      <w:divsChild>
        <w:div w:id="1246111062">
          <w:marLeft w:val="0"/>
          <w:marRight w:val="0"/>
          <w:marTop w:val="0"/>
          <w:marBottom w:val="0"/>
          <w:divBdr>
            <w:top w:val="none" w:sz="0" w:space="0" w:color="auto"/>
            <w:left w:val="none" w:sz="0" w:space="0" w:color="auto"/>
            <w:bottom w:val="none" w:sz="0" w:space="0" w:color="auto"/>
            <w:right w:val="none" w:sz="0" w:space="0" w:color="auto"/>
          </w:divBdr>
        </w:div>
        <w:div w:id="1921790621">
          <w:marLeft w:val="0"/>
          <w:marRight w:val="0"/>
          <w:marTop w:val="0"/>
          <w:marBottom w:val="0"/>
          <w:divBdr>
            <w:top w:val="none" w:sz="0" w:space="0" w:color="auto"/>
            <w:left w:val="none" w:sz="0" w:space="0" w:color="auto"/>
            <w:bottom w:val="none" w:sz="0" w:space="0" w:color="auto"/>
            <w:right w:val="none" w:sz="0" w:space="0" w:color="auto"/>
          </w:divBdr>
        </w:div>
      </w:divsChild>
    </w:div>
    <w:div w:id="1382486517">
      <w:bodyDiv w:val="1"/>
      <w:marLeft w:val="0"/>
      <w:marRight w:val="0"/>
      <w:marTop w:val="0"/>
      <w:marBottom w:val="0"/>
      <w:divBdr>
        <w:top w:val="none" w:sz="0" w:space="0" w:color="auto"/>
        <w:left w:val="none" w:sz="0" w:space="0" w:color="auto"/>
        <w:bottom w:val="none" w:sz="0" w:space="0" w:color="auto"/>
        <w:right w:val="none" w:sz="0" w:space="0" w:color="auto"/>
      </w:divBdr>
    </w:div>
    <w:div w:id="1444418023">
      <w:bodyDiv w:val="1"/>
      <w:marLeft w:val="0"/>
      <w:marRight w:val="0"/>
      <w:marTop w:val="0"/>
      <w:marBottom w:val="0"/>
      <w:divBdr>
        <w:top w:val="none" w:sz="0" w:space="0" w:color="auto"/>
        <w:left w:val="none" w:sz="0" w:space="0" w:color="auto"/>
        <w:bottom w:val="none" w:sz="0" w:space="0" w:color="auto"/>
        <w:right w:val="none" w:sz="0" w:space="0" w:color="auto"/>
      </w:divBdr>
    </w:div>
    <w:div w:id="2009400902">
      <w:bodyDiv w:val="1"/>
      <w:marLeft w:val="0"/>
      <w:marRight w:val="0"/>
      <w:marTop w:val="0"/>
      <w:marBottom w:val="0"/>
      <w:divBdr>
        <w:top w:val="none" w:sz="0" w:space="0" w:color="auto"/>
        <w:left w:val="none" w:sz="0" w:space="0" w:color="auto"/>
        <w:bottom w:val="none" w:sz="0" w:space="0" w:color="auto"/>
        <w:right w:val="none" w:sz="0" w:space="0" w:color="auto"/>
      </w:divBdr>
    </w:div>
    <w:div w:id="2084133699">
      <w:bodyDiv w:val="1"/>
      <w:marLeft w:val="0"/>
      <w:marRight w:val="0"/>
      <w:marTop w:val="0"/>
      <w:marBottom w:val="0"/>
      <w:divBdr>
        <w:top w:val="none" w:sz="0" w:space="0" w:color="auto"/>
        <w:left w:val="none" w:sz="0" w:space="0" w:color="auto"/>
        <w:bottom w:val="none" w:sz="0" w:space="0" w:color="auto"/>
        <w:right w:val="none" w:sz="0" w:space="0" w:color="auto"/>
      </w:divBdr>
      <w:divsChild>
        <w:div w:id="2006739121">
          <w:marLeft w:val="0"/>
          <w:marRight w:val="0"/>
          <w:marTop w:val="0"/>
          <w:marBottom w:val="0"/>
          <w:divBdr>
            <w:top w:val="none" w:sz="0" w:space="0" w:color="auto"/>
            <w:left w:val="none" w:sz="0" w:space="0" w:color="auto"/>
            <w:bottom w:val="none" w:sz="0" w:space="0" w:color="auto"/>
            <w:right w:val="none" w:sz="0" w:space="0" w:color="auto"/>
          </w:divBdr>
          <w:divsChild>
            <w:div w:id="443816203">
              <w:marLeft w:val="0"/>
              <w:marRight w:val="0"/>
              <w:marTop w:val="0"/>
              <w:marBottom w:val="0"/>
              <w:divBdr>
                <w:top w:val="none" w:sz="0" w:space="0" w:color="auto"/>
                <w:left w:val="none" w:sz="0" w:space="0" w:color="auto"/>
                <w:bottom w:val="none" w:sz="0" w:space="0" w:color="auto"/>
                <w:right w:val="none" w:sz="0" w:space="0" w:color="auto"/>
              </w:divBdr>
              <w:divsChild>
                <w:div w:id="769281023">
                  <w:marLeft w:val="0"/>
                  <w:marRight w:val="0"/>
                  <w:marTop w:val="0"/>
                  <w:marBottom w:val="0"/>
                  <w:divBdr>
                    <w:top w:val="none" w:sz="0" w:space="0" w:color="auto"/>
                    <w:left w:val="none" w:sz="0" w:space="0" w:color="auto"/>
                    <w:bottom w:val="none" w:sz="0" w:space="0" w:color="auto"/>
                    <w:right w:val="none" w:sz="0" w:space="0" w:color="auto"/>
                  </w:divBdr>
                </w:div>
              </w:divsChild>
            </w:div>
            <w:div w:id="454716750">
              <w:marLeft w:val="0"/>
              <w:marRight w:val="0"/>
              <w:marTop w:val="0"/>
              <w:marBottom w:val="0"/>
              <w:divBdr>
                <w:top w:val="none" w:sz="0" w:space="0" w:color="auto"/>
                <w:left w:val="none" w:sz="0" w:space="0" w:color="auto"/>
                <w:bottom w:val="none" w:sz="0" w:space="0" w:color="auto"/>
                <w:right w:val="none" w:sz="0" w:space="0" w:color="auto"/>
              </w:divBdr>
              <w:divsChild>
                <w:div w:id="14784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AC2893C9EFA448FB411C05A5FCF90"/>
        <w:category>
          <w:name w:val="General"/>
          <w:gallery w:val="placeholder"/>
        </w:category>
        <w:types>
          <w:type w:val="bbPlcHdr"/>
        </w:types>
        <w:behaviors>
          <w:behavior w:val="content"/>
        </w:behaviors>
        <w:guid w:val="{3144C9E8-1AC3-3A46-A5F6-D874DB6328F3}"/>
      </w:docPartPr>
      <w:docPartBody>
        <w:p w:rsidR="00C83693" w:rsidRDefault="009B45B2">
          <w:pPr>
            <w:pStyle w:val="8A2AC2893C9EFA448FB411C05A5FCF90"/>
          </w:pPr>
          <w:r>
            <w:t>[Type text]</w:t>
          </w:r>
        </w:p>
      </w:docPartBody>
    </w:docPart>
    <w:docPart>
      <w:docPartPr>
        <w:name w:val="2A409E349172074CAA54ED48BBBD524B"/>
        <w:category>
          <w:name w:val="General"/>
          <w:gallery w:val="placeholder"/>
        </w:category>
        <w:types>
          <w:type w:val="bbPlcHdr"/>
        </w:types>
        <w:behaviors>
          <w:behavior w:val="content"/>
        </w:behaviors>
        <w:guid w:val="{CEE514C0-1DF9-C54C-8426-52BA1BD9328C}"/>
      </w:docPartPr>
      <w:docPartBody>
        <w:p w:rsidR="00C83693" w:rsidRDefault="009B45B2">
          <w:pPr>
            <w:pStyle w:val="2A409E349172074CAA54ED48BBBD524B"/>
          </w:pPr>
          <w:r>
            <w:t>[Type text]</w:t>
          </w:r>
        </w:p>
      </w:docPartBody>
    </w:docPart>
    <w:docPart>
      <w:docPartPr>
        <w:name w:val="130EFB9EC276A141B0BF46FE59B6E27D"/>
        <w:category>
          <w:name w:val="General"/>
          <w:gallery w:val="placeholder"/>
        </w:category>
        <w:types>
          <w:type w:val="bbPlcHdr"/>
        </w:types>
        <w:behaviors>
          <w:behavior w:val="content"/>
        </w:behaviors>
        <w:guid w:val="{96003AA9-0D96-E945-A323-4E96BE3A3574}"/>
      </w:docPartPr>
      <w:docPartBody>
        <w:p w:rsidR="00C83693" w:rsidRDefault="009B45B2">
          <w:pPr>
            <w:pStyle w:val="130EFB9EC276A141B0BF46FE59B6E2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B2"/>
    <w:rsid w:val="00024305"/>
    <w:rsid w:val="001B2A0C"/>
    <w:rsid w:val="001F1611"/>
    <w:rsid w:val="00282207"/>
    <w:rsid w:val="00283AC5"/>
    <w:rsid w:val="0036204A"/>
    <w:rsid w:val="003622B4"/>
    <w:rsid w:val="003E7A99"/>
    <w:rsid w:val="0050521C"/>
    <w:rsid w:val="00626324"/>
    <w:rsid w:val="007141B2"/>
    <w:rsid w:val="007B30D2"/>
    <w:rsid w:val="007F5B30"/>
    <w:rsid w:val="00827183"/>
    <w:rsid w:val="009B45B2"/>
    <w:rsid w:val="00A75E46"/>
    <w:rsid w:val="00AA3801"/>
    <w:rsid w:val="00C83693"/>
    <w:rsid w:val="00D55438"/>
    <w:rsid w:val="00ED1C18"/>
    <w:rsid w:val="00EF2004"/>
    <w:rsid w:val="00FB28F4"/>
    <w:rsid w:val="00FE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2AC2893C9EFA448FB411C05A5FCF90">
    <w:name w:val="8A2AC2893C9EFA448FB411C05A5FCF90"/>
  </w:style>
  <w:style w:type="paragraph" w:customStyle="1" w:styleId="2A409E349172074CAA54ED48BBBD524B">
    <w:name w:val="2A409E349172074CAA54ED48BBBD524B"/>
  </w:style>
  <w:style w:type="paragraph" w:customStyle="1" w:styleId="130EFB9EC276A141B0BF46FE59B6E27D">
    <w:name w:val="130EFB9EC276A141B0BF46FE59B6E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0BB1-87F2-4A67-82C3-24F3E59C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2022-12-16T13:45:00Z</dcterms:created>
  <dcterms:modified xsi:type="dcterms:W3CDTF">2022-12-16T13:45:00Z</dcterms:modified>
</cp:coreProperties>
</file>