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DE4FB" w14:textId="3C300254" w:rsidR="004C35BB" w:rsidRPr="0040794D" w:rsidRDefault="00790264" w:rsidP="00D30D22">
      <w:pPr>
        <w:pBdr>
          <w:top w:val="nil"/>
          <w:left w:val="nil"/>
          <w:bottom w:val="nil"/>
          <w:right w:val="nil"/>
          <w:between w:val="nil"/>
        </w:pBdr>
        <w:jc w:val="both"/>
        <w:rPr>
          <w:color w:val="000000"/>
        </w:rPr>
      </w:pPr>
      <w:r>
        <w:rPr>
          <w:noProof/>
          <w:color w:val="000000"/>
        </w:rPr>
        <w:drawing>
          <wp:anchor distT="0" distB="0" distL="114300" distR="114300" simplePos="0" relativeHeight="251662336" behindDoc="0" locked="0" layoutInCell="1" allowOverlap="1" wp14:anchorId="75D2023A" wp14:editId="33AF69F6">
            <wp:simplePos x="0" y="0"/>
            <wp:positionH relativeFrom="column">
              <wp:posOffset>2908572</wp:posOffset>
            </wp:positionH>
            <wp:positionV relativeFrom="paragraph">
              <wp:posOffset>-324542</wp:posOffset>
            </wp:positionV>
            <wp:extent cx="1788289" cy="1788289"/>
            <wp:effectExtent l="0" t="0" r="2540" b="254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88289" cy="1788289"/>
                    </a:xfrm>
                    <a:prstGeom prst="rect">
                      <a:avLst/>
                    </a:prstGeom>
                  </pic:spPr>
                </pic:pic>
              </a:graphicData>
            </a:graphic>
            <wp14:sizeRelH relativeFrom="page">
              <wp14:pctWidth>0</wp14:pctWidth>
            </wp14:sizeRelH>
            <wp14:sizeRelV relativeFrom="page">
              <wp14:pctHeight>0</wp14:pctHeight>
            </wp14:sizeRelV>
          </wp:anchor>
        </w:drawing>
      </w:r>
      <w:r w:rsidRPr="0040794D">
        <w:rPr>
          <w:noProof/>
          <w:color w:val="000000"/>
        </w:rPr>
        <w:drawing>
          <wp:anchor distT="0" distB="0" distL="114300" distR="114300" simplePos="0" relativeHeight="251658240" behindDoc="0" locked="0" layoutInCell="1" allowOverlap="1" wp14:anchorId="2F350D90" wp14:editId="19C84F4B">
            <wp:simplePos x="0" y="0"/>
            <wp:positionH relativeFrom="column">
              <wp:posOffset>913629</wp:posOffset>
            </wp:positionH>
            <wp:positionV relativeFrom="paragraph">
              <wp:posOffset>-26582</wp:posOffset>
            </wp:positionV>
            <wp:extent cx="1427024" cy="921836"/>
            <wp:effectExtent l="0" t="0" r="1905"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PC comp logo RGB bi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7024" cy="921836"/>
                    </a:xfrm>
                    <a:prstGeom prst="rect">
                      <a:avLst/>
                    </a:prstGeom>
                  </pic:spPr>
                </pic:pic>
              </a:graphicData>
            </a:graphic>
            <wp14:sizeRelH relativeFrom="page">
              <wp14:pctWidth>0</wp14:pctWidth>
            </wp14:sizeRelH>
            <wp14:sizeRelV relativeFrom="page">
              <wp14:pctHeight>0</wp14:pctHeight>
            </wp14:sizeRelV>
          </wp:anchor>
        </w:drawing>
      </w:r>
    </w:p>
    <w:p w14:paraId="7E766279" w14:textId="3D376032" w:rsidR="004C35BB" w:rsidRPr="0040794D" w:rsidRDefault="004C35BB">
      <w:pPr>
        <w:pBdr>
          <w:top w:val="nil"/>
          <w:left w:val="nil"/>
          <w:bottom w:val="nil"/>
          <w:right w:val="nil"/>
          <w:between w:val="nil"/>
        </w:pBdr>
        <w:jc w:val="both"/>
        <w:rPr>
          <w:color w:val="000000"/>
        </w:rPr>
      </w:pPr>
    </w:p>
    <w:p w14:paraId="1EACAE60" w14:textId="282D633C" w:rsidR="004C35BB" w:rsidRPr="0040794D" w:rsidRDefault="004C35BB">
      <w:pPr>
        <w:pBdr>
          <w:top w:val="nil"/>
          <w:left w:val="nil"/>
          <w:bottom w:val="nil"/>
          <w:right w:val="nil"/>
          <w:between w:val="nil"/>
        </w:pBdr>
        <w:jc w:val="both"/>
        <w:rPr>
          <w:b/>
          <w:color w:val="000000"/>
          <w:sz w:val="32"/>
          <w:szCs w:val="32"/>
        </w:rPr>
      </w:pPr>
    </w:p>
    <w:p w14:paraId="61AA5A6F" w14:textId="083E54A8" w:rsidR="00A31CAD" w:rsidRPr="0040794D" w:rsidRDefault="00A31CAD">
      <w:pPr>
        <w:pBdr>
          <w:top w:val="nil"/>
          <w:left w:val="nil"/>
          <w:bottom w:val="nil"/>
          <w:right w:val="nil"/>
          <w:between w:val="nil"/>
        </w:pBdr>
        <w:jc w:val="both"/>
        <w:rPr>
          <w:b/>
          <w:color w:val="000000"/>
          <w:sz w:val="32"/>
          <w:szCs w:val="32"/>
        </w:rPr>
      </w:pPr>
    </w:p>
    <w:p w14:paraId="5F5C520D" w14:textId="1B64FA78" w:rsidR="00A31CAD" w:rsidRPr="0040794D" w:rsidRDefault="00A31CAD" w:rsidP="00902F96">
      <w:pPr>
        <w:pBdr>
          <w:top w:val="nil"/>
          <w:left w:val="nil"/>
          <w:bottom w:val="nil"/>
          <w:right w:val="nil"/>
          <w:between w:val="nil"/>
        </w:pBdr>
        <w:jc w:val="center"/>
        <w:rPr>
          <w:b/>
          <w:color w:val="000000"/>
          <w:sz w:val="32"/>
          <w:szCs w:val="32"/>
        </w:rPr>
      </w:pPr>
    </w:p>
    <w:p w14:paraId="73C4B4FB" w14:textId="76DF5999" w:rsidR="00A31CAD" w:rsidRPr="0040794D" w:rsidRDefault="00A31CAD">
      <w:pPr>
        <w:pBdr>
          <w:top w:val="nil"/>
          <w:left w:val="nil"/>
          <w:bottom w:val="nil"/>
          <w:right w:val="nil"/>
          <w:between w:val="nil"/>
        </w:pBdr>
        <w:jc w:val="both"/>
        <w:rPr>
          <w:b/>
          <w:color w:val="000000"/>
          <w:sz w:val="32"/>
          <w:szCs w:val="32"/>
        </w:rPr>
      </w:pPr>
    </w:p>
    <w:p w14:paraId="5C5FEF7A" w14:textId="77777777" w:rsidR="00A31CAD" w:rsidRPr="0040794D" w:rsidRDefault="00A31CAD">
      <w:pPr>
        <w:pBdr>
          <w:top w:val="nil"/>
          <w:left w:val="nil"/>
          <w:bottom w:val="nil"/>
          <w:right w:val="nil"/>
          <w:between w:val="nil"/>
        </w:pBdr>
        <w:jc w:val="both"/>
        <w:rPr>
          <w:b/>
          <w:color w:val="000000"/>
          <w:sz w:val="32"/>
          <w:szCs w:val="32"/>
        </w:rPr>
      </w:pPr>
    </w:p>
    <w:p w14:paraId="6773038B" w14:textId="77777777" w:rsidR="00A31CAD" w:rsidRPr="0040794D" w:rsidRDefault="00A31CAD">
      <w:pPr>
        <w:pBdr>
          <w:top w:val="nil"/>
          <w:left w:val="nil"/>
          <w:bottom w:val="nil"/>
          <w:right w:val="nil"/>
          <w:between w:val="nil"/>
        </w:pBdr>
        <w:jc w:val="both"/>
        <w:rPr>
          <w:b/>
          <w:color w:val="000000"/>
          <w:sz w:val="32"/>
          <w:szCs w:val="32"/>
        </w:rPr>
      </w:pPr>
    </w:p>
    <w:p w14:paraId="60137B04" w14:textId="2975A53E" w:rsidR="004C35BB" w:rsidRPr="0040794D" w:rsidRDefault="00E20BF8">
      <w:pPr>
        <w:pBdr>
          <w:top w:val="nil"/>
          <w:left w:val="nil"/>
          <w:bottom w:val="nil"/>
          <w:right w:val="nil"/>
          <w:between w:val="nil"/>
        </w:pBdr>
        <w:jc w:val="both"/>
        <w:rPr>
          <w:b/>
          <w:color w:val="000000"/>
          <w:sz w:val="40"/>
          <w:szCs w:val="40"/>
        </w:rPr>
      </w:pPr>
      <w:r w:rsidRPr="0040794D">
        <w:rPr>
          <w:b/>
          <w:color w:val="000000"/>
          <w:sz w:val="40"/>
          <w:szCs w:val="40"/>
        </w:rPr>
        <w:t xml:space="preserve">Submission to the </w:t>
      </w:r>
      <w:r w:rsidR="001C04C6" w:rsidRPr="0040794D">
        <w:rPr>
          <w:b/>
          <w:color w:val="000000"/>
          <w:sz w:val="40"/>
          <w:szCs w:val="40"/>
        </w:rPr>
        <w:t xml:space="preserve">UN Special Rapporteur on </w:t>
      </w:r>
      <w:r w:rsidR="00EF788D">
        <w:rPr>
          <w:b/>
          <w:color w:val="000000"/>
          <w:sz w:val="40"/>
          <w:szCs w:val="40"/>
        </w:rPr>
        <w:t>Freedom of Religion or Belief</w:t>
      </w:r>
    </w:p>
    <w:p w14:paraId="785A566F" w14:textId="77777777" w:rsidR="001C04C6" w:rsidRPr="0040794D" w:rsidRDefault="001C04C6">
      <w:pPr>
        <w:pBdr>
          <w:top w:val="nil"/>
          <w:left w:val="nil"/>
          <w:bottom w:val="nil"/>
          <w:right w:val="nil"/>
          <w:between w:val="nil"/>
        </w:pBdr>
        <w:jc w:val="both"/>
        <w:rPr>
          <w:b/>
          <w:color w:val="000000"/>
          <w:sz w:val="32"/>
          <w:szCs w:val="32"/>
        </w:rPr>
      </w:pPr>
    </w:p>
    <w:p w14:paraId="666335FF" w14:textId="2994C807" w:rsidR="004C35BB" w:rsidRPr="0040794D" w:rsidRDefault="00C06C5F">
      <w:pPr>
        <w:pBdr>
          <w:top w:val="nil"/>
          <w:left w:val="nil"/>
          <w:bottom w:val="nil"/>
          <w:right w:val="nil"/>
          <w:between w:val="nil"/>
        </w:pBdr>
        <w:jc w:val="both"/>
        <w:rPr>
          <w:b/>
          <w:color w:val="000000"/>
          <w:sz w:val="32"/>
          <w:szCs w:val="32"/>
        </w:rPr>
      </w:pPr>
      <w:r w:rsidRPr="0040794D">
        <w:rPr>
          <w:b/>
          <w:color w:val="000000"/>
          <w:sz w:val="32"/>
          <w:szCs w:val="32"/>
        </w:rPr>
        <w:t xml:space="preserve">On </w:t>
      </w:r>
      <w:r w:rsidR="007C1586">
        <w:rPr>
          <w:b/>
          <w:color w:val="000000"/>
          <w:sz w:val="32"/>
          <w:szCs w:val="32"/>
        </w:rPr>
        <w:t>the right to freedom of thought</w:t>
      </w:r>
      <w:r w:rsidR="00D23020">
        <w:rPr>
          <w:b/>
          <w:color w:val="000000"/>
          <w:sz w:val="32"/>
          <w:szCs w:val="32"/>
        </w:rPr>
        <w:t>, cognitive liberty,</w:t>
      </w:r>
      <w:r w:rsidR="007C1586">
        <w:rPr>
          <w:b/>
          <w:color w:val="000000"/>
          <w:sz w:val="32"/>
          <w:szCs w:val="32"/>
        </w:rPr>
        <w:t xml:space="preserve"> and the global drug control </w:t>
      </w:r>
      <w:r w:rsidR="00D23020">
        <w:rPr>
          <w:b/>
          <w:color w:val="000000"/>
          <w:sz w:val="32"/>
          <w:szCs w:val="32"/>
        </w:rPr>
        <w:t>regime</w:t>
      </w:r>
    </w:p>
    <w:p w14:paraId="071B66E9" w14:textId="77777777" w:rsidR="004C35BB" w:rsidRPr="0040794D" w:rsidRDefault="004C35BB">
      <w:pPr>
        <w:pBdr>
          <w:top w:val="nil"/>
          <w:left w:val="nil"/>
          <w:bottom w:val="nil"/>
          <w:right w:val="nil"/>
          <w:between w:val="nil"/>
        </w:pBdr>
        <w:jc w:val="both"/>
        <w:rPr>
          <w:color w:val="000000"/>
        </w:rPr>
      </w:pPr>
    </w:p>
    <w:p w14:paraId="4147A201" w14:textId="77777777" w:rsidR="004C35BB" w:rsidRPr="0040794D" w:rsidRDefault="004C35BB">
      <w:pPr>
        <w:pBdr>
          <w:top w:val="nil"/>
          <w:left w:val="nil"/>
          <w:bottom w:val="nil"/>
          <w:right w:val="nil"/>
          <w:between w:val="nil"/>
        </w:pBdr>
        <w:jc w:val="both"/>
        <w:rPr>
          <w:color w:val="000000"/>
        </w:rPr>
      </w:pPr>
    </w:p>
    <w:p w14:paraId="741EE464" w14:textId="77777777" w:rsidR="004C35BB" w:rsidRPr="0040794D" w:rsidRDefault="004C35BB">
      <w:pPr>
        <w:pBdr>
          <w:top w:val="nil"/>
          <w:left w:val="nil"/>
          <w:bottom w:val="nil"/>
          <w:right w:val="nil"/>
          <w:between w:val="nil"/>
        </w:pBdr>
        <w:jc w:val="both"/>
        <w:rPr>
          <w:b/>
          <w:color w:val="000000"/>
          <w:sz w:val="32"/>
          <w:szCs w:val="32"/>
        </w:rPr>
      </w:pPr>
    </w:p>
    <w:p w14:paraId="602CBCF9" w14:textId="0CBD16C1" w:rsidR="004C35BB" w:rsidRPr="0040794D" w:rsidRDefault="004E337A">
      <w:pPr>
        <w:pBdr>
          <w:top w:val="nil"/>
          <w:left w:val="nil"/>
          <w:bottom w:val="nil"/>
          <w:right w:val="nil"/>
          <w:between w:val="nil"/>
        </w:pBdr>
        <w:jc w:val="both"/>
        <w:rPr>
          <w:b/>
          <w:color w:val="000000"/>
          <w:sz w:val="32"/>
          <w:szCs w:val="32"/>
        </w:rPr>
      </w:pPr>
      <w:r w:rsidRPr="0040794D">
        <w:rPr>
          <w:b/>
          <w:color w:val="000000"/>
          <w:sz w:val="32"/>
          <w:szCs w:val="32"/>
        </w:rPr>
        <w:t xml:space="preserve">June </w:t>
      </w:r>
      <w:r w:rsidR="00E20BF8" w:rsidRPr="0040794D">
        <w:rPr>
          <w:b/>
          <w:color w:val="000000"/>
          <w:sz w:val="32"/>
          <w:szCs w:val="32"/>
        </w:rPr>
        <w:t>202</w:t>
      </w:r>
      <w:r w:rsidR="001C04C6" w:rsidRPr="0040794D">
        <w:rPr>
          <w:b/>
          <w:color w:val="000000"/>
          <w:sz w:val="32"/>
          <w:szCs w:val="32"/>
        </w:rPr>
        <w:t>1</w:t>
      </w:r>
    </w:p>
    <w:p w14:paraId="2F5A84FC" w14:textId="77777777" w:rsidR="004C35BB" w:rsidRPr="0040794D" w:rsidRDefault="004C35BB">
      <w:pPr>
        <w:pBdr>
          <w:top w:val="nil"/>
          <w:left w:val="nil"/>
          <w:bottom w:val="nil"/>
          <w:right w:val="nil"/>
          <w:between w:val="nil"/>
        </w:pBdr>
        <w:jc w:val="both"/>
        <w:rPr>
          <w:color w:val="000000"/>
        </w:rPr>
      </w:pPr>
    </w:p>
    <w:p w14:paraId="3EAC79EF" w14:textId="77777777" w:rsidR="004C35BB" w:rsidRPr="0040794D" w:rsidRDefault="004C35BB">
      <w:pPr>
        <w:pBdr>
          <w:top w:val="nil"/>
          <w:left w:val="nil"/>
          <w:bottom w:val="nil"/>
          <w:right w:val="nil"/>
          <w:between w:val="nil"/>
        </w:pBdr>
        <w:jc w:val="both"/>
        <w:rPr>
          <w:color w:val="000000"/>
        </w:rPr>
      </w:pPr>
    </w:p>
    <w:p w14:paraId="79CE9D1D" w14:textId="77777777" w:rsidR="004C35BB" w:rsidRPr="0040794D" w:rsidRDefault="004C35BB">
      <w:pPr>
        <w:pBdr>
          <w:top w:val="nil"/>
          <w:left w:val="nil"/>
          <w:bottom w:val="nil"/>
          <w:right w:val="nil"/>
          <w:between w:val="nil"/>
        </w:pBdr>
        <w:jc w:val="both"/>
        <w:rPr>
          <w:color w:val="000000"/>
        </w:rPr>
      </w:pPr>
    </w:p>
    <w:p w14:paraId="066E52D5" w14:textId="7254EFD1" w:rsidR="004C35BB" w:rsidRPr="0040794D" w:rsidRDefault="00E20BF8">
      <w:pPr>
        <w:pBdr>
          <w:top w:val="nil"/>
          <w:left w:val="nil"/>
          <w:bottom w:val="nil"/>
          <w:right w:val="nil"/>
          <w:between w:val="nil"/>
        </w:pBdr>
        <w:jc w:val="both"/>
        <w:rPr>
          <w:b/>
          <w:color w:val="000000"/>
        </w:rPr>
      </w:pPr>
      <w:r w:rsidRPr="0040794D">
        <w:rPr>
          <w:b/>
          <w:color w:val="000000"/>
        </w:rPr>
        <w:t>Submitting organisation:</w:t>
      </w:r>
    </w:p>
    <w:p w14:paraId="2296129E" w14:textId="77777777" w:rsidR="003F59B5" w:rsidRDefault="003F59B5" w:rsidP="003F59B5">
      <w:pPr>
        <w:pBdr>
          <w:top w:val="nil"/>
          <w:left w:val="nil"/>
          <w:bottom w:val="nil"/>
          <w:right w:val="nil"/>
          <w:between w:val="nil"/>
        </w:pBdr>
        <w:jc w:val="both"/>
        <w:rPr>
          <w:color w:val="000000"/>
        </w:rPr>
      </w:pPr>
    </w:p>
    <w:p w14:paraId="44EE8307" w14:textId="4E07F6DB" w:rsidR="004C35BB" w:rsidRPr="003F59B5" w:rsidRDefault="00E20BF8" w:rsidP="003F59B5">
      <w:pPr>
        <w:pBdr>
          <w:top w:val="nil"/>
          <w:left w:val="nil"/>
          <w:bottom w:val="nil"/>
          <w:right w:val="nil"/>
          <w:between w:val="nil"/>
        </w:pBdr>
        <w:jc w:val="both"/>
        <w:rPr>
          <w:color w:val="000000"/>
        </w:rPr>
      </w:pPr>
      <w:r w:rsidRPr="003F59B5">
        <w:rPr>
          <w:color w:val="000000"/>
        </w:rPr>
        <w:t xml:space="preserve">The International Drug Policy Consortium is a global network of </w:t>
      </w:r>
      <w:r w:rsidR="004E337A" w:rsidRPr="003F59B5">
        <w:rPr>
          <w:color w:val="000000"/>
        </w:rPr>
        <w:t xml:space="preserve">191 </w:t>
      </w:r>
      <w:r w:rsidRPr="003F59B5">
        <w:rPr>
          <w:color w:val="000000"/>
        </w:rPr>
        <w:t xml:space="preserve">non-government organizations that advocate for drug </w:t>
      </w:r>
      <w:r w:rsidR="00413D17" w:rsidRPr="003F59B5">
        <w:rPr>
          <w:color w:val="000000"/>
        </w:rPr>
        <w:t>policy reform to advance social justice and human rights.</w:t>
      </w:r>
    </w:p>
    <w:p w14:paraId="680D59ED" w14:textId="77777777" w:rsidR="000E451C" w:rsidRPr="008301E0" w:rsidRDefault="000E451C" w:rsidP="008301E0">
      <w:pPr>
        <w:rPr>
          <w:color w:val="000000"/>
        </w:rPr>
      </w:pPr>
    </w:p>
    <w:p w14:paraId="303219AB" w14:textId="2F09FD20" w:rsidR="000E451C" w:rsidRPr="00497C50" w:rsidRDefault="00C6629C" w:rsidP="00DA00AB">
      <w:pPr>
        <w:rPr>
          <w:color w:val="000000"/>
          <w:lang w:val="en-US"/>
        </w:rPr>
      </w:pPr>
      <w:r w:rsidRPr="00497C50">
        <w:rPr>
          <w:color w:val="000000"/>
          <w:lang w:val="en-US"/>
        </w:rPr>
        <w:t xml:space="preserve">Instituto RIA, AC is a Mexican organization that </w:t>
      </w:r>
      <w:r>
        <w:rPr>
          <w:color w:val="000000"/>
          <w:lang w:val="en-US"/>
        </w:rPr>
        <w:t xml:space="preserve">undertakes research and advocacy for innovative drug policies within a social justice framework as a means of building peace. </w:t>
      </w:r>
    </w:p>
    <w:p w14:paraId="71FDED21" w14:textId="77777777" w:rsidR="003F59B5" w:rsidRPr="00497C50" w:rsidRDefault="003F59B5" w:rsidP="00DA00AB">
      <w:pPr>
        <w:rPr>
          <w:color w:val="000000"/>
          <w:lang w:val="en-US"/>
        </w:rPr>
      </w:pPr>
    </w:p>
    <w:p w14:paraId="0D2573F2" w14:textId="77777777" w:rsidR="004C35BB" w:rsidRPr="00497C50" w:rsidRDefault="004C35BB">
      <w:pPr>
        <w:pBdr>
          <w:top w:val="nil"/>
          <w:left w:val="nil"/>
          <w:bottom w:val="nil"/>
          <w:right w:val="nil"/>
          <w:between w:val="nil"/>
        </w:pBdr>
        <w:jc w:val="both"/>
        <w:rPr>
          <w:color w:val="000000"/>
          <w:lang w:val="en-US"/>
        </w:rPr>
      </w:pPr>
    </w:p>
    <w:p w14:paraId="393D8828" w14:textId="77777777" w:rsidR="00DA00AB" w:rsidRPr="000E451C" w:rsidRDefault="00DA00AB">
      <w:pPr>
        <w:pBdr>
          <w:top w:val="nil"/>
          <w:left w:val="nil"/>
          <w:bottom w:val="nil"/>
          <w:right w:val="nil"/>
          <w:between w:val="nil"/>
        </w:pBdr>
        <w:jc w:val="both"/>
        <w:rPr>
          <w:color w:val="000000"/>
        </w:rPr>
      </w:pPr>
    </w:p>
    <w:p w14:paraId="3B7AF915" w14:textId="73C56FFE" w:rsidR="004C35BB" w:rsidRPr="0040794D" w:rsidRDefault="00E20BF8">
      <w:pPr>
        <w:pBdr>
          <w:top w:val="nil"/>
          <w:left w:val="nil"/>
          <w:bottom w:val="nil"/>
          <w:right w:val="nil"/>
          <w:between w:val="nil"/>
        </w:pBdr>
        <w:jc w:val="both"/>
        <w:rPr>
          <w:b/>
          <w:color w:val="000000"/>
        </w:rPr>
      </w:pPr>
      <w:r w:rsidRPr="0040794D">
        <w:rPr>
          <w:b/>
          <w:color w:val="000000"/>
        </w:rPr>
        <w:t>Contact details</w:t>
      </w:r>
      <w:r w:rsidR="000E451C">
        <w:rPr>
          <w:b/>
          <w:color w:val="000000"/>
        </w:rPr>
        <w:t xml:space="preserve"> for this submission</w:t>
      </w:r>
      <w:r w:rsidRPr="0040794D">
        <w:rPr>
          <w:b/>
          <w:color w:val="000000"/>
        </w:rPr>
        <w:t>:</w:t>
      </w:r>
    </w:p>
    <w:p w14:paraId="77B27C68" w14:textId="77777777" w:rsidR="004C35BB" w:rsidRPr="0040794D" w:rsidRDefault="004C35BB">
      <w:pPr>
        <w:pBdr>
          <w:top w:val="nil"/>
          <w:left w:val="nil"/>
          <w:bottom w:val="nil"/>
          <w:right w:val="nil"/>
          <w:between w:val="nil"/>
        </w:pBdr>
        <w:jc w:val="both"/>
        <w:rPr>
          <w:color w:val="000000"/>
        </w:rPr>
      </w:pPr>
    </w:p>
    <w:p w14:paraId="155BA38F" w14:textId="5EA2C29F" w:rsidR="004C35BB" w:rsidRPr="0040794D" w:rsidRDefault="00E20BF8">
      <w:pPr>
        <w:pBdr>
          <w:top w:val="nil"/>
          <w:left w:val="nil"/>
          <w:bottom w:val="nil"/>
          <w:right w:val="nil"/>
          <w:between w:val="nil"/>
        </w:pBdr>
        <w:jc w:val="both"/>
        <w:rPr>
          <w:color w:val="000000"/>
        </w:rPr>
      </w:pPr>
      <w:r w:rsidRPr="0040794D">
        <w:rPr>
          <w:color w:val="000000"/>
        </w:rPr>
        <w:t>International Drug Policy Consortium</w:t>
      </w:r>
    </w:p>
    <w:p w14:paraId="779E6F80" w14:textId="77777777" w:rsidR="004C35BB" w:rsidRPr="0040794D" w:rsidRDefault="00E20BF8">
      <w:pPr>
        <w:pBdr>
          <w:top w:val="nil"/>
          <w:left w:val="nil"/>
          <w:bottom w:val="nil"/>
          <w:right w:val="nil"/>
          <w:between w:val="nil"/>
        </w:pBdr>
        <w:jc w:val="both"/>
        <w:rPr>
          <w:color w:val="000000"/>
        </w:rPr>
      </w:pPr>
      <w:r w:rsidRPr="0040794D">
        <w:rPr>
          <w:color w:val="000000"/>
        </w:rPr>
        <w:t xml:space="preserve">61 Mansell Street </w:t>
      </w:r>
    </w:p>
    <w:p w14:paraId="14287771" w14:textId="207D631D" w:rsidR="004C35BB" w:rsidRPr="0040794D" w:rsidRDefault="00E20BF8">
      <w:pPr>
        <w:pBdr>
          <w:top w:val="nil"/>
          <w:left w:val="nil"/>
          <w:bottom w:val="nil"/>
          <w:right w:val="nil"/>
          <w:between w:val="nil"/>
        </w:pBdr>
        <w:jc w:val="both"/>
        <w:rPr>
          <w:color w:val="000000"/>
        </w:rPr>
      </w:pPr>
      <w:r w:rsidRPr="0040794D">
        <w:rPr>
          <w:color w:val="000000"/>
        </w:rPr>
        <w:t>E1 8AN London, United Kingdom</w:t>
      </w:r>
    </w:p>
    <w:p w14:paraId="6F7AD9ED" w14:textId="288FBF68" w:rsidR="004C35BB" w:rsidRPr="0040794D" w:rsidRDefault="00491C1C">
      <w:pPr>
        <w:pBdr>
          <w:top w:val="nil"/>
          <w:left w:val="nil"/>
          <w:bottom w:val="nil"/>
          <w:right w:val="nil"/>
          <w:between w:val="nil"/>
        </w:pBdr>
        <w:jc w:val="both"/>
        <w:rPr>
          <w:color w:val="0563C1"/>
          <w:u w:val="single"/>
        </w:rPr>
      </w:pPr>
      <w:hyperlink r:id="rId10" w:history="1">
        <w:r w:rsidR="00413D17" w:rsidRPr="0040794D">
          <w:rPr>
            <w:color w:val="0563C1"/>
            <w:u w:val="single"/>
          </w:rPr>
          <w:t>contact@idpc.net</w:t>
        </w:r>
      </w:hyperlink>
    </w:p>
    <w:p w14:paraId="5A561A4A" w14:textId="77777777" w:rsidR="00413D17" w:rsidRPr="0040794D" w:rsidRDefault="00413D17">
      <w:pPr>
        <w:pBdr>
          <w:top w:val="nil"/>
          <w:left w:val="nil"/>
          <w:bottom w:val="nil"/>
          <w:right w:val="nil"/>
          <w:between w:val="nil"/>
        </w:pBdr>
        <w:jc w:val="both"/>
        <w:rPr>
          <w:color w:val="000000"/>
        </w:rPr>
      </w:pPr>
    </w:p>
    <w:p w14:paraId="49BD1BFC" w14:textId="77777777" w:rsidR="00A667FB" w:rsidRPr="0040794D" w:rsidRDefault="00A667FB">
      <w:pPr>
        <w:pBdr>
          <w:top w:val="nil"/>
          <w:left w:val="nil"/>
          <w:bottom w:val="nil"/>
          <w:right w:val="nil"/>
          <w:between w:val="nil"/>
        </w:pBdr>
        <w:jc w:val="both"/>
        <w:rPr>
          <w:b/>
          <w:color w:val="000000"/>
          <w:sz w:val="32"/>
          <w:szCs w:val="32"/>
        </w:rPr>
        <w:sectPr w:rsidR="00A667FB" w:rsidRPr="0040794D">
          <w:headerReference w:type="default" r:id="rId11"/>
          <w:footerReference w:type="default" r:id="rId12"/>
          <w:endnotePr>
            <w:numFmt w:val="decimal"/>
          </w:endnotePr>
          <w:pgSz w:w="11906" w:h="16838"/>
          <w:pgMar w:top="1304" w:right="1134" w:bottom="1304" w:left="1134" w:header="720" w:footer="720" w:gutter="0"/>
          <w:pgNumType w:start="1"/>
          <w:cols w:space="720"/>
        </w:sectPr>
      </w:pPr>
    </w:p>
    <w:p w14:paraId="76E76856" w14:textId="69D8F326" w:rsidR="004C35BB" w:rsidRPr="0040794D" w:rsidRDefault="00EF788D" w:rsidP="00745167">
      <w:pPr>
        <w:pBdr>
          <w:top w:val="nil"/>
          <w:left w:val="nil"/>
          <w:bottom w:val="nil"/>
          <w:right w:val="nil"/>
          <w:between w:val="nil"/>
        </w:pBdr>
        <w:spacing w:after="200" w:line="276" w:lineRule="auto"/>
        <w:jc w:val="both"/>
        <w:rPr>
          <w:b/>
          <w:color w:val="000000"/>
          <w:sz w:val="28"/>
          <w:szCs w:val="28"/>
        </w:rPr>
      </w:pPr>
      <w:r>
        <w:rPr>
          <w:b/>
          <w:color w:val="000000"/>
          <w:sz w:val="28"/>
          <w:szCs w:val="28"/>
        </w:rPr>
        <w:lastRenderedPageBreak/>
        <w:t>Executive summary</w:t>
      </w:r>
    </w:p>
    <w:p w14:paraId="3DC98F29" w14:textId="53B8A931" w:rsidR="00980B63" w:rsidRPr="0040794D" w:rsidRDefault="00E20BF8" w:rsidP="00745167">
      <w:pPr>
        <w:pStyle w:val="ListParagraph"/>
        <w:numPr>
          <w:ilvl w:val="0"/>
          <w:numId w:val="11"/>
        </w:numPr>
        <w:pBdr>
          <w:top w:val="nil"/>
          <w:left w:val="nil"/>
          <w:bottom w:val="nil"/>
          <w:right w:val="nil"/>
          <w:between w:val="nil"/>
        </w:pBdr>
        <w:spacing w:after="200" w:line="276" w:lineRule="auto"/>
        <w:ind w:left="426" w:hanging="426"/>
        <w:contextualSpacing w:val="0"/>
        <w:jc w:val="both"/>
        <w:rPr>
          <w:color w:val="000000"/>
        </w:rPr>
      </w:pPr>
      <w:r w:rsidRPr="0040794D">
        <w:rPr>
          <w:color w:val="000000"/>
        </w:rPr>
        <w:t>The International Drug Policy Consortium (IDPC)</w:t>
      </w:r>
      <w:r w:rsidR="00581ACC">
        <w:rPr>
          <w:color w:val="000000"/>
        </w:rPr>
        <w:t xml:space="preserve"> and Instituto RIA</w:t>
      </w:r>
      <w:r w:rsidR="00497C50">
        <w:rPr>
          <w:color w:val="000000"/>
        </w:rPr>
        <w:t xml:space="preserve"> </w:t>
      </w:r>
      <w:r w:rsidRPr="0040794D">
        <w:rPr>
          <w:color w:val="000000"/>
        </w:rPr>
        <w:t xml:space="preserve">welcome the opportunity to </w:t>
      </w:r>
      <w:r w:rsidR="003F59B5">
        <w:rPr>
          <w:color w:val="000000"/>
        </w:rPr>
        <w:t xml:space="preserve">provide this submission </w:t>
      </w:r>
      <w:r w:rsidRPr="0040794D">
        <w:rPr>
          <w:color w:val="000000"/>
        </w:rPr>
        <w:t xml:space="preserve">to the United Nations </w:t>
      </w:r>
      <w:r w:rsidR="001C04C6" w:rsidRPr="0040794D">
        <w:rPr>
          <w:color w:val="000000"/>
        </w:rPr>
        <w:t xml:space="preserve">Special Rapporteur on </w:t>
      </w:r>
      <w:r w:rsidR="00EF788D">
        <w:rPr>
          <w:color w:val="000000"/>
        </w:rPr>
        <w:t xml:space="preserve">Freedom of Religion or Belief </w:t>
      </w:r>
      <w:r w:rsidRPr="0040794D">
        <w:rPr>
          <w:color w:val="000000"/>
        </w:rPr>
        <w:t xml:space="preserve">(the </w:t>
      </w:r>
      <w:r w:rsidR="001C04C6" w:rsidRPr="0040794D">
        <w:rPr>
          <w:color w:val="000000"/>
        </w:rPr>
        <w:t>‘</w:t>
      </w:r>
      <w:r w:rsidR="00852E59" w:rsidRPr="0040794D">
        <w:rPr>
          <w:color w:val="000000"/>
        </w:rPr>
        <w:t>Special Rapporteur</w:t>
      </w:r>
      <w:r w:rsidR="001C04C6" w:rsidRPr="0040794D">
        <w:rPr>
          <w:color w:val="000000"/>
        </w:rPr>
        <w:t>’</w:t>
      </w:r>
      <w:r w:rsidRPr="0040794D">
        <w:rPr>
          <w:color w:val="000000"/>
        </w:rPr>
        <w:t xml:space="preserve">) </w:t>
      </w:r>
      <w:r w:rsidR="00EF788D">
        <w:rPr>
          <w:color w:val="000000"/>
        </w:rPr>
        <w:t xml:space="preserve">concerning </w:t>
      </w:r>
      <w:r w:rsidR="000D4C71">
        <w:rPr>
          <w:color w:val="000000"/>
        </w:rPr>
        <w:t>the right to freedom of thought, cognitive liberty, and the arbitrary and discriminatory limitations imposed by the global drug control regime.</w:t>
      </w:r>
    </w:p>
    <w:p w14:paraId="61327B48" w14:textId="485C99D3" w:rsidR="0034097B" w:rsidRDefault="007C1586" w:rsidP="001131F8">
      <w:pPr>
        <w:pStyle w:val="ListParagraph"/>
        <w:numPr>
          <w:ilvl w:val="0"/>
          <w:numId w:val="11"/>
        </w:numPr>
        <w:pBdr>
          <w:top w:val="nil"/>
          <w:left w:val="nil"/>
          <w:bottom w:val="nil"/>
          <w:right w:val="nil"/>
          <w:between w:val="nil"/>
        </w:pBdr>
        <w:spacing w:after="200" w:line="276" w:lineRule="auto"/>
        <w:ind w:left="426" w:hanging="426"/>
        <w:contextualSpacing w:val="0"/>
        <w:jc w:val="both"/>
        <w:rPr>
          <w:color w:val="000000"/>
        </w:rPr>
      </w:pPr>
      <w:r>
        <w:rPr>
          <w:color w:val="000000"/>
        </w:rPr>
        <w:t xml:space="preserve">While </w:t>
      </w:r>
      <w:r w:rsidR="007213E0">
        <w:rPr>
          <w:color w:val="000000"/>
        </w:rPr>
        <w:t xml:space="preserve">the right to </w:t>
      </w:r>
      <w:r w:rsidR="003F59B5">
        <w:rPr>
          <w:color w:val="000000"/>
        </w:rPr>
        <w:t xml:space="preserve">freedom of thought has been </w:t>
      </w:r>
      <w:r>
        <w:rPr>
          <w:color w:val="000000"/>
        </w:rPr>
        <w:t>a historically neglected concept, an emerging literature</w:t>
      </w:r>
      <w:r w:rsidR="007213E0">
        <w:rPr>
          <w:rStyle w:val="EndnoteReference"/>
          <w:color w:val="000000"/>
        </w:rPr>
        <w:endnoteReference w:id="1"/>
      </w:r>
      <w:r>
        <w:rPr>
          <w:color w:val="000000"/>
        </w:rPr>
        <w:t xml:space="preserve"> </w:t>
      </w:r>
      <w:r w:rsidR="00107991">
        <w:rPr>
          <w:color w:val="000000"/>
        </w:rPr>
        <w:t xml:space="preserve">argues </w:t>
      </w:r>
      <w:r>
        <w:rPr>
          <w:color w:val="000000"/>
        </w:rPr>
        <w:t xml:space="preserve">that </w:t>
      </w:r>
      <w:r w:rsidR="003F59B5">
        <w:rPr>
          <w:color w:val="000000"/>
        </w:rPr>
        <w:t>this freedom should be construed as entailing</w:t>
      </w:r>
      <w:r>
        <w:rPr>
          <w:color w:val="000000"/>
        </w:rPr>
        <w:t>, in its positive dimension or manifestation, a right to</w:t>
      </w:r>
      <w:r w:rsidR="003F59B5">
        <w:rPr>
          <w:color w:val="000000"/>
        </w:rPr>
        <w:t xml:space="preserve"> self-determinate one’s </w:t>
      </w:r>
      <w:r w:rsidR="00107991">
        <w:rPr>
          <w:color w:val="000000"/>
        </w:rPr>
        <w:t>ow</w:t>
      </w:r>
      <w:r w:rsidR="003F59B5">
        <w:rPr>
          <w:color w:val="000000"/>
        </w:rPr>
        <w:t>n</w:t>
      </w:r>
      <w:r w:rsidR="00107991">
        <w:rPr>
          <w:color w:val="000000"/>
        </w:rPr>
        <w:t xml:space="preserve"> brain chemistry</w:t>
      </w:r>
      <w:r w:rsidR="003F59B5">
        <w:rPr>
          <w:color w:val="000000"/>
        </w:rPr>
        <w:t xml:space="preserve"> and </w:t>
      </w:r>
      <w:r w:rsidR="007213E0">
        <w:rPr>
          <w:color w:val="000000"/>
        </w:rPr>
        <w:t>consciousness</w:t>
      </w:r>
      <w:r w:rsidR="003F59B5">
        <w:rPr>
          <w:color w:val="000000"/>
        </w:rPr>
        <w:t xml:space="preserve"> –</w:t>
      </w:r>
      <w:r>
        <w:rPr>
          <w:color w:val="000000"/>
        </w:rPr>
        <w:t xml:space="preserve">in other words, the right to </w:t>
      </w:r>
      <w:r w:rsidR="003F59B5">
        <w:rPr>
          <w:color w:val="000000"/>
        </w:rPr>
        <w:t xml:space="preserve">control and alter </w:t>
      </w:r>
      <w:r w:rsidR="007E4BAB">
        <w:rPr>
          <w:color w:val="000000"/>
        </w:rPr>
        <w:t xml:space="preserve">one’s </w:t>
      </w:r>
      <w:r w:rsidR="007213E0">
        <w:rPr>
          <w:color w:val="000000"/>
        </w:rPr>
        <w:t>perceptions, thoughts, and thought processes</w:t>
      </w:r>
      <w:r w:rsidR="003F59B5">
        <w:rPr>
          <w:color w:val="000000"/>
        </w:rPr>
        <w:t>.</w:t>
      </w:r>
    </w:p>
    <w:p w14:paraId="062863D6" w14:textId="46E8FEB9" w:rsidR="007C1586" w:rsidRDefault="003F59B5" w:rsidP="001131F8">
      <w:pPr>
        <w:pStyle w:val="ListParagraph"/>
        <w:numPr>
          <w:ilvl w:val="0"/>
          <w:numId w:val="11"/>
        </w:numPr>
        <w:pBdr>
          <w:top w:val="nil"/>
          <w:left w:val="nil"/>
          <w:bottom w:val="nil"/>
          <w:right w:val="nil"/>
          <w:between w:val="nil"/>
        </w:pBdr>
        <w:spacing w:after="200" w:line="276" w:lineRule="auto"/>
        <w:ind w:left="426" w:hanging="426"/>
        <w:contextualSpacing w:val="0"/>
        <w:jc w:val="both"/>
        <w:rPr>
          <w:color w:val="000000"/>
        </w:rPr>
      </w:pPr>
      <w:r>
        <w:rPr>
          <w:color w:val="000000"/>
        </w:rPr>
        <w:t xml:space="preserve">The capacity to </w:t>
      </w:r>
      <w:r w:rsidR="00DE22DF">
        <w:rPr>
          <w:color w:val="000000"/>
        </w:rPr>
        <w:t xml:space="preserve">alter one’s own consciousness is </w:t>
      </w:r>
      <w:r>
        <w:rPr>
          <w:color w:val="000000"/>
        </w:rPr>
        <w:t>an ‘implicit assumption’ of our daily life. It can be achieved through</w:t>
      </w:r>
      <w:r w:rsidR="00CD586C">
        <w:rPr>
          <w:color w:val="000000"/>
        </w:rPr>
        <w:t xml:space="preserve"> a</w:t>
      </w:r>
      <w:r>
        <w:rPr>
          <w:color w:val="000000"/>
        </w:rPr>
        <w:t xml:space="preserve"> very </w:t>
      </w:r>
      <w:r w:rsidR="00CD586C">
        <w:rPr>
          <w:color w:val="000000"/>
        </w:rPr>
        <w:t xml:space="preserve">broad range of </w:t>
      </w:r>
      <w:r>
        <w:rPr>
          <w:color w:val="000000"/>
        </w:rPr>
        <w:t>methods</w:t>
      </w:r>
      <w:r w:rsidR="00CD586C">
        <w:rPr>
          <w:color w:val="000000"/>
        </w:rPr>
        <w:t xml:space="preserve">, from practicing meditation to </w:t>
      </w:r>
      <w:r>
        <w:rPr>
          <w:color w:val="000000"/>
        </w:rPr>
        <w:t xml:space="preserve">the use of psychoactive substances, legal or illegal. </w:t>
      </w:r>
      <w:r w:rsidR="000D4C71">
        <w:rPr>
          <w:color w:val="000000"/>
        </w:rPr>
        <w:t>T</w:t>
      </w:r>
      <w:r w:rsidR="00CD586C">
        <w:rPr>
          <w:color w:val="000000"/>
        </w:rPr>
        <w:t>his submission shows that t</w:t>
      </w:r>
      <w:r w:rsidR="0034097B">
        <w:rPr>
          <w:color w:val="000000"/>
        </w:rPr>
        <w:t xml:space="preserve">he alteration of one’s </w:t>
      </w:r>
      <w:r w:rsidR="00CD586C">
        <w:rPr>
          <w:color w:val="000000"/>
        </w:rPr>
        <w:t xml:space="preserve">own </w:t>
      </w:r>
      <w:r w:rsidR="0034097B">
        <w:rPr>
          <w:color w:val="000000"/>
        </w:rPr>
        <w:t xml:space="preserve">consciousness through psychoactive substances –including </w:t>
      </w:r>
      <w:r w:rsidR="00CD586C">
        <w:rPr>
          <w:color w:val="000000"/>
        </w:rPr>
        <w:t xml:space="preserve">through </w:t>
      </w:r>
      <w:r w:rsidR="0034097B">
        <w:rPr>
          <w:color w:val="000000"/>
        </w:rPr>
        <w:t xml:space="preserve">internationally </w:t>
      </w:r>
      <w:r w:rsidR="00CD586C">
        <w:rPr>
          <w:color w:val="000000"/>
        </w:rPr>
        <w:t xml:space="preserve">controlled drugs </w:t>
      </w:r>
      <w:r w:rsidR="0034097B">
        <w:rPr>
          <w:color w:val="000000"/>
        </w:rPr>
        <w:t>like cannabis</w:t>
      </w:r>
      <w:r w:rsidR="00CD586C">
        <w:rPr>
          <w:color w:val="000000"/>
        </w:rPr>
        <w:t>, mescaline, or LSD</w:t>
      </w:r>
      <w:r w:rsidR="0034097B">
        <w:rPr>
          <w:color w:val="000000"/>
        </w:rPr>
        <w:t xml:space="preserve">– occupies a central role in </w:t>
      </w:r>
      <w:r w:rsidR="00CD586C">
        <w:rPr>
          <w:color w:val="000000"/>
        </w:rPr>
        <w:t>religious, spiritual, and cultural practices around the world</w:t>
      </w:r>
      <w:r w:rsidR="000D4C71">
        <w:rPr>
          <w:color w:val="000000"/>
        </w:rPr>
        <w:t>, in both the Global North and South.</w:t>
      </w:r>
    </w:p>
    <w:p w14:paraId="7C7AE499" w14:textId="67D90D8A" w:rsidR="00B91B7E" w:rsidRDefault="00CD586C" w:rsidP="001131F8">
      <w:pPr>
        <w:pStyle w:val="ListParagraph"/>
        <w:numPr>
          <w:ilvl w:val="0"/>
          <w:numId w:val="11"/>
        </w:numPr>
        <w:pBdr>
          <w:top w:val="nil"/>
          <w:left w:val="nil"/>
          <w:bottom w:val="nil"/>
          <w:right w:val="nil"/>
          <w:between w:val="nil"/>
        </w:pBdr>
        <w:spacing w:after="200" w:line="276" w:lineRule="auto"/>
        <w:ind w:left="426" w:hanging="426"/>
        <w:contextualSpacing w:val="0"/>
        <w:jc w:val="both"/>
        <w:rPr>
          <w:color w:val="000000"/>
        </w:rPr>
      </w:pPr>
      <w:r>
        <w:rPr>
          <w:color w:val="000000"/>
        </w:rPr>
        <w:t xml:space="preserve">The </w:t>
      </w:r>
      <w:r w:rsidR="0034097B">
        <w:rPr>
          <w:color w:val="000000"/>
        </w:rPr>
        <w:t xml:space="preserve">blanket prohibition of </w:t>
      </w:r>
      <w:r w:rsidR="007213E0">
        <w:rPr>
          <w:color w:val="000000"/>
        </w:rPr>
        <w:t>such practices</w:t>
      </w:r>
      <w:r>
        <w:rPr>
          <w:color w:val="000000"/>
        </w:rPr>
        <w:t xml:space="preserve">, </w:t>
      </w:r>
      <w:r w:rsidR="0034097B">
        <w:rPr>
          <w:color w:val="000000"/>
        </w:rPr>
        <w:t xml:space="preserve">as established </w:t>
      </w:r>
      <w:r w:rsidR="00B91B7E">
        <w:rPr>
          <w:color w:val="000000"/>
        </w:rPr>
        <w:t xml:space="preserve">in the UN drug conventions </w:t>
      </w:r>
      <w:r w:rsidR="0034097B">
        <w:rPr>
          <w:color w:val="000000"/>
        </w:rPr>
        <w:t xml:space="preserve">and in </w:t>
      </w:r>
      <w:r w:rsidR="00107991">
        <w:rPr>
          <w:color w:val="000000"/>
        </w:rPr>
        <w:t xml:space="preserve">certain </w:t>
      </w:r>
      <w:r w:rsidR="0034097B">
        <w:rPr>
          <w:color w:val="000000"/>
        </w:rPr>
        <w:t>national laws</w:t>
      </w:r>
      <w:r w:rsidR="00107991">
        <w:rPr>
          <w:color w:val="000000"/>
        </w:rPr>
        <w:t>,</w:t>
      </w:r>
      <w:r w:rsidR="0034097B">
        <w:rPr>
          <w:color w:val="000000"/>
        </w:rPr>
        <w:t xml:space="preserve"> </w:t>
      </w:r>
      <w:r w:rsidR="007213E0">
        <w:rPr>
          <w:color w:val="000000"/>
        </w:rPr>
        <w:t xml:space="preserve">arguably </w:t>
      </w:r>
      <w:r>
        <w:rPr>
          <w:color w:val="000000"/>
        </w:rPr>
        <w:t xml:space="preserve">constitutes a limitation on the right to the freedom of thought. This submission argues that </w:t>
      </w:r>
      <w:r w:rsidR="00DE3659">
        <w:rPr>
          <w:color w:val="000000"/>
        </w:rPr>
        <w:t>such limitation is contrary to international human rights law in two critical ways:</w:t>
      </w:r>
    </w:p>
    <w:p w14:paraId="08CFE0F8" w14:textId="7AC182D0" w:rsidR="00DA4E0A" w:rsidRDefault="00CD586C" w:rsidP="00DA4E0A">
      <w:pPr>
        <w:pStyle w:val="ListParagraph"/>
        <w:numPr>
          <w:ilvl w:val="1"/>
          <w:numId w:val="11"/>
        </w:numPr>
        <w:pBdr>
          <w:top w:val="nil"/>
          <w:left w:val="nil"/>
          <w:bottom w:val="nil"/>
          <w:right w:val="nil"/>
          <w:between w:val="nil"/>
        </w:pBdr>
        <w:spacing w:after="200" w:line="276" w:lineRule="auto"/>
        <w:contextualSpacing w:val="0"/>
        <w:jc w:val="both"/>
        <w:rPr>
          <w:color w:val="000000"/>
        </w:rPr>
      </w:pPr>
      <w:r>
        <w:rPr>
          <w:color w:val="000000"/>
        </w:rPr>
        <w:t xml:space="preserve">First, because </w:t>
      </w:r>
      <w:r w:rsidR="00DE3659">
        <w:rPr>
          <w:color w:val="000000"/>
        </w:rPr>
        <w:t xml:space="preserve">it is inconsistent with the </w:t>
      </w:r>
      <w:r>
        <w:rPr>
          <w:color w:val="000000"/>
        </w:rPr>
        <w:t>available scientific evidence on the harms to individual and society associated to the use of drugs</w:t>
      </w:r>
      <w:r w:rsidR="00DE3659">
        <w:rPr>
          <w:color w:val="000000"/>
        </w:rPr>
        <w:t>, and therefore it is arbitrary</w:t>
      </w:r>
      <w:r w:rsidR="000D4C71">
        <w:rPr>
          <w:color w:val="000000"/>
        </w:rPr>
        <w:t xml:space="preserve"> and unnecessary.</w:t>
      </w:r>
    </w:p>
    <w:p w14:paraId="4715FC94" w14:textId="4D9D51A9" w:rsidR="00DA4E0A" w:rsidRPr="001131F8" w:rsidRDefault="00CD586C" w:rsidP="00DA4E0A">
      <w:pPr>
        <w:pStyle w:val="ListParagraph"/>
        <w:numPr>
          <w:ilvl w:val="1"/>
          <w:numId w:val="11"/>
        </w:numPr>
        <w:pBdr>
          <w:top w:val="nil"/>
          <w:left w:val="nil"/>
          <w:bottom w:val="nil"/>
          <w:right w:val="nil"/>
          <w:between w:val="nil"/>
        </w:pBdr>
        <w:spacing w:after="200" w:line="276" w:lineRule="auto"/>
        <w:contextualSpacing w:val="0"/>
        <w:jc w:val="both"/>
        <w:rPr>
          <w:color w:val="000000"/>
        </w:rPr>
      </w:pPr>
      <w:r>
        <w:rPr>
          <w:color w:val="000000"/>
        </w:rPr>
        <w:t xml:space="preserve">Second, because it </w:t>
      </w:r>
      <w:r w:rsidR="00107991">
        <w:rPr>
          <w:color w:val="000000"/>
        </w:rPr>
        <w:t xml:space="preserve">has a </w:t>
      </w:r>
      <w:r w:rsidR="00DA4E0A">
        <w:rPr>
          <w:color w:val="000000"/>
        </w:rPr>
        <w:t xml:space="preserve">discriminatory nature, </w:t>
      </w:r>
      <w:r>
        <w:rPr>
          <w:color w:val="000000"/>
        </w:rPr>
        <w:t xml:space="preserve">as it </w:t>
      </w:r>
      <w:r w:rsidR="000D4C71">
        <w:rPr>
          <w:color w:val="000000"/>
        </w:rPr>
        <w:t>prohibits</w:t>
      </w:r>
      <w:r w:rsidR="00DA4E0A">
        <w:rPr>
          <w:color w:val="000000"/>
        </w:rPr>
        <w:t xml:space="preserve"> psychoactive substances traditionally used by communities in the Global South</w:t>
      </w:r>
      <w:r w:rsidR="00107991">
        <w:rPr>
          <w:color w:val="000000"/>
        </w:rPr>
        <w:t xml:space="preserve">, while allowing </w:t>
      </w:r>
      <w:r>
        <w:rPr>
          <w:color w:val="000000"/>
        </w:rPr>
        <w:t xml:space="preserve">for the alteration of one’s consciousness through substances that are central to </w:t>
      </w:r>
      <w:r w:rsidR="00DE3659">
        <w:rPr>
          <w:color w:val="000000"/>
        </w:rPr>
        <w:t xml:space="preserve">the way of life of </w:t>
      </w:r>
      <w:r>
        <w:rPr>
          <w:color w:val="000000"/>
        </w:rPr>
        <w:t>communities in the Global North, such as alcohol.</w:t>
      </w:r>
    </w:p>
    <w:p w14:paraId="104CC0E7" w14:textId="0CB67442" w:rsidR="00DD4751" w:rsidRDefault="007C1586" w:rsidP="00745167">
      <w:pPr>
        <w:pStyle w:val="ListParagraph"/>
        <w:numPr>
          <w:ilvl w:val="0"/>
          <w:numId w:val="11"/>
        </w:numPr>
        <w:pBdr>
          <w:top w:val="nil"/>
          <w:left w:val="nil"/>
          <w:bottom w:val="nil"/>
          <w:right w:val="nil"/>
          <w:between w:val="nil"/>
        </w:pBdr>
        <w:spacing w:after="200" w:line="276" w:lineRule="auto"/>
        <w:ind w:left="426" w:hanging="426"/>
        <w:contextualSpacing w:val="0"/>
        <w:jc w:val="both"/>
        <w:rPr>
          <w:bCs/>
          <w:color w:val="000000"/>
        </w:rPr>
      </w:pPr>
      <w:r>
        <w:rPr>
          <w:bCs/>
          <w:color w:val="000000"/>
        </w:rPr>
        <w:t>This is far from a merely academic or conceptual debate.</w:t>
      </w:r>
      <w:r w:rsidR="00B91B7E">
        <w:rPr>
          <w:bCs/>
          <w:color w:val="000000"/>
        </w:rPr>
        <w:t xml:space="preserve"> </w:t>
      </w:r>
      <w:r w:rsidR="00DE3659">
        <w:rPr>
          <w:bCs/>
          <w:color w:val="000000"/>
        </w:rPr>
        <w:t>T</w:t>
      </w:r>
      <w:r w:rsidR="00B91B7E">
        <w:rPr>
          <w:bCs/>
          <w:color w:val="000000"/>
        </w:rPr>
        <w:t xml:space="preserve">he right to freedom of thought, </w:t>
      </w:r>
      <w:r w:rsidR="00DE3659">
        <w:rPr>
          <w:bCs/>
          <w:color w:val="000000"/>
        </w:rPr>
        <w:t xml:space="preserve">as well as </w:t>
      </w:r>
      <w:r w:rsidR="00B91B7E">
        <w:rPr>
          <w:bCs/>
          <w:color w:val="000000"/>
        </w:rPr>
        <w:t>connected notions of personal development and self-</w:t>
      </w:r>
      <w:r w:rsidR="00DE3659">
        <w:rPr>
          <w:bCs/>
          <w:color w:val="000000"/>
        </w:rPr>
        <w:t>determination</w:t>
      </w:r>
      <w:r w:rsidR="00B91B7E">
        <w:rPr>
          <w:bCs/>
          <w:color w:val="000000"/>
        </w:rPr>
        <w:t xml:space="preserve">, are at the heart of several legislative and judicial decisions </w:t>
      </w:r>
      <w:r w:rsidR="00DE22DF">
        <w:rPr>
          <w:bCs/>
          <w:color w:val="000000"/>
        </w:rPr>
        <w:t xml:space="preserve">to </w:t>
      </w:r>
      <w:r w:rsidR="00B91B7E">
        <w:rPr>
          <w:bCs/>
          <w:color w:val="000000"/>
        </w:rPr>
        <w:t>decriminalis</w:t>
      </w:r>
      <w:r w:rsidR="00DE22DF">
        <w:rPr>
          <w:bCs/>
          <w:color w:val="000000"/>
        </w:rPr>
        <w:t>e</w:t>
      </w:r>
      <w:r w:rsidR="00B91B7E">
        <w:rPr>
          <w:bCs/>
          <w:color w:val="000000"/>
        </w:rPr>
        <w:t xml:space="preserve"> and, in some instances, legal</w:t>
      </w:r>
      <w:r w:rsidR="00DE22DF">
        <w:rPr>
          <w:bCs/>
          <w:color w:val="000000"/>
        </w:rPr>
        <w:t>ly</w:t>
      </w:r>
      <w:r w:rsidR="00B91B7E">
        <w:rPr>
          <w:bCs/>
          <w:color w:val="000000"/>
        </w:rPr>
        <w:t xml:space="preserve"> </w:t>
      </w:r>
      <w:r w:rsidR="00DE22DF">
        <w:rPr>
          <w:bCs/>
          <w:color w:val="000000"/>
        </w:rPr>
        <w:t>regulate internationally scheduled drugs</w:t>
      </w:r>
      <w:r w:rsidR="00B91B7E">
        <w:rPr>
          <w:bCs/>
          <w:color w:val="000000"/>
        </w:rPr>
        <w:t>.</w:t>
      </w:r>
      <w:r w:rsidR="00C16E4A">
        <w:rPr>
          <w:bCs/>
          <w:color w:val="000000"/>
        </w:rPr>
        <w:t xml:space="preserve"> </w:t>
      </w:r>
      <w:r w:rsidR="00DE22DF">
        <w:rPr>
          <w:bCs/>
          <w:color w:val="000000"/>
        </w:rPr>
        <w:t>In this rapidly evolving landscape, t</w:t>
      </w:r>
      <w:r w:rsidR="00C16E4A">
        <w:rPr>
          <w:bCs/>
          <w:color w:val="000000"/>
        </w:rPr>
        <w:t>he findings of the Special Rapporteur on this matter will be of consequence.</w:t>
      </w:r>
    </w:p>
    <w:p w14:paraId="1420B108" w14:textId="77777777" w:rsidR="00DD4751" w:rsidRDefault="00DD4751">
      <w:pPr>
        <w:widowControl w:val="0"/>
        <w:rPr>
          <w:bCs/>
          <w:color w:val="000000"/>
        </w:rPr>
      </w:pPr>
      <w:r>
        <w:rPr>
          <w:bCs/>
          <w:color w:val="000000"/>
        </w:rPr>
        <w:br w:type="page"/>
      </w:r>
    </w:p>
    <w:p w14:paraId="00E3513D" w14:textId="1DE8F1B4" w:rsidR="004C35BB" w:rsidRDefault="00DD4751" w:rsidP="00745167">
      <w:pPr>
        <w:pBdr>
          <w:top w:val="nil"/>
          <w:left w:val="nil"/>
          <w:bottom w:val="nil"/>
          <w:right w:val="nil"/>
          <w:between w:val="nil"/>
        </w:pBdr>
        <w:spacing w:after="200" w:line="276" w:lineRule="auto"/>
        <w:jc w:val="both"/>
        <w:rPr>
          <w:b/>
          <w:color w:val="000000"/>
          <w:sz w:val="28"/>
          <w:szCs w:val="28"/>
        </w:rPr>
      </w:pPr>
      <w:r>
        <w:rPr>
          <w:b/>
          <w:color w:val="000000"/>
          <w:sz w:val="28"/>
          <w:szCs w:val="28"/>
        </w:rPr>
        <w:lastRenderedPageBreak/>
        <w:t xml:space="preserve">Cognitive liberty and </w:t>
      </w:r>
      <w:r w:rsidR="00C16E4A">
        <w:rPr>
          <w:b/>
          <w:color w:val="000000"/>
          <w:sz w:val="28"/>
          <w:szCs w:val="28"/>
        </w:rPr>
        <w:t>the right to freedom of thought</w:t>
      </w:r>
    </w:p>
    <w:p w14:paraId="0C8D4C3A" w14:textId="7C2069FA" w:rsidR="00790264" w:rsidRPr="0040794D" w:rsidRDefault="00790264" w:rsidP="00745167">
      <w:pPr>
        <w:pBdr>
          <w:top w:val="nil"/>
          <w:left w:val="nil"/>
          <w:bottom w:val="nil"/>
          <w:right w:val="nil"/>
          <w:between w:val="nil"/>
        </w:pBdr>
        <w:spacing w:after="200" w:line="276" w:lineRule="auto"/>
        <w:jc w:val="both"/>
        <w:rPr>
          <w:b/>
          <w:color w:val="000000"/>
          <w:sz w:val="28"/>
          <w:szCs w:val="28"/>
        </w:rPr>
      </w:pPr>
      <w:r>
        <w:rPr>
          <w:b/>
          <w:color w:val="000000"/>
          <w:sz w:val="28"/>
          <w:szCs w:val="28"/>
        </w:rPr>
        <w:t>(Question 1)</w:t>
      </w:r>
    </w:p>
    <w:p w14:paraId="151D448E" w14:textId="747DB50D" w:rsidR="00A06EC3" w:rsidRPr="00AB052E" w:rsidRDefault="00662DA1" w:rsidP="00745167">
      <w:pPr>
        <w:pStyle w:val="ListParagraph"/>
        <w:numPr>
          <w:ilvl w:val="0"/>
          <w:numId w:val="11"/>
        </w:numPr>
        <w:pBdr>
          <w:top w:val="nil"/>
          <w:left w:val="nil"/>
          <w:bottom w:val="nil"/>
          <w:right w:val="nil"/>
          <w:between w:val="nil"/>
        </w:pBdr>
        <w:spacing w:after="200" w:line="276" w:lineRule="auto"/>
        <w:ind w:left="426" w:hanging="426"/>
        <w:contextualSpacing w:val="0"/>
        <w:jc w:val="both"/>
        <w:rPr>
          <w:color w:val="000000"/>
        </w:rPr>
      </w:pPr>
      <w:r>
        <w:rPr>
          <w:color w:val="000000"/>
        </w:rPr>
        <w:t xml:space="preserve">According to an emerging literature, </w:t>
      </w:r>
      <w:r w:rsidR="00C16E4A">
        <w:rPr>
          <w:color w:val="000000"/>
        </w:rPr>
        <w:t>the term ‘</w:t>
      </w:r>
      <w:r w:rsidR="002B4AD0">
        <w:rPr>
          <w:color w:val="000000"/>
        </w:rPr>
        <w:t>cognitive liberty</w:t>
      </w:r>
      <w:r w:rsidR="00C16E4A">
        <w:rPr>
          <w:color w:val="000000"/>
        </w:rPr>
        <w:t>’</w:t>
      </w:r>
      <w:r w:rsidR="002B4AD0">
        <w:rPr>
          <w:color w:val="000000"/>
        </w:rPr>
        <w:t xml:space="preserve"> describes the right to </w:t>
      </w:r>
      <w:r w:rsidR="00C16E4A">
        <w:rPr>
          <w:color w:val="000000"/>
        </w:rPr>
        <w:t xml:space="preserve">control and </w:t>
      </w:r>
      <w:r w:rsidR="002B4AD0">
        <w:rPr>
          <w:color w:val="000000"/>
        </w:rPr>
        <w:t>self-determine one’s own consciousness.</w:t>
      </w:r>
      <w:r w:rsidR="002B4AD0">
        <w:rPr>
          <w:rStyle w:val="EndnoteReference"/>
          <w:color w:val="000000"/>
        </w:rPr>
        <w:endnoteReference w:id="2"/>
      </w:r>
      <w:r w:rsidR="002B4AD0">
        <w:rPr>
          <w:color w:val="000000"/>
        </w:rPr>
        <w:t xml:space="preserve"> Under this definition, the term consciousness should be interpreted broadly, to include both the content </w:t>
      </w:r>
      <w:r w:rsidR="00D44351">
        <w:rPr>
          <w:color w:val="000000"/>
        </w:rPr>
        <w:t xml:space="preserve">of </w:t>
      </w:r>
      <w:r w:rsidR="002B4AD0">
        <w:rPr>
          <w:color w:val="000000"/>
        </w:rPr>
        <w:t>one’s thoughts and perceptions</w:t>
      </w:r>
      <w:r w:rsidR="00D44351">
        <w:rPr>
          <w:color w:val="000000"/>
        </w:rPr>
        <w:t>, and the process of creating them, including by modifying one’s own brain chemistry</w:t>
      </w:r>
      <w:r w:rsidR="002B4AD0">
        <w:rPr>
          <w:color w:val="000000"/>
        </w:rPr>
        <w:t>.</w:t>
      </w:r>
      <w:r w:rsidR="002B4AD0">
        <w:rPr>
          <w:rStyle w:val="EndnoteReference"/>
          <w:color w:val="000000"/>
        </w:rPr>
        <w:endnoteReference w:id="3"/>
      </w:r>
    </w:p>
    <w:p w14:paraId="0EF904FD" w14:textId="2752A51A" w:rsidR="00C16E4A" w:rsidRDefault="00C16E4A" w:rsidP="00C16E4A">
      <w:pPr>
        <w:pStyle w:val="ListParagraph"/>
        <w:numPr>
          <w:ilvl w:val="0"/>
          <w:numId w:val="11"/>
        </w:numPr>
        <w:pBdr>
          <w:top w:val="nil"/>
          <w:left w:val="nil"/>
          <w:bottom w:val="nil"/>
          <w:right w:val="nil"/>
          <w:between w:val="nil"/>
        </w:pBdr>
        <w:spacing w:after="200" w:line="276" w:lineRule="auto"/>
        <w:ind w:left="426" w:hanging="426"/>
        <w:contextualSpacing w:val="0"/>
        <w:jc w:val="both"/>
        <w:rPr>
          <w:color w:val="000000"/>
        </w:rPr>
      </w:pPr>
      <w:r>
        <w:rPr>
          <w:color w:val="000000"/>
        </w:rPr>
        <w:t xml:space="preserve">Cognitive liberty arguably </w:t>
      </w:r>
      <w:r w:rsidR="00DE22DF">
        <w:rPr>
          <w:color w:val="000000"/>
        </w:rPr>
        <w:t xml:space="preserve">includes </w:t>
      </w:r>
      <w:r>
        <w:rPr>
          <w:color w:val="000000"/>
        </w:rPr>
        <w:t xml:space="preserve">a negative dimension, which entails the right to not have </w:t>
      </w:r>
      <w:r w:rsidR="00E23A88">
        <w:rPr>
          <w:color w:val="000000"/>
        </w:rPr>
        <w:t xml:space="preserve">one’s own </w:t>
      </w:r>
      <w:r>
        <w:rPr>
          <w:color w:val="000000"/>
        </w:rPr>
        <w:t>brain chemistry, consciousness and thoughts manipulated</w:t>
      </w:r>
      <w:r w:rsidR="00E23A88">
        <w:rPr>
          <w:color w:val="000000"/>
        </w:rPr>
        <w:t>, as well as the right to not have one’s own thoughts revealed.</w:t>
      </w:r>
    </w:p>
    <w:p w14:paraId="02411AAE" w14:textId="28948EB8" w:rsidR="00C16E4A" w:rsidRDefault="00C16E4A" w:rsidP="00C16E4A">
      <w:pPr>
        <w:pStyle w:val="ListParagraph"/>
        <w:numPr>
          <w:ilvl w:val="0"/>
          <w:numId w:val="11"/>
        </w:numPr>
        <w:pBdr>
          <w:top w:val="nil"/>
          <w:left w:val="nil"/>
          <w:bottom w:val="nil"/>
          <w:right w:val="nil"/>
          <w:between w:val="nil"/>
        </w:pBdr>
        <w:spacing w:after="200" w:line="276" w:lineRule="auto"/>
        <w:ind w:left="426" w:hanging="426"/>
        <w:contextualSpacing w:val="0"/>
        <w:jc w:val="both"/>
        <w:rPr>
          <w:color w:val="000000"/>
        </w:rPr>
      </w:pPr>
      <w:r>
        <w:rPr>
          <w:color w:val="000000"/>
        </w:rPr>
        <w:t>However, cognitive liberty also has a positive dimension, which consist</w:t>
      </w:r>
      <w:r w:rsidR="000D4C71">
        <w:rPr>
          <w:color w:val="000000"/>
        </w:rPr>
        <w:t>s</w:t>
      </w:r>
      <w:r>
        <w:rPr>
          <w:color w:val="000000"/>
        </w:rPr>
        <w:t xml:space="preserve"> of the right to intentionally alter one’s own brain chemistry, consciousness</w:t>
      </w:r>
      <w:r w:rsidR="00E23A88">
        <w:rPr>
          <w:color w:val="000000"/>
        </w:rPr>
        <w:t>, or thoughts</w:t>
      </w:r>
      <w:r>
        <w:rPr>
          <w:color w:val="000000"/>
        </w:rPr>
        <w:t>. The positive dimension of cognitive liberty is not a radical notion, but an ‘implicit assumption’</w:t>
      </w:r>
      <w:r>
        <w:rPr>
          <w:rStyle w:val="EndnoteReference"/>
          <w:color w:val="000000"/>
        </w:rPr>
        <w:endnoteReference w:id="4"/>
      </w:r>
      <w:r>
        <w:rPr>
          <w:color w:val="000000"/>
        </w:rPr>
        <w:t xml:space="preserve"> of our everyday life. We </w:t>
      </w:r>
      <w:r w:rsidR="00E23A88">
        <w:rPr>
          <w:color w:val="000000"/>
        </w:rPr>
        <w:t xml:space="preserve">intentionally alter our consciousness </w:t>
      </w:r>
      <w:r>
        <w:rPr>
          <w:color w:val="000000"/>
        </w:rPr>
        <w:t xml:space="preserve">through a </w:t>
      </w:r>
      <w:r w:rsidR="00E23A88">
        <w:rPr>
          <w:color w:val="000000"/>
        </w:rPr>
        <w:t xml:space="preserve">broad </w:t>
      </w:r>
      <w:r>
        <w:rPr>
          <w:color w:val="000000"/>
        </w:rPr>
        <w:t xml:space="preserve">array of very different actions, including ingesting legal psychoactive substances, such as coffee or alcohol, reading books, practicing meditation, and in some cases using illegal drugs. </w:t>
      </w:r>
    </w:p>
    <w:p w14:paraId="13DECF50" w14:textId="6633EC21" w:rsidR="009C74ED" w:rsidRDefault="008E5F84" w:rsidP="00745167">
      <w:pPr>
        <w:pStyle w:val="ListParagraph"/>
        <w:numPr>
          <w:ilvl w:val="0"/>
          <w:numId w:val="11"/>
        </w:numPr>
        <w:pBdr>
          <w:top w:val="nil"/>
          <w:left w:val="nil"/>
          <w:bottom w:val="nil"/>
          <w:right w:val="nil"/>
          <w:between w:val="nil"/>
        </w:pBdr>
        <w:spacing w:after="200" w:line="276" w:lineRule="auto"/>
        <w:ind w:left="426" w:hanging="426"/>
        <w:contextualSpacing w:val="0"/>
        <w:jc w:val="both"/>
        <w:rPr>
          <w:color w:val="000000"/>
        </w:rPr>
      </w:pPr>
      <w:r>
        <w:rPr>
          <w:color w:val="000000"/>
        </w:rPr>
        <w:t xml:space="preserve">The right to freedom of thought provides a natural </w:t>
      </w:r>
      <w:r w:rsidR="00D44351">
        <w:rPr>
          <w:color w:val="000000"/>
        </w:rPr>
        <w:t>space</w:t>
      </w:r>
      <w:r>
        <w:rPr>
          <w:color w:val="000000"/>
        </w:rPr>
        <w:t xml:space="preserve"> for </w:t>
      </w:r>
      <w:r w:rsidR="00C16E4A">
        <w:rPr>
          <w:color w:val="000000"/>
        </w:rPr>
        <w:t xml:space="preserve">recognising </w:t>
      </w:r>
      <w:r w:rsidR="009C74ED">
        <w:rPr>
          <w:color w:val="000000"/>
        </w:rPr>
        <w:t>c</w:t>
      </w:r>
      <w:r w:rsidR="000E3FD8">
        <w:rPr>
          <w:color w:val="000000"/>
        </w:rPr>
        <w:t xml:space="preserve">ognitive liberty </w:t>
      </w:r>
      <w:r w:rsidR="009C74ED">
        <w:rPr>
          <w:color w:val="000000"/>
        </w:rPr>
        <w:t>within the framework of international human rights law</w:t>
      </w:r>
      <w:r w:rsidR="00C16E4A">
        <w:rPr>
          <w:color w:val="000000"/>
        </w:rPr>
        <w:t>, in both its negative and positive dimensions</w:t>
      </w:r>
      <w:r w:rsidR="009C74ED">
        <w:rPr>
          <w:color w:val="000000"/>
        </w:rPr>
        <w:t xml:space="preserve">. That this has not been done </w:t>
      </w:r>
      <w:r w:rsidR="00D44351">
        <w:rPr>
          <w:color w:val="000000"/>
        </w:rPr>
        <w:t xml:space="preserve">before </w:t>
      </w:r>
      <w:r w:rsidR="009C74ED">
        <w:rPr>
          <w:color w:val="000000"/>
        </w:rPr>
        <w:t xml:space="preserve">should not be interpreted as a rejection of this possibility, but </w:t>
      </w:r>
      <w:r w:rsidR="000366A0">
        <w:rPr>
          <w:color w:val="000000"/>
        </w:rPr>
        <w:t xml:space="preserve">simply </w:t>
      </w:r>
      <w:r w:rsidR="009C74ED">
        <w:rPr>
          <w:color w:val="000000"/>
        </w:rPr>
        <w:t xml:space="preserve">as a symptom of the little attention paid so far to </w:t>
      </w:r>
      <w:r w:rsidR="000366A0">
        <w:rPr>
          <w:color w:val="000000"/>
        </w:rPr>
        <w:t xml:space="preserve">both </w:t>
      </w:r>
      <w:r w:rsidR="009C74ED">
        <w:rPr>
          <w:color w:val="000000"/>
        </w:rPr>
        <w:t xml:space="preserve">freedom of thought, </w:t>
      </w:r>
      <w:r w:rsidR="000366A0">
        <w:rPr>
          <w:color w:val="000000"/>
        </w:rPr>
        <w:t>and to the implications of international human rights law for our minds. As the capacities of neurotechnology evolve, and the global consensus on the war on drugs fade</w:t>
      </w:r>
      <w:r w:rsidR="000D4C71">
        <w:rPr>
          <w:color w:val="000000"/>
        </w:rPr>
        <w:t>s</w:t>
      </w:r>
      <w:r w:rsidR="000366A0">
        <w:rPr>
          <w:color w:val="000000"/>
        </w:rPr>
        <w:t xml:space="preserve">, the need to consider </w:t>
      </w:r>
      <w:r w:rsidR="00E23A88">
        <w:rPr>
          <w:color w:val="000000"/>
        </w:rPr>
        <w:t xml:space="preserve">cognitive liberty becomes </w:t>
      </w:r>
      <w:r w:rsidR="000366A0">
        <w:rPr>
          <w:color w:val="000000"/>
        </w:rPr>
        <w:t>urgent.</w:t>
      </w:r>
    </w:p>
    <w:p w14:paraId="199A3955" w14:textId="10E157A0" w:rsidR="000366A0" w:rsidRDefault="000366A0" w:rsidP="000366A0">
      <w:pPr>
        <w:pBdr>
          <w:top w:val="nil"/>
          <w:left w:val="nil"/>
          <w:bottom w:val="nil"/>
          <w:right w:val="nil"/>
          <w:between w:val="nil"/>
        </w:pBdr>
        <w:spacing w:after="200" w:line="276" w:lineRule="auto"/>
        <w:jc w:val="both"/>
        <w:rPr>
          <w:color w:val="000000"/>
        </w:rPr>
      </w:pPr>
    </w:p>
    <w:p w14:paraId="2FEB4D66" w14:textId="028E8DDE" w:rsidR="000366A0" w:rsidRDefault="000366A0" w:rsidP="000366A0">
      <w:pPr>
        <w:pBdr>
          <w:top w:val="nil"/>
          <w:left w:val="nil"/>
          <w:bottom w:val="nil"/>
          <w:right w:val="nil"/>
          <w:between w:val="nil"/>
        </w:pBdr>
        <w:spacing w:after="200" w:line="276" w:lineRule="auto"/>
        <w:jc w:val="both"/>
        <w:rPr>
          <w:b/>
          <w:color w:val="000000"/>
          <w:sz w:val="28"/>
          <w:szCs w:val="28"/>
        </w:rPr>
      </w:pPr>
      <w:r>
        <w:rPr>
          <w:b/>
          <w:color w:val="000000"/>
          <w:sz w:val="28"/>
          <w:szCs w:val="28"/>
        </w:rPr>
        <w:t>Cognitive liberty and the use of illegal substances</w:t>
      </w:r>
    </w:p>
    <w:p w14:paraId="31E51C72" w14:textId="4996E2A8" w:rsidR="00790264" w:rsidRPr="000366A0" w:rsidRDefault="00790264" w:rsidP="000366A0">
      <w:pPr>
        <w:pBdr>
          <w:top w:val="nil"/>
          <w:left w:val="nil"/>
          <w:bottom w:val="nil"/>
          <w:right w:val="nil"/>
          <w:between w:val="nil"/>
        </w:pBdr>
        <w:spacing w:after="200" w:line="276" w:lineRule="auto"/>
        <w:jc w:val="both"/>
        <w:rPr>
          <w:b/>
          <w:color w:val="000000"/>
          <w:sz w:val="28"/>
          <w:szCs w:val="28"/>
        </w:rPr>
      </w:pPr>
      <w:r>
        <w:rPr>
          <w:b/>
          <w:color w:val="000000"/>
          <w:sz w:val="28"/>
          <w:szCs w:val="28"/>
        </w:rPr>
        <w:t>(Questions 1 &amp; 3)</w:t>
      </w:r>
    </w:p>
    <w:p w14:paraId="1681BA74" w14:textId="0A9A9850" w:rsidR="00C91A2D" w:rsidRDefault="001E58AA" w:rsidP="00745167">
      <w:pPr>
        <w:pStyle w:val="ListParagraph"/>
        <w:numPr>
          <w:ilvl w:val="0"/>
          <w:numId w:val="11"/>
        </w:numPr>
        <w:pBdr>
          <w:top w:val="nil"/>
          <w:left w:val="nil"/>
          <w:bottom w:val="nil"/>
          <w:right w:val="nil"/>
          <w:between w:val="nil"/>
        </w:pBdr>
        <w:spacing w:after="200" w:line="276" w:lineRule="auto"/>
        <w:ind w:left="426" w:hanging="426"/>
        <w:contextualSpacing w:val="0"/>
        <w:jc w:val="both"/>
        <w:rPr>
          <w:color w:val="000000"/>
        </w:rPr>
      </w:pPr>
      <w:r>
        <w:rPr>
          <w:color w:val="000000"/>
        </w:rPr>
        <w:t xml:space="preserve">Across </w:t>
      </w:r>
      <w:r w:rsidR="000366A0">
        <w:rPr>
          <w:color w:val="000000"/>
        </w:rPr>
        <w:t xml:space="preserve">time and </w:t>
      </w:r>
      <w:r w:rsidR="00912253">
        <w:rPr>
          <w:color w:val="000000"/>
        </w:rPr>
        <w:t>place</w:t>
      </w:r>
      <w:r>
        <w:rPr>
          <w:color w:val="000000"/>
        </w:rPr>
        <w:t xml:space="preserve">, societies </w:t>
      </w:r>
      <w:r w:rsidR="000366A0">
        <w:rPr>
          <w:color w:val="000000"/>
        </w:rPr>
        <w:t xml:space="preserve">have hosted </w:t>
      </w:r>
      <w:r>
        <w:rPr>
          <w:color w:val="000000"/>
        </w:rPr>
        <w:t xml:space="preserve">rich traditions of using a broad diversity </w:t>
      </w:r>
      <w:r w:rsidR="000366A0">
        <w:rPr>
          <w:color w:val="000000"/>
        </w:rPr>
        <w:t>of psychoactive substances</w:t>
      </w:r>
      <w:r w:rsidR="00E23A88">
        <w:rPr>
          <w:color w:val="000000"/>
        </w:rPr>
        <w:t xml:space="preserve"> to </w:t>
      </w:r>
      <w:r w:rsidR="000366A0">
        <w:rPr>
          <w:color w:val="000000"/>
        </w:rPr>
        <w:t xml:space="preserve">intentionally </w:t>
      </w:r>
      <w:r w:rsidR="000D4C71">
        <w:rPr>
          <w:color w:val="000000"/>
        </w:rPr>
        <w:t xml:space="preserve">alter </w:t>
      </w:r>
      <w:r w:rsidR="00E23A88">
        <w:rPr>
          <w:color w:val="000000"/>
        </w:rPr>
        <w:t xml:space="preserve">one’s </w:t>
      </w:r>
      <w:r w:rsidR="000366A0">
        <w:rPr>
          <w:color w:val="000000"/>
        </w:rPr>
        <w:t xml:space="preserve">own brain </w:t>
      </w:r>
      <w:r w:rsidR="00E23A88">
        <w:rPr>
          <w:color w:val="000000"/>
        </w:rPr>
        <w:t xml:space="preserve">chemistry </w:t>
      </w:r>
      <w:r w:rsidR="000366A0">
        <w:rPr>
          <w:color w:val="000000"/>
        </w:rPr>
        <w:t>and consciousness</w:t>
      </w:r>
      <w:r>
        <w:rPr>
          <w:color w:val="000000"/>
        </w:rPr>
        <w:t xml:space="preserve"> for a variety of purposes, secular </w:t>
      </w:r>
      <w:r w:rsidR="000366A0">
        <w:rPr>
          <w:color w:val="000000"/>
        </w:rPr>
        <w:t xml:space="preserve">or </w:t>
      </w:r>
      <w:r>
        <w:rPr>
          <w:color w:val="000000"/>
        </w:rPr>
        <w:t xml:space="preserve">religious, </w:t>
      </w:r>
      <w:proofErr w:type="gramStart"/>
      <w:r>
        <w:rPr>
          <w:color w:val="000000"/>
        </w:rPr>
        <w:t>spiritual</w:t>
      </w:r>
      <w:proofErr w:type="gramEnd"/>
      <w:r>
        <w:rPr>
          <w:color w:val="000000"/>
        </w:rPr>
        <w:t xml:space="preserve"> or recreational, in settings rural or urban. </w:t>
      </w:r>
      <w:r w:rsidR="0031092A">
        <w:rPr>
          <w:color w:val="000000"/>
        </w:rPr>
        <w:t>Some examples include:</w:t>
      </w:r>
    </w:p>
    <w:p w14:paraId="5BE1EF6C" w14:textId="1E1175B3" w:rsidR="0031092A" w:rsidRDefault="0037112C" w:rsidP="0031092A">
      <w:pPr>
        <w:pStyle w:val="ListParagraph"/>
        <w:numPr>
          <w:ilvl w:val="1"/>
          <w:numId w:val="11"/>
        </w:numPr>
        <w:pBdr>
          <w:top w:val="nil"/>
          <w:left w:val="nil"/>
          <w:bottom w:val="nil"/>
          <w:right w:val="nil"/>
          <w:between w:val="nil"/>
        </w:pBdr>
        <w:spacing w:after="200" w:line="276" w:lineRule="auto"/>
        <w:contextualSpacing w:val="0"/>
        <w:jc w:val="both"/>
        <w:rPr>
          <w:color w:val="000000"/>
        </w:rPr>
      </w:pPr>
      <w:r>
        <w:rPr>
          <w:color w:val="000000"/>
        </w:rPr>
        <w:t xml:space="preserve">The use of </w:t>
      </w:r>
      <w:r w:rsidRPr="00E23A88">
        <w:rPr>
          <w:b/>
          <w:bCs/>
          <w:color w:val="000000"/>
        </w:rPr>
        <w:t>cannabis</w:t>
      </w:r>
      <w:r>
        <w:rPr>
          <w:color w:val="000000"/>
        </w:rPr>
        <w:t xml:space="preserve"> </w:t>
      </w:r>
      <w:r w:rsidR="00F96028">
        <w:rPr>
          <w:color w:val="000000"/>
        </w:rPr>
        <w:t xml:space="preserve">in </w:t>
      </w:r>
      <w:r>
        <w:rPr>
          <w:color w:val="000000"/>
        </w:rPr>
        <w:t xml:space="preserve">religious or sacramental practices for </w:t>
      </w:r>
      <w:r w:rsidR="00E23A88">
        <w:rPr>
          <w:color w:val="000000"/>
        </w:rPr>
        <w:t>centuries</w:t>
      </w:r>
      <w:r>
        <w:rPr>
          <w:color w:val="000000"/>
        </w:rPr>
        <w:t xml:space="preserve">, amongst others in the Hindu, Rastafarian, or Sufi </w:t>
      </w:r>
      <w:r w:rsidR="00F96028">
        <w:rPr>
          <w:color w:val="000000"/>
        </w:rPr>
        <w:t>traditions</w:t>
      </w:r>
      <w:r>
        <w:rPr>
          <w:rStyle w:val="EndnoteReference"/>
          <w:color w:val="000000"/>
        </w:rPr>
        <w:endnoteReference w:id="5"/>
      </w:r>
      <w:r>
        <w:rPr>
          <w:color w:val="000000"/>
        </w:rPr>
        <w:t xml:space="preserve">. Beyond religious purposes, with </w:t>
      </w:r>
      <w:r w:rsidR="00F96028">
        <w:rPr>
          <w:color w:val="000000"/>
        </w:rPr>
        <w:t>an estimated 192 million users of cannabis worldwide</w:t>
      </w:r>
      <w:r w:rsidR="00F96028">
        <w:rPr>
          <w:rStyle w:val="EndnoteReference"/>
          <w:color w:val="000000"/>
        </w:rPr>
        <w:endnoteReference w:id="6"/>
      </w:r>
      <w:r w:rsidR="00F96028">
        <w:rPr>
          <w:color w:val="000000"/>
        </w:rPr>
        <w:t xml:space="preserve">, </w:t>
      </w:r>
      <w:r w:rsidR="000366A0">
        <w:rPr>
          <w:color w:val="000000"/>
        </w:rPr>
        <w:t xml:space="preserve">cannabis arguably </w:t>
      </w:r>
      <w:r w:rsidR="00F96028">
        <w:rPr>
          <w:color w:val="000000"/>
        </w:rPr>
        <w:t>plays a central role in contemporary culture.</w:t>
      </w:r>
    </w:p>
    <w:p w14:paraId="32F6E415" w14:textId="2E681637" w:rsidR="0031092A" w:rsidRDefault="0031092A" w:rsidP="0031092A">
      <w:pPr>
        <w:pStyle w:val="ListParagraph"/>
        <w:numPr>
          <w:ilvl w:val="1"/>
          <w:numId w:val="11"/>
        </w:numPr>
        <w:pBdr>
          <w:top w:val="nil"/>
          <w:left w:val="nil"/>
          <w:bottom w:val="nil"/>
          <w:right w:val="nil"/>
          <w:between w:val="nil"/>
        </w:pBdr>
        <w:spacing w:after="200" w:line="276" w:lineRule="auto"/>
        <w:contextualSpacing w:val="0"/>
        <w:jc w:val="both"/>
        <w:rPr>
          <w:color w:val="000000"/>
        </w:rPr>
      </w:pPr>
      <w:r>
        <w:rPr>
          <w:color w:val="000000"/>
        </w:rPr>
        <w:t xml:space="preserve">The use of </w:t>
      </w:r>
      <w:r w:rsidRPr="00E23A88">
        <w:rPr>
          <w:b/>
          <w:bCs/>
          <w:color w:val="000000"/>
        </w:rPr>
        <w:t>psychedelic drugs</w:t>
      </w:r>
      <w:r>
        <w:rPr>
          <w:color w:val="000000"/>
        </w:rPr>
        <w:t xml:space="preserve"> such as </w:t>
      </w:r>
      <w:r w:rsidR="000366A0">
        <w:rPr>
          <w:color w:val="000000"/>
        </w:rPr>
        <w:t xml:space="preserve">the ayahuasca concoction, LSD, </w:t>
      </w:r>
      <w:r>
        <w:rPr>
          <w:color w:val="000000"/>
        </w:rPr>
        <w:t xml:space="preserve">mescaline, or </w:t>
      </w:r>
      <w:r w:rsidR="000366A0">
        <w:rPr>
          <w:color w:val="000000"/>
        </w:rPr>
        <w:t>psiloscybin</w:t>
      </w:r>
      <w:r>
        <w:rPr>
          <w:color w:val="000000"/>
        </w:rPr>
        <w:t xml:space="preserve">, in </w:t>
      </w:r>
      <w:r w:rsidR="000366A0">
        <w:rPr>
          <w:color w:val="000000"/>
        </w:rPr>
        <w:t xml:space="preserve">both traditional indigenous practices and in </w:t>
      </w:r>
      <w:r>
        <w:rPr>
          <w:color w:val="000000"/>
        </w:rPr>
        <w:t xml:space="preserve">the </w:t>
      </w:r>
      <w:r w:rsidR="00D828B3">
        <w:rPr>
          <w:color w:val="000000"/>
        </w:rPr>
        <w:t xml:space="preserve">secular </w:t>
      </w:r>
      <w:r>
        <w:rPr>
          <w:color w:val="000000"/>
        </w:rPr>
        <w:t>Western tradition, to facilitate experiences of ego transcendence</w:t>
      </w:r>
      <w:r w:rsidR="00D828B3">
        <w:rPr>
          <w:color w:val="000000"/>
        </w:rPr>
        <w:t>.</w:t>
      </w:r>
    </w:p>
    <w:p w14:paraId="2FD9761F" w14:textId="44166535" w:rsidR="00EC2584" w:rsidRDefault="00976B58" w:rsidP="0031092A">
      <w:pPr>
        <w:pStyle w:val="ListParagraph"/>
        <w:numPr>
          <w:ilvl w:val="1"/>
          <w:numId w:val="11"/>
        </w:numPr>
        <w:pBdr>
          <w:top w:val="nil"/>
          <w:left w:val="nil"/>
          <w:bottom w:val="nil"/>
          <w:right w:val="nil"/>
          <w:between w:val="nil"/>
        </w:pBdr>
        <w:spacing w:after="200" w:line="276" w:lineRule="auto"/>
        <w:contextualSpacing w:val="0"/>
        <w:jc w:val="both"/>
        <w:rPr>
          <w:color w:val="000000"/>
        </w:rPr>
      </w:pPr>
      <w:r>
        <w:rPr>
          <w:color w:val="000000"/>
        </w:rPr>
        <w:lastRenderedPageBreak/>
        <w:t xml:space="preserve">The </w:t>
      </w:r>
      <w:r w:rsidR="00E23A88">
        <w:rPr>
          <w:color w:val="000000"/>
        </w:rPr>
        <w:t xml:space="preserve">central position </w:t>
      </w:r>
      <w:r>
        <w:rPr>
          <w:color w:val="000000"/>
        </w:rPr>
        <w:t xml:space="preserve">of </w:t>
      </w:r>
      <w:r w:rsidRPr="00E23A88">
        <w:rPr>
          <w:b/>
          <w:bCs/>
          <w:color w:val="000000"/>
        </w:rPr>
        <w:t>opioids</w:t>
      </w:r>
      <w:r>
        <w:rPr>
          <w:color w:val="000000"/>
        </w:rPr>
        <w:t xml:space="preserve"> like morphine or heroin </w:t>
      </w:r>
      <w:r w:rsidR="00D828B3">
        <w:rPr>
          <w:color w:val="000000"/>
        </w:rPr>
        <w:t xml:space="preserve">in literature, music, and visual </w:t>
      </w:r>
      <w:r w:rsidR="00F96028">
        <w:rPr>
          <w:color w:val="000000"/>
        </w:rPr>
        <w:t>arts</w:t>
      </w:r>
      <w:r w:rsidR="00E23A88">
        <w:rPr>
          <w:color w:val="000000"/>
        </w:rPr>
        <w:t xml:space="preserve"> since the mid nineteenth century</w:t>
      </w:r>
      <w:r w:rsidR="00E23A88">
        <w:rPr>
          <w:rStyle w:val="EndnoteReference"/>
          <w:color w:val="000000"/>
        </w:rPr>
        <w:endnoteReference w:id="7"/>
      </w:r>
      <w:r w:rsidR="00E23A88">
        <w:rPr>
          <w:color w:val="000000"/>
        </w:rPr>
        <w:t>, particularly in Western culture.</w:t>
      </w:r>
      <w:r w:rsidR="00D828B3">
        <w:rPr>
          <w:color w:val="000000"/>
        </w:rPr>
        <w:t xml:space="preserve"> </w:t>
      </w:r>
    </w:p>
    <w:p w14:paraId="17DEBEC1" w14:textId="698B9926" w:rsidR="00AE300A" w:rsidRDefault="00AE300A" w:rsidP="0031092A">
      <w:pPr>
        <w:pStyle w:val="ListParagraph"/>
        <w:numPr>
          <w:ilvl w:val="1"/>
          <w:numId w:val="11"/>
        </w:numPr>
        <w:pBdr>
          <w:top w:val="nil"/>
          <w:left w:val="nil"/>
          <w:bottom w:val="nil"/>
          <w:right w:val="nil"/>
          <w:between w:val="nil"/>
        </w:pBdr>
        <w:spacing w:after="200" w:line="276" w:lineRule="auto"/>
        <w:contextualSpacing w:val="0"/>
        <w:jc w:val="both"/>
        <w:rPr>
          <w:color w:val="000000"/>
        </w:rPr>
      </w:pPr>
      <w:r>
        <w:rPr>
          <w:color w:val="000000"/>
        </w:rPr>
        <w:t>The use</w:t>
      </w:r>
      <w:r w:rsidR="000366A0">
        <w:rPr>
          <w:color w:val="000000"/>
        </w:rPr>
        <w:t xml:space="preserve"> of</w:t>
      </w:r>
      <w:r>
        <w:rPr>
          <w:color w:val="000000"/>
        </w:rPr>
        <w:t xml:space="preserve"> empathogens like </w:t>
      </w:r>
      <w:r w:rsidRPr="00E23A88">
        <w:rPr>
          <w:b/>
          <w:bCs/>
          <w:color w:val="000000"/>
        </w:rPr>
        <w:t>MDMA</w:t>
      </w:r>
      <w:r>
        <w:rPr>
          <w:color w:val="000000"/>
        </w:rPr>
        <w:t xml:space="preserve"> </w:t>
      </w:r>
      <w:r w:rsidR="00F96028" w:rsidRPr="000D4C71">
        <w:rPr>
          <w:b/>
          <w:bCs/>
          <w:color w:val="000000"/>
        </w:rPr>
        <w:t>or ecstasy</w:t>
      </w:r>
      <w:r w:rsidR="00F96028">
        <w:rPr>
          <w:color w:val="000000"/>
        </w:rPr>
        <w:t xml:space="preserve"> </w:t>
      </w:r>
      <w:r>
        <w:rPr>
          <w:color w:val="000000"/>
        </w:rPr>
        <w:t xml:space="preserve">in </w:t>
      </w:r>
      <w:r w:rsidR="00F96028">
        <w:rPr>
          <w:color w:val="000000"/>
        </w:rPr>
        <w:t xml:space="preserve">clubbing scenes, to </w:t>
      </w:r>
      <w:r w:rsidR="000366A0">
        <w:rPr>
          <w:color w:val="000000"/>
        </w:rPr>
        <w:t xml:space="preserve">enhance </w:t>
      </w:r>
      <w:r w:rsidR="00F96028">
        <w:rPr>
          <w:color w:val="000000"/>
        </w:rPr>
        <w:t>the experience of listening and dancing to music</w:t>
      </w:r>
      <w:r w:rsidR="00F13614">
        <w:rPr>
          <w:color w:val="000000"/>
        </w:rPr>
        <w:t>,</w:t>
      </w:r>
      <w:r w:rsidR="000366A0">
        <w:rPr>
          <w:color w:val="000000"/>
        </w:rPr>
        <w:t xml:space="preserve"> sometimes with life-transforming effects</w:t>
      </w:r>
      <w:r w:rsidR="00F96028">
        <w:rPr>
          <w:rStyle w:val="EndnoteReference"/>
          <w:color w:val="000000"/>
        </w:rPr>
        <w:endnoteReference w:id="8"/>
      </w:r>
      <w:r w:rsidR="000366A0">
        <w:rPr>
          <w:color w:val="000000"/>
        </w:rPr>
        <w:t>.</w:t>
      </w:r>
      <w:r w:rsidR="00F96028">
        <w:rPr>
          <w:color w:val="000000"/>
        </w:rPr>
        <w:t xml:space="preserve"> </w:t>
      </w:r>
      <w:r w:rsidR="000366A0">
        <w:rPr>
          <w:color w:val="000000"/>
        </w:rPr>
        <w:t xml:space="preserve">It should also be noted that there is increasing evidence of the usefulness of </w:t>
      </w:r>
      <w:r>
        <w:rPr>
          <w:color w:val="000000"/>
        </w:rPr>
        <w:t xml:space="preserve">MDMA </w:t>
      </w:r>
      <w:r w:rsidR="000366A0">
        <w:rPr>
          <w:color w:val="000000"/>
        </w:rPr>
        <w:t xml:space="preserve">for certain </w:t>
      </w:r>
      <w:r w:rsidR="00E23A88">
        <w:rPr>
          <w:color w:val="000000"/>
        </w:rPr>
        <w:t xml:space="preserve">psychiatric </w:t>
      </w:r>
      <w:r w:rsidR="000366A0">
        <w:rPr>
          <w:color w:val="000000"/>
        </w:rPr>
        <w:t>therapies</w:t>
      </w:r>
      <w:r>
        <w:rPr>
          <w:rStyle w:val="EndnoteReference"/>
          <w:color w:val="000000"/>
        </w:rPr>
        <w:endnoteReference w:id="9"/>
      </w:r>
      <w:r>
        <w:rPr>
          <w:color w:val="000000"/>
        </w:rPr>
        <w:t xml:space="preserve">. </w:t>
      </w:r>
    </w:p>
    <w:p w14:paraId="2B79082A" w14:textId="76560BD0" w:rsidR="005D18F1" w:rsidRPr="000D4C71" w:rsidRDefault="00FB112A" w:rsidP="000D4C71">
      <w:pPr>
        <w:pStyle w:val="ListParagraph"/>
        <w:numPr>
          <w:ilvl w:val="0"/>
          <w:numId w:val="11"/>
        </w:numPr>
        <w:pBdr>
          <w:top w:val="nil"/>
          <w:left w:val="nil"/>
          <w:bottom w:val="nil"/>
          <w:right w:val="nil"/>
          <w:between w:val="nil"/>
        </w:pBdr>
        <w:spacing w:after="200" w:line="276" w:lineRule="auto"/>
        <w:ind w:left="426" w:hanging="426"/>
        <w:contextualSpacing w:val="0"/>
        <w:jc w:val="both"/>
        <w:rPr>
          <w:color w:val="000000"/>
        </w:rPr>
      </w:pPr>
      <w:r>
        <w:rPr>
          <w:color w:val="000000"/>
        </w:rPr>
        <w:t>F</w:t>
      </w:r>
      <w:r w:rsidR="00F95E4E" w:rsidRPr="006F4277">
        <w:rPr>
          <w:color w:val="000000"/>
        </w:rPr>
        <w:t xml:space="preserve">reedom of thought, conscience, </w:t>
      </w:r>
      <w:proofErr w:type="gramStart"/>
      <w:r w:rsidR="00F95E4E" w:rsidRPr="006F4277">
        <w:rPr>
          <w:color w:val="000000"/>
        </w:rPr>
        <w:t>religion</w:t>
      </w:r>
      <w:proofErr w:type="gramEnd"/>
      <w:r w:rsidR="00F95E4E" w:rsidRPr="006F4277">
        <w:rPr>
          <w:color w:val="000000"/>
        </w:rPr>
        <w:t xml:space="preserve"> or belief </w:t>
      </w:r>
      <w:r w:rsidR="00912253">
        <w:rPr>
          <w:color w:val="000000"/>
        </w:rPr>
        <w:t>is intrinsically content-neutral</w:t>
      </w:r>
      <w:r w:rsidR="00E23A88">
        <w:rPr>
          <w:color w:val="000000"/>
        </w:rPr>
        <w:t xml:space="preserve"> and pluralistic</w:t>
      </w:r>
      <w:r w:rsidR="00912253">
        <w:rPr>
          <w:color w:val="000000"/>
        </w:rPr>
        <w:t xml:space="preserve">, </w:t>
      </w:r>
      <w:r w:rsidR="00E23A88">
        <w:rPr>
          <w:color w:val="000000"/>
        </w:rPr>
        <w:t xml:space="preserve">as it provides </w:t>
      </w:r>
      <w:r w:rsidR="00F95E4E" w:rsidRPr="006F4277">
        <w:rPr>
          <w:color w:val="000000"/>
        </w:rPr>
        <w:t xml:space="preserve">equal protection </w:t>
      </w:r>
      <w:r w:rsidR="00E23A88">
        <w:rPr>
          <w:color w:val="000000"/>
        </w:rPr>
        <w:t xml:space="preserve">to </w:t>
      </w:r>
      <w:r w:rsidR="00F95E4E" w:rsidRPr="006F4277">
        <w:rPr>
          <w:color w:val="000000"/>
        </w:rPr>
        <w:t xml:space="preserve">all beliefs, religious or atheistic, </w:t>
      </w:r>
      <w:r w:rsidR="00912253">
        <w:rPr>
          <w:color w:val="000000"/>
        </w:rPr>
        <w:t xml:space="preserve">formal or informal, </w:t>
      </w:r>
      <w:r w:rsidR="006F4277">
        <w:rPr>
          <w:color w:val="000000"/>
        </w:rPr>
        <w:t xml:space="preserve">old or new, </w:t>
      </w:r>
      <w:r w:rsidR="00F95E4E" w:rsidRPr="006F4277">
        <w:rPr>
          <w:color w:val="000000"/>
        </w:rPr>
        <w:t>majoritarian and minoritarian</w:t>
      </w:r>
      <w:r>
        <w:rPr>
          <w:rStyle w:val="EndnoteReference"/>
          <w:color w:val="000000"/>
        </w:rPr>
        <w:endnoteReference w:id="10"/>
      </w:r>
      <w:r w:rsidR="00F95E4E" w:rsidRPr="006F4277">
        <w:rPr>
          <w:color w:val="000000"/>
        </w:rPr>
        <w:t xml:space="preserve">. </w:t>
      </w:r>
      <w:r w:rsidR="00912253" w:rsidRPr="000D4C71">
        <w:rPr>
          <w:color w:val="000000"/>
        </w:rPr>
        <w:t xml:space="preserve">The </w:t>
      </w:r>
      <w:r w:rsidR="001463D9" w:rsidRPr="000D4C71">
        <w:rPr>
          <w:color w:val="000000"/>
        </w:rPr>
        <w:t>construction</w:t>
      </w:r>
      <w:r w:rsidR="00912253" w:rsidRPr="000D4C71">
        <w:rPr>
          <w:color w:val="000000"/>
        </w:rPr>
        <w:t xml:space="preserve"> of cognitive liberty within freedom of thought should also be content-neutral and pluralistic, which means that there should be no space for allocating greater ‘spiritual’, ‘mystical’, or life-transforming value to certain </w:t>
      </w:r>
      <w:r w:rsidR="006E596D" w:rsidRPr="000D4C71">
        <w:rPr>
          <w:color w:val="000000"/>
        </w:rPr>
        <w:t xml:space="preserve">substances, or to certain </w:t>
      </w:r>
      <w:r w:rsidR="00912253" w:rsidRPr="000D4C71">
        <w:rPr>
          <w:color w:val="000000"/>
        </w:rPr>
        <w:t xml:space="preserve">forms of substance use. That said, </w:t>
      </w:r>
      <w:r w:rsidR="006F4277" w:rsidRPr="000D4C71">
        <w:rPr>
          <w:color w:val="000000"/>
        </w:rPr>
        <w:t xml:space="preserve">distinctions can </w:t>
      </w:r>
      <w:r w:rsidR="00912253" w:rsidRPr="000D4C71">
        <w:rPr>
          <w:color w:val="000000"/>
        </w:rPr>
        <w:t>be done from other perspective</w:t>
      </w:r>
      <w:r w:rsidR="00F13614" w:rsidRPr="000D4C71">
        <w:rPr>
          <w:color w:val="000000"/>
        </w:rPr>
        <w:t>s</w:t>
      </w:r>
      <w:r w:rsidR="00912253" w:rsidRPr="000D4C71">
        <w:rPr>
          <w:color w:val="000000"/>
        </w:rPr>
        <w:t xml:space="preserve"> and based on other criteria </w:t>
      </w:r>
      <w:r w:rsidR="006F4277" w:rsidRPr="000D4C71">
        <w:rPr>
          <w:color w:val="000000"/>
        </w:rPr>
        <w:t xml:space="preserve">-for instance, </w:t>
      </w:r>
      <w:proofErr w:type="gramStart"/>
      <w:r w:rsidR="006F4277" w:rsidRPr="000D4C71">
        <w:rPr>
          <w:color w:val="000000"/>
        </w:rPr>
        <w:t xml:space="preserve">on the </w:t>
      </w:r>
      <w:r w:rsidR="00F13614" w:rsidRPr="000D4C71">
        <w:rPr>
          <w:color w:val="000000"/>
        </w:rPr>
        <w:t>basis of</w:t>
      </w:r>
      <w:proofErr w:type="gramEnd"/>
      <w:r w:rsidR="00F13614" w:rsidRPr="000D4C71">
        <w:rPr>
          <w:color w:val="000000"/>
        </w:rPr>
        <w:t xml:space="preserve"> </w:t>
      </w:r>
      <w:r w:rsidR="006F4277" w:rsidRPr="000D4C71">
        <w:rPr>
          <w:color w:val="000000"/>
        </w:rPr>
        <w:t>health risks</w:t>
      </w:r>
      <w:r w:rsidR="00912253" w:rsidRPr="000D4C71">
        <w:rPr>
          <w:color w:val="000000"/>
        </w:rPr>
        <w:t xml:space="preserve">, or </w:t>
      </w:r>
      <w:r w:rsidR="00F13614" w:rsidRPr="000D4C71">
        <w:rPr>
          <w:color w:val="000000"/>
        </w:rPr>
        <w:t xml:space="preserve">on the basis of the </w:t>
      </w:r>
      <w:r w:rsidR="001463D9" w:rsidRPr="000D4C71">
        <w:rPr>
          <w:color w:val="000000"/>
        </w:rPr>
        <w:t xml:space="preserve">added protection </w:t>
      </w:r>
      <w:r w:rsidR="00F13614" w:rsidRPr="000D4C71">
        <w:rPr>
          <w:color w:val="000000"/>
        </w:rPr>
        <w:t xml:space="preserve">provided </w:t>
      </w:r>
      <w:r w:rsidR="001463D9" w:rsidRPr="000D4C71">
        <w:rPr>
          <w:color w:val="000000"/>
        </w:rPr>
        <w:t>under the framework of freedom of religion or belief.</w:t>
      </w:r>
    </w:p>
    <w:p w14:paraId="4A939640" w14:textId="1230CE42" w:rsidR="00BD5ED9" w:rsidRPr="00FB112A" w:rsidRDefault="00BD5ED9" w:rsidP="00BD5ED9">
      <w:pPr>
        <w:pBdr>
          <w:top w:val="nil"/>
          <w:left w:val="nil"/>
          <w:bottom w:val="nil"/>
          <w:right w:val="nil"/>
          <w:between w:val="nil"/>
        </w:pBdr>
        <w:spacing w:after="200" w:line="276" w:lineRule="auto"/>
        <w:jc w:val="both"/>
        <w:rPr>
          <w:b/>
          <w:bCs/>
          <w:color w:val="000000"/>
          <w:u w:val="single"/>
        </w:rPr>
      </w:pPr>
      <w:r w:rsidRPr="00FB112A">
        <w:rPr>
          <w:b/>
          <w:bCs/>
          <w:color w:val="000000"/>
          <w:u w:val="single"/>
        </w:rPr>
        <w:t>The specific case of substance use for religious and sacramental purposes</w:t>
      </w:r>
    </w:p>
    <w:p w14:paraId="4A065D73" w14:textId="75FCADEA" w:rsidR="006F4277" w:rsidRDefault="00912253" w:rsidP="001F56A3">
      <w:pPr>
        <w:pStyle w:val="ListParagraph"/>
        <w:numPr>
          <w:ilvl w:val="0"/>
          <w:numId w:val="11"/>
        </w:numPr>
        <w:pBdr>
          <w:top w:val="nil"/>
          <w:left w:val="nil"/>
          <w:bottom w:val="nil"/>
          <w:right w:val="nil"/>
          <w:between w:val="nil"/>
        </w:pBdr>
        <w:spacing w:after="200" w:line="276" w:lineRule="auto"/>
        <w:ind w:left="426" w:hanging="426"/>
        <w:contextualSpacing w:val="0"/>
        <w:jc w:val="both"/>
        <w:rPr>
          <w:color w:val="000000"/>
        </w:rPr>
      </w:pPr>
      <w:r>
        <w:rPr>
          <w:color w:val="000000"/>
        </w:rPr>
        <w:t xml:space="preserve">A broad variety of psychoactive drugs </w:t>
      </w:r>
      <w:r w:rsidR="00BD5ED9">
        <w:rPr>
          <w:color w:val="000000"/>
        </w:rPr>
        <w:t xml:space="preserve">are </w:t>
      </w:r>
      <w:r>
        <w:rPr>
          <w:color w:val="000000"/>
        </w:rPr>
        <w:t xml:space="preserve">currently </w:t>
      </w:r>
      <w:r w:rsidR="00BD5ED9">
        <w:rPr>
          <w:color w:val="000000"/>
        </w:rPr>
        <w:t xml:space="preserve">used for sacramental and religious purposes across the world. </w:t>
      </w:r>
      <w:r>
        <w:rPr>
          <w:color w:val="000000"/>
        </w:rPr>
        <w:t>The list is very long, and it include</w:t>
      </w:r>
      <w:r w:rsidR="006E596D">
        <w:rPr>
          <w:color w:val="000000"/>
        </w:rPr>
        <w:t>s</w:t>
      </w:r>
      <w:r>
        <w:rPr>
          <w:color w:val="000000"/>
        </w:rPr>
        <w:t xml:space="preserve"> the </w:t>
      </w:r>
      <w:r w:rsidR="007344AE">
        <w:rPr>
          <w:color w:val="000000"/>
        </w:rPr>
        <w:t xml:space="preserve">recognised religious uses of substances like </w:t>
      </w:r>
      <w:r w:rsidR="00AF479C">
        <w:rPr>
          <w:color w:val="000000"/>
        </w:rPr>
        <w:t xml:space="preserve">the betel nut, opium, </w:t>
      </w:r>
      <w:r w:rsidR="007344AE">
        <w:rPr>
          <w:color w:val="000000"/>
        </w:rPr>
        <w:t>peyote, or khat</w:t>
      </w:r>
      <w:r>
        <w:rPr>
          <w:color w:val="000000"/>
        </w:rPr>
        <w:t>, as well as the following examples:</w:t>
      </w:r>
    </w:p>
    <w:p w14:paraId="55EE9AE5" w14:textId="79A8F2C0" w:rsidR="00BD5ED9" w:rsidRDefault="00912253" w:rsidP="00BD5ED9">
      <w:pPr>
        <w:pStyle w:val="ListParagraph"/>
        <w:numPr>
          <w:ilvl w:val="1"/>
          <w:numId w:val="11"/>
        </w:numPr>
        <w:pBdr>
          <w:top w:val="nil"/>
          <w:left w:val="nil"/>
          <w:bottom w:val="nil"/>
          <w:right w:val="nil"/>
          <w:between w:val="nil"/>
        </w:pBdr>
        <w:spacing w:after="200" w:line="276" w:lineRule="auto"/>
        <w:contextualSpacing w:val="0"/>
        <w:jc w:val="both"/>
        <w:rPr>
          <w:color w:val="000000"/>
        </w:rPr>
      </w:pPr>
      <w:r w:rsidRPr="006E596D">
        <w:rPr>
          <w:b/>
          <w:bCs/>
          <w:color w:val="000000"/>
        </w:rPr>
        <w:t>C</w:t>
      </w:r>
      <w:r w:rsidR="00A900B4" w:rsidRPr="006E596D">
        <w:rPr>
          <w:b/>
          <w:bCs/>
          <w:color w:val="000000"/>
        </w:rPr>
        <w:t>annabis</w:t>
      </w:r>
      <w:r w:rsidR="00A900B4">
        <w:rPr>
          <w:color w:val="000000"/>
        </w:rPr>
        <w:t>, or ‘</w:t>
      </w:r>
      <w:proofErr w:type="spellStart"/>
      <w:r w:rsidR="00A900B4">
        <w:rPr>
          <w:color w:val="000000"/>
        </w:rPr>
        <w:t>ganja</w:t>
      </w:r>
      <w:proofErr w:type="spellEnd"/>
      <w:r w:rsidR="00A900B4">
        <w:rPr>
          <w:color w:val="000000"/>
        </w:rPr>
        <w:t xml:space="preserve">’, is central to the religious practice of the Rastafarian communities in the </w:t>
      </w:r>
      <w:r w:rsidR="007B7109">
        <w:rPr>
          <w:color w:val="000000"/>
        </w:rPr>
        <w:t xml:space="preserve">East Indies </w:t>
      </w:r>
      <w:r w:rsidR="00A900B4">
        <w:rPr>
          <w:color w:val="000000"/>
        </w:rPr>
        <w:t xml:space="preserve">and </w:t>
      </w:r>
      <w:proofErr w:type="gramStart"/>
      <w:r w:rsidR="00A900B4">
        <w:rPr>
          <w:color w:val="000000"/>
        </w:rPr>
        <w:t>elsewhere, and</w:t>
      </w:r>
      <w:proofErr w:type="gramEnd"/>
      <w:r w:rsidR="00A900B4">
        <w:rPr>
          <w:color w:val="000000"/>
        </w:rPr>
        <w:t xml:space="preserve"> is integral to the Rastafarian movement itself.</w:t>
      </w:r>
      <w:r w:rsidR="00A900B4">
        <w:rPr>
          <w:rStyle w:val="EndnoteReference"/>
          <w:color w:val="000000"/>
        </w:rPr>
        <w:endnoteReference w:id="11"/>
      </w:r>
      <w:r w:rsidR="00A900B4">
        <w:rPr>
          <w:color w:val="000000"/>
        </w:rPr>
        <w:t xml:space="preserve"> </w:t>
      </w:r>
      <w:r w:rsidR="00DE6766">
        <w:rPr>
          <w:color w:val="000000"/>
        </w:rPr>
        <w:t xml:space="preserve">Smoking cannabis is at the heart of many </w:t>
      </w:r>
      <w:r>
        <w:rPr>
          <w:color w:val="000000"/>
        </w:rPr>
        <w:t xml:space="preserve">Rastafarian </w:t>
      </w:r>
      <w:r w:rsidR="00DE6766">
        <w:rPr>
          <w:color w:val="000000"/>
        </w:rPr>
        <w:t>worship rituals, and is regarded as a sacrament that helps achieve communion with god.</w:t>
      </w:r>
      <w:r w:rsidR="00DE6766">
        <w:rPr>
          <w:rStyle w:val="EndnoteReference"/>
          <w:color w:val="000000"/>
        </w:rPr>
        <w:endnoteReference w:id="12"/>
      </w:r>
      <w:r w:rsidR="00DE6766">
        <w:rPr>
          <w:color w:val="000000"/>
        </w:rPr>
        <w:t xml:space="preserve"> Cannabis </w:t>
      </w:r>
      <w:r w:rsidR="007B7109">
        <w:rPr>
          <w:color w:val="000000"/>
        </w:rPr>
        <w:t>is</w:t>
      </w:r>
      <w:r w:rsidR="00DE6766">
        <w:rPr>
          <w:color w:val="000000"/>
        </w:rPr>
        <w:t xml:space="preserve"> </w:t>
      </w:r>
      <w:r>
        <w:rPr>
          <w:color w:val="000000"/>
        </w:rPr>
        <w:t xml:space="preserve">also </w:t>
      </w:r>
      <w:r w:rsidR="00DE6766">
        <w:rPr>
          <w:color w:val="000000"/>
        </w:rPr>
        <w:t xml:space="preserve">used in a variety of religious settings, </w:t>
      </w:r>
      <w:r>
        <w:rPr>
          <w:color w:val="000000"/>
        </w:rPr>
        <w:t>including in</w:t>
      </w:r>
      <w:r w:rsidR="00DE6766">
        <w:rPr>
          <w:color w:val="000000"/>
        </w:rPr>
        <w:t xml:space="preserve"> Hindu religious celebrations</w:t>
      </w:r>
      <w:r w:rsidR="00DE6766">
        <w:rPr>
          <w:rStyle w:val="EndnoteReference"/>
          <w:color w:val="000000"/>
        </w:rPr>
        <w:endnoteReference w:id="13"/>
      </w:r>
      <w:r>
        <w:rPr>
          <w:color w:val="000000"/>
        </w:rPr>
        <w:t xml:space="preserve">, and in </w:t>
      </w:r>
      <w:r w:rsidR="00DE6766">
        <w:rPr>
          <w:color w:val="000000"/>
        </w:rPr>
        <w:t>tantric traditions</w:t>
      </w:r>
      <w:r w:rsidR="00DE6766">
        <w:rPr>
          <w:rStyle w:val="EndnoteReference"/>
          <w:color w:val="000000"/>
        </w:rPr>
        <w:endnoteReference w:id="14"/>
      </w:r>
      <w:r w:rsidR="007B7109">
        <w:rPr>
          <w:color w:val="000000"/>
        </w:rPr>
        <w:t>.</w:t>
      </w:r>
    </w:p>
    <w:p w14:paraId="17E06CFA" w14:textId="2D28B43F" w:rsidR="007344AE" w:rsidRPr="00AF479C" w:rsidRDefault="00AF479C" w:rsidP="00E0148D">
      <w:pPr>
        <w:pStyle w:val="ListParagraph"/>
        <w:numPr>
          <w:ilvl w:val="1"/>
          <w:numId w:val="11"/>
        </w:numPr>
        <w:pBdr>
          <w:top w:val="nil"/>
          <w:left w:val="nil"/>
          <w:bottom w:val="nil"/>
          <w:right w:val="nil"/>
          <w:between w:val="nil"/>
        </w:pBdr>
        <w:spacing w:after="200" w:line="276" w:lineRule="auto"/>
        <w:ind w:left="1434" w:hanging="357"/>
        <w:contextualSpacing w:val="0"/>
        <w:jc w:val="both"/>
        <w:rPr>
          <w:color w:val="000000"/>
        </w:rPr>
      </w:pPr>
      <w:r w:rsidRPr="006E596D">
        <w:rPr>
          <w:b/>
          <w:bCs/>
          <w:color w:val="000000"/>
        </w:rPr>
        <w:t>Ayahuasca</w:t>
      </w:r>
      <w:r w:rsidRPr="00AF479C">
        <w:rPr>
          <w:color w:val="000000"/>
        </w:rPr>
        <w:t xml:space="preserve"> is a decoction of two Amazonian plants</w:t>
      </w:r>
      <w:r>
        <w:rPr>
          <w:color w:val="000000"/>
        </w:rPr>
        <w:t xml:space="preserve"> that </w:t>
      </w:r>
      <w:r w:rsidRPr="00AF479C">
        <w:rPr>
          <w:color w:val="000000"/>
        </w:rPr>
        <w:t>which has historically been used by indigenous and mestizo</w:t>
      </w:r>
      <w:r>
        <w:rPr>
          <w:color w:val="000000"/>
        </w:rPr>
        <w:t xml:space="preserve"> </w:t>
      </w:r>
      <w:r w:rsidRPr="00AF479C">
        <w:rPr>
          <w:color w:val="000000"/>
        </w:rPr>
        <w:t>Amazonians in shamanic and healing rituals, among other contexts</w:t>
      </w:r>
      <w:r>
        <w:rPr>
          <w:color w:val="000000"/>
        </w:rPr>
        <w:t>, and was thereafter adopted by several Christian religious groups</w:t>
      </w:r>
      <w:r w:rsidRPr="00AF479C">
        <w:rPr>
          <w:color w:val="000000"/>
        </w:rPr>
        <w:t>.</w:t>
      </w:r>
      <w:r>
        <w:rPr>
          <w:rStyle w:val="EndnoteReference"/>
          <w:color w:val="000000"/>
        </w:rPr>
        <w:endnoteReference w:id="15"/>
      </w:r>
      <w:r>
        <w:rPr>
          <w:color w:val="000000"/>
        </w:rPr>
        <w:t xml:space="preserve"> </w:t>
      </w:r>
      <w:r w:rsidR="00EF0D74">
        <w:rPr>
          <w:color w:val="000000"/>
        </w:rPr>
        <w:t>C</w:t>
      </w:r>
      <w:r w:rsidR="007344AE" w:rsidRPr="00AF479C">
        <w:rPr>
          <w:color w:val="000000"/>
        </w:rPr>
        <w:t xml:space="preserve">ountries such as Brazil, Canada, or the USA allow for religious uses of the ayahuasca decoction, </w:t>
      </w:r>
      <w:r w:rsidR="00EF0D74">
        <w:rPr>
          <w:color w:val="000000"/>
        </w:rPr>
        <w:t xml:space="preserve">while </w:t>
      </w:r>
      <w:r w:rsidR="007344AE" w:rsidRPr="00AF479C">
        <w:rPr>
          <w:color w:val="000000"/>
        </w:rPr>
        <w:t xml:space="preserve">others like France, Russia, or the </w:t>
      </w:r>
      <w:r w:rsidR="00EF0D74">
        <w:rPr>
          <w:color w:val="000000"/>
        </w:rPr>
        <w:t xml:space="preserve">UK </w:t>
      </w:r>
      <w:r w:rsidR="007344AE" w:rsidRPr="00AF479C">
        <w:rPr>
          <w:color w:val="000000"/>
        </w:rPr>
        <w:t>have prohibited it.</w:t>
      </w:r>
      <w:r w:rsidR="007344AE">
        <w:rPr>
          <w:rStyle w:val="EndnoteReference"/>
          <w:color w:val="000000"/>
        </w:rPr>
        <w:endnoteReference w:id="16"/>
      </w:r>
    </w:p>
    <w:p w14:paraId="656A1D89" w14:textId="2B2A69C4" w:rsidR="00DE6766" w:rsidRPr="007344AE" w:rsidRDefault="007B7109" w:rsidP="007344AE">
      <w:pPr>
        <w:pStyle w:val="ListParagraph"/>
        <w:numPr>
          <w:ilvl w:val="1"/>
          <w:numId w:val="11"/>
        </w:numPr>
        <w:pBdr>
          <w:top w:val="nil"/>
          <w:left w:val="nil"/>
          <w:bottom w:val="nil"/>
          <w:right w:val="nil"/>
          <w:between w:val="nil"/>
        </w:pBdr>
        <w:spacing w:after="200" w:line="276" w:lineRule="auto"/>
        <w:contextualSpacing w:val="0"/>
        <w:jc w:val="both"/>
        <w:rPr>
          <w:color w:val="000000"/>
        </w:rPr>
      </w:pPr>
      <w:r>
        <w:rPr>
          <w:color w:val="000000"/>
        </w:rPr>
        <w:t xml:space="preserve">Across the Andean-Amazonian region </w:t>
      </w:r>
      <w:r w:rsidR="006E596D">
        <w:rPr>
          <w:color w:val="000000"/>
        </w:rPr>
        <w:t xml:space="preserve">the </w:t>
      </w:r>
      <w:r w:rsidR="006E596D" w:rsidRPr="000D4C71">
        <w:rPr>
          <w:b/>
          <w:bCs/>
          <w:color w:val="000000"/>
        </w:rPr>
        <w:t>coca leaf</w:t>
      </w:r>
      <w:r w:rsidR="006E596D">
        <w:rPr>
          <w:color w:val="000000"/>
        </w:rPr>
        <w:t xml:space="preserve"> is sacred, and </w:t>
      </w:r>
      <w:r>
        <w:rPr>
          <w:color w:val="000000"/>
        </w:rPr>
        <w:t>coca leaf chewing has been used by indigenous communities for its stimulant effects in connection to religious rituals, and celebrations such as weddings and funerals</w:t>
      </w:r>
      <w:r>
        <w:rPr>
          <w:rStyle w:val="EndnoteReference"/>
          <w:color w:val="000000"/>
        </w:rPr>
        <w:endnoteReference w:id="17"/>
      </w:r>
      <w:r>
        <w:rPr>
          <w:color w:val="000000"/>
        </w:rPr>
        <w:t xml:space="preserve">. </w:t>
      </w:r>
    </w:p>
    <w:p w14:paraId="7A3BCD12" w14:textId="2CD2DE68" w:rsidR="00E0148D" w:rsidRDefault="001463D9" w:rsidP="001F56A3">
      <w:pPr>
        <w:pStyle w:val="ListParagraph"/>
        <w:numPr>
          <w:ilvl w:val="0"/>
          <w:numId w:val="11"/>
        </w:numPr>
        <w:pBdr>
          <w:top w:val="nil"/>
          <w:left w:val="nil"/>
          <w:bottom w:val="nil"/>
          <w:right w:val="nil"/>
          <w:between w:val="nil"/>
        </w:pBdr>
        <w:spacing w:after="200" w:line="276" w:lineRule="auto"/>
        <w:ind w:left="426" w:hanging="426"/>
        <w:contextualSpacing w:val="0"/>
        <w:jc w:val="both"/>
        <w:rPr>
          <w:color w:val="000000"/>
        </w:rPr>
      </w:pPr>
      <w:r>
        <w:rPr>
          <w:color w:val="000000"/>
        </w:rPr>
        <w:t xml:space="preserve">When these religious practices are carried out by indigenous people, </w:t>
      </w:r>
      <w:r w:rsidR="00E0148D">
        <w:rPr>
          <w:color w:val="000000"/>
        </w:rPr>
        <w:t xml:space="preserve">yet another layer of protection is added to </w:t>
      </w:r>
      <w:r>
        <w:rPr>
          <w:color w:val="000000"/>
        </w:rPr>
        <w:t>the consciousness-altering practice</w:t>
      </w:r>
      <w:r w:rsidR="00E0148D">
        <w:rPr>
          <w:color w:val="000000"/>
        </w:rPr>
        <w:t xml:space="preserve">, as the 2007 United Nations Declaration on Indigenous People’s </w:t>
      </w:r>
      <w:r w:rsidR="00CB5F6F">
        <w:rPr>
          <w:color w:val="000000"/>
        </w:rPr>
        <w:t>R</w:t>
      </w:r>
      <w:r w:rsidR="00E0148D">
        <w:rPr>
          <w:color w:val="000000"/>
        </w:rPr>
        <w:t>ights</w:t>
      </w:r>
      <w:r>
        <w:rPr>
          <w:color w:val="000000"/>
        </w:rPr>
        <w:t xml:space="preserve"> </w:t>
      </w:r>
      <w:r w:rsidR="00E0148D">
        <w:rPr>
          <w:color w:val="000000"/>
        </w:rPr>
        <w:t xml:space="preserve">recognises the right of indigenous </w:t>
      </w:r>
      <w:r>
        <w:rPr>
          <w:color w:val="000000"/>
        </w:rPr>
        <w:t xml:space="preserve">peoples </w:t>
      </w:r>
      <w:r w:rsidR="00E0148D">
        <w:rPr>
          <w:color w:val="000000"/>
        </w:rPr>
        <w:t xml:space="preserve">to preserve </w:t>
      </w:r>
      <w:r w:rsidR="00CB5F6F">
        <w:rPr>
          <w:color w:val="000000"/>
        </w:rPr>
        <w:t xml:space="preserve">and develop </w:t>
      </w:r>
      <w:r w:rsidR="00E0148D">
        <w:rPr>
          <w:color w:val="000000"/>
        </w:rPr>
        <w:t>their cultural and religious traditions</w:t>
      </w:r>
      <w:r w:rsidR="00CB5F6F">
        <w:rPr>
          <w:color w:val="000000"/>
        </w:rPr>
        <w:t xml:space="preserve">, which include the traditional use of </w:t>
      </w:r>
      <w:r w:rsidR="00F13614">
        <w:rPr>
          <w:color w:val="000000"/>
        </w:rPr>
        <w:t xml:space="preserve">psychoactive </w:t>
      </w:r>
      <w:r w:rsidR="00CB5F6F">
        <w:rPr>
          <w:color w:val="000000"/>
        </w:rPr>
        <w:t>plants for religious, cultural, or health purposes</w:t>
      </w:r>
      <w:r w:rsidR="00E0148D">
        <w:rPr>
          <w:color w:val="000000"/>
        </w:rPr>
        <w:t>.</w:t>
      </w:r>
      <w:r w:rsidR="00CB5F6F">
        <w:rPr>
          <w:rStyle w:val="EndnoteReference"/>
          <w:color w:val="000000"/>
        </w:rPr>
        <w:endnoteReference w:id="18"/>
      </w:r>
    </w:p>
    <w:p w14:paraId="2121246F" w14:textId="24797CC3" w:rsidR="001463D9" w:rsidRPr="001463D9" w:rsidRDefault="001463D9" w:rsidP="001463D9">
      <w:pPr>
        <w:pStyle w:val="ListParagraph"/>
        <w:numPr>
          <w:ilvl w:val="0"/>
          <w:numId w:val="11"/>
        </w:numPr>
        <w:pBdr>
          <w:top w:val="nil"/>
          <w:left w:val="nil"/>
          <w:bottom w:val="nil"/>
          <w:right w:val="nil"/>
          <w:between w:val="nil"/>
        </w:pBdr>
        <w:spacing w:after="200" w:line="276" w:lineRule="auto"/>
        <w:ind w:left="426" w:hanging="426"/>
        <w:contextualSpacing w:val="0"/>
        <w:jc w:val="both"/>
        <w:rPr>
          <w:color w:val="000000"/>
        </w:rPr>
      </w:pPr>
      <w:r>
        <w:rPr>
          <w:color w:val="000000"/>
        </w:rPr>
        <w:lastRenderedPageBreak/>
        <w:t>The right to freedom of religion or belief is grounded on a broad construction of the term ‘belief’ that includes new and non-institutionalised beliefs, as well as theistic and atheistic practices.</w:t>
      </w:r>
      <w:r>
        <w:rPr>
          <w:rStyle w:val="EndnoteReference"/>
          <w:color w:val="000000"/>
        </w:rPr>
        <w:endnoteReference w:id="19"/>
      </w:r>
      <w:r>
        <w:rPr>
          <w:color w:val="000000"/>
        </w:rPr>
        <w:t xml:space="preserve"> As such, it should also include the secular Western-based tradition of using psychedelics to achieve experience of transcendence and ego-dissolution, in acts of self-creation and self-discovery.</w:t>
      </w:r>
      <w:r>
        <w:rPr>
          <w:rStyle w:val="EndnoteReference"/>
          <w:color w:val="000000"/>
        </w:rPr>
        <w:endnoteReference w:id="20"/>
      </w:r>
      <w:r>
        <w:rPr>
          <w:color w:val="000000"/>
        </w:rPr>
        <w:t xml:space="preserve"> </w:t>
      </w:r>
      <w:r w:rsidRPr="001463D9">
        <w:rPr>
          <w:color w:val="000000"/>
        </w:rPr>
        <w:t xml:space="preserve">In all of these cases, traditional or non-traditional, indigenous or non-indigenous, the alteration of one’s consciousness is an integral part of the religious or spiritual practice at hand. </w:t>
      </w:r>
    </w:p>
    <w:p w14:paraId="722C2645" w14:textId="770E617D" w:rsidR="00CB5F6F" w:rsidRDefault="00CB5F6F" w:rsidP="00CB5F6F">
      <w:pPr>
        <w:pStyle w:val="ListParagraph"/>
        <w:pBdr>
          <w:top w:val="nil"/>
          <w:left w:val="nil"/>
          <w:bottom w:val="nil"/>
          <w:right w:val="nil"/>
          <w:between w:val="nil"/>
        </w:pBdr>
        <w:spacing w:after="200" w:line="276" w:lineRule="auto"/>
        <w:ind w:left="426"/>
        <w:contextualSpacing w:val="0"/>
        <w:jc w:val="both"/>
        <w:rPr>
          <w:color w:val="000000"/>
        </w:rPr>
      </w:pPr>
    </w:p>
    <w:p w14:paraId="5966D75F" w14:textId="3C821EEC" w:rsidR="00CB5F6F" w:rsidRDefault="00F13614" w:rsidP="00CB5F6F">
      <w:pPr>
        <w:pBdr>
          <w:top w:val="nil"/>
          <w:left w:val="nil"/>
          <w:bottom w:val="nil"/>
          <w:right w:val="nil"/>
          <w:between w:val="nil"/>
        </w:pBdr>
        <w:spacing w:after="200" w:line="276" w:lineRule="auto"/>
        <w:jc w:val="both"/>
        <w:rPr>
          <w:b/>
          <w:color w:val="000000"/>
          <w:sz w:val="28"/>
          <w:szCs w:val="28"/>
        </w:rPr>
      </w:pPr>
      <w:r>
        <w:rPr>
          <w:b/>
          <w:color w:val="000000"/>
          <w:sz w:val="28"/>
          <w:szCs w:val="28"/>
        </w:rPr>
        <w:t>T</w:t>
      </w:r>
      <w:r w:rsidR="00BD3A5F">
        <w:rPr>
          <w:b/>
          <w:color w:val="000000"/>
          <w:sz w:val="28"/>
          <w:szCs w:val="28"/>
        </w:rPr>
        <w:t>he limitations</w:t>
      </w:r>
      <w:r w:rsidR="0018067C">
        <w:rPr>
          <w:b/>
          <w:color w:val="000000"/>
          <w:sz w:val="28"/>
          <w:szCs w:val="28"/>
        </w:rPr>
        <w:t xml:space="preserve"> on </w:t>
      </w:r>
      <w:r>
        <w:rPr>
          <w:b/>
          <w:color w:val="000000"/>
          <w:sz w:val="28"/>
          <w:szCs w:val="28"/>
        </w:rPr>
        <w:t xml:space="preserve">cognitive liberty derived from </w:t>
      </w:r>
      <w:r w:rsidR="00CB5F6F">
        <w:rPr>
          <w:b/>
          <w:color w:val="000000"/>
          <w:sz w:val="28"/>
          <w:szCs w:val="28"/>
        </w:rPr>
        <w:t>the UN drug conventions</w:t>
      </w:r>
      <w:r w:rsidR="003551C6">
        <w:rPr>
          <w:b/>
          <w:color w:val="000000"/>
          <w:sz w:val="28"/>
          <w:szCs w:val="28"/>
        </w:rPr>
        <w:t>: arbitrary, and discriminatory</w:t>
      </w:r>
      <w:r w:rsidR="000D4C71">
        <w:rPr>
          <w:b/>
          <w:color w:val="000000"/>
          <w:sz w:val="28"/>
          <w:szCs w:val="28"/>
        </w:rPr>
        <w:t>.</w:t>
      </w:r>
    </w:p>
    <w:p w14:paraId="66E9200B" w14:textId="72F1826D" w:rsidR="00790264" w:rsidRDefault="00790264" w:rsidP="00CB5F6F">
      <w:pPr>
        <w:pBdr>
          <w:top w:val="nil"/>
          <w:left w:val="nil"/>
          <w:bottom w:val="nil"/>
          <w:right w:val="nil"/>
          <w:between w:val="nil"/>
        </w:pBdr>
        <w:spacing w:after="200" w:line="276" w:lineRule="auto"/>
        <w:jc w:val="both"/>
        <w:rPr>
          <w:b/>
          <w:color w:val="000000"/>
          <w:sz w:val="28"/>
          <w:szCs w:val="28"/>
        </w:rPr>
      </w:pPr>
      <w:r>
        <w:rPr>
          <w:b/>
          <w:color w:val="000000"/>
          <w:sz w:val="28"/>
          <w:szCs w:val="28"/>
        </w:rPr>
        <w:t>(Questions 8 &amp; 10)</w:t>
      </w:r>
    </w:p>
    <w:p w14:paraId="326F6D9F" w14:textId="35506DEC" w:rsidR="00735BF1" w:rsidRDefault="0018067C" w:rsidP="006D6F02">
      <w:pPr>
        <w:pStyle w:val="ListParagraph"/>
        <w:numPr>
          <w:ilvl w:val="0"/>
          <w:numId w:val="11"/>
        </w:numPr>
        <w:pBdr>
          <w:top w:val="nil"/>
          <w:left w:val="nil"/>
          <w:bottom w:val="nil"/>
          <w:right w:val="nil"/>
          <w:between w:val="nil"/>
        </w:pBdr>
        <w:spacing w:after="200" w:line="276" w:lineRule="auto"/>
        <w:ind w:left="426" w:hanging="426"/>
        <w:jc w:val="both"/>
        <w:rPr>
          <w:color w:val="000000"/>
        </w:rPr>
      </w:pPr>
      <w:r w:rsidRPr="00035228">
        <w:rPr>
          <w:color w:val="000000"/>
        </w:rPr>
        <w:t xml:space="preserve">Traditionally, </w:t>
      </w:r>
      <w:r w:rsidR="00035228" w:rsidRPr="00035228">
        <w:rPr>
          <w:color w:val="000000"/>
        </w:rPr>
        <w:t xml:space="preserve">the right to freedom of thought has been construed as an absolute right </w:t>
      </w:r>
      <w:r w:rsidR="00EA2B7E">
        <w:rPr>
          <w:color w:val="000000"/>
        </w:rPr>
        <w:t xml:space="preserve">that cannot be subject to </w:t>
      </w:r>
      <w:r w:rsidR="00035228" w:rsidRPr="00035228">
        <w:rPr>
          <w:color w:val="000000"/>
        </w:rPr>
        <w:t>any limitation or interference</w:t>
      </w:r>
      <w:r w:rsidR="00035228">
        <w:rPr>
          <w:rStyle w:val="EndnoteReference"/>
          <w:color w:val="000000"/>
        </w:rPr>
        <w:endnoteReference w:id="21"/>
      </w:r>
      <w:r w:rsidR="00035228" w:rsidRPr="00035228">
        <w:rPr>
          <w:color w:val="000000"/>
        </w:rPr>
        <w:t xml:space="preserve"> – thus distinguishing it from the freedom to ‘manifest religion or belief’, which can be subject to limitations</w:t>
      </w:r>
      <w:r w:rsidR="00035228">
        <w:rPr>
          <w:rStyle w:val="EndnoteReference"/>
          <w:color w:val="000000"/>
        </w:rPr>
        <w:endnoteReference w:id="22"/>
      </w:r>
      <w:r w:rsidR="00035228" w:rsidRPr="00035228">
        <w:rPr>
          <w:color w:val="000000"/>
        </w:rPr>
        <w:t>.</w:t>
      </w:r>
      <w:r w:rsidR="006D6F02">
        <w:rPr>
          <w:color w:val="000000"/>
        </w:rPr>
        <w:t xml:space="preserve"> </w:t>
      </w:r>
    </w:p>
    <w:p w14:paraId="176E06E4" w14:textId="77777777" w:rsidR="00735BF1" w:rsidRDefault="00735BF1" w:rsidP="00735BF1">
      <w:pPr>
        <w:pStyle w:val="ListParagraph"/>
        <w:pBdr>
          <w:top w:val="nil"/>
          <w:left w:val="nil"/>
          <w:bottom w:val="nil"/>
          <w:right w:val="nil"/>
          <w:between w:val="nil"/>
        </w:pBdr>
        <w:spacing w:after="200" w:line="276" w:lineRule="auto"/>
        <w:ind w:left="426"/>
        <w:jc w:val="both"/>
        <w:rPr>
          <w:color w:val="000000"/>
        </w:rPr>
      </w:pPr>
    </w:p>
    <w:p w14:paraId="2FECA431" w14:textId="6995D1FF" w:rsidR="00CB5F6F" w:rsidRDefault="006D6F02" w:rsidP="00735BF1">
      <w:pPr>
        <w:pStyle w:val="ListParagraph"/>
        <w:numPr>
          <w:ilvl w:val="0"/>
          <w:numId w:val="11"/>
        </w:numPr>
        <w:pBdr>
          <w:top w:val="nil"/>
          <w:left w:val="nil"/>
          <w:bottom w:val="nil"/>
          <w:right w:val="nil"/>
          <w:between w:val="nil"/>
        </w:pBdr>
        <w:spacing w:after="200" w:line="276" w:lineRule="auto"/>
        <w:ind w:left="426" w:hanging="426"/>
        <w:jc w:val="both"/>
        <w:rPr>
          <w:color w:val="000000"/>
        </w:rPr>
      </w:pPr>
      <w:r w:rsidRPr="006D6F02">
        <w:rPr>
          <w:color w:val="000000"/>
        </w:rPr>
        <w:t xml:space="preserve">The </w:t>
      </w:r>
      <w:r w:rsidR="00EA2B7E">
        <w:rPr>
          <w:color w:val="000000"/>
        </w:rPr>
        <w:t xml:space="preserve">development </w:t>
      </w:r>
      <w:r w:rsidRPr="006D6F02">
        <w:rPr>
          <w:color w:val="000000"/>
        </w:rPr>
        <w:t xml:space="preserve">of the right to freedom of thought </w:t>
      </w:r>
      <w:r w:rsidR="00EA2B7E">
        <w:rPr>
          <w:color w:val="000000"/>
        </w:rPr>
        <w:t xml:space="preserve">to recognise </w:t>
      </w:r>
      <w:r w:rsidR="003551C6">
        <w:rPr>
          <w:color w:val="000000"/>
        </w:rPr>
        <w:t xml:space="preserve">the notion of cognitive </w:t>
      </w:r>
      <w:r w:rsidRPr="006D6F02">
        <w:rPr>
          <w:color w:val="000000"/>
        </w:rPr>
        <w:t xml:space="preserve">liberty challenges this </w:t>
      </w:r>
      <w:r w:rsidR="00735BF1">
        <w:rPr>
          <w:color w:val="000000"/>
        </w:rPr>
        <w:t>absolut</w:t>
      </w:r>
      <w:r w:rsidR="003551C6">
        <w:rPr>
          <w:color w:val="000000"/>
        </w:rPr>
        <w:t>ist position</w:t>
      </w:r>
      <w:r w:rsidRPr="006D6F02">
        <w:rPr>
          <w:color w:val="000000"/>
        </w:rPr>
        <w:t xml:space="preserve">. </w:t>
      </w:r>
      <w:r w:rsidRPr="00735BF1">
        <w:rPr>
          <w:color w:val="000000"/>
        </w:rPr>
        <w:t xml:space="preserve">While it can be argued that the right to self-determine one’s own brain </w:t>
      </w:r>
      <w:r w:rsidR="003551C6">
        <w:rPr>
          <w:color w:val="000000"/>
        </w:rPr>
        <w:t xml:space="preserve">and mind should </w:t>
      </w:r>
      <w:r w:rsidRPr="00735BF1">
        <w:rPr>
          <w:color w:val="000000"/>
        </w:rPr>
        <w:t>not tolerate any interference, it has also been argued that its positive dimension</w:t>
      </w:r>
      <w:r w:rsidR="003551C6">
        <w:rPr>
          <w:color w:val="000000"/>
        </w:rPr>
        <w:t xml:space="preserve"> – that is, the right to intentionally alter brain chemistry and consciousness –</w:t>
      </w:r>
      <w:r w:rsidRPr="00735BF1">
        <w:rPr>
          <w:color w:val="000000"/>
        </w:rPr>
        <w:t xml:space="preserve"> could be subject to certain restrictions</w:t>
      </w:r>
      <w:r w:rsidR="00735BF1">
        <w:rPr>
          <w:color w:val="000000"/>
        </w:rPr>
        <w:t xml:space="preserve">, as it would be a </w:t>
      </w:r>
      <w:r w:rsidR="00735BF1">
        <w:rPr>
          <w:i/>
          <w:iCs/>
          <w:color w:val="000000"/>
        </w:rPr>
        <w:t>manifestation</w:t>
      </w:r>
      <w:r w:rsidR="00735BF1">
        <w:rPr>
          <w:color w:val="000000"/>
        </w:rPr>
        <w:t xml:space="preserve"> of freedom of thought</w:t>
      </w:r>
      <w:r w:rsidRPr="00735BF1">
        <w:rPr>
          <w:color w:val="000000"/>
        </w:rPr>
        <w:t>.</w:t>
      </w:r>
      <w:r>
        <w:rPr>
          <w:rStyle w:val="EndnoteReference"/>
          <w:color w:val="000000"/>
        </w:rPr>
        <w:endnoteReference w:id="23"/>
      </w:r>
    </w:p>
    <w:p w14:paraId="27163AC2" w14:textId="77777777" w:rsidR="00735BF1" w:rsidRPr="00735BF1" w:rsidRDefault="00735BF1" w:rsidP="00735BF1">
      <w:pPr>
        <w:pStyle w:val="ListParagraph"/>
        <w:rPr>
          <w:color w:val="000000"/>
        </w:rPr>
      </w:pPr>
    </w:p>
    <w:p w14:paraId="0A6400A6" w14:textId="0E2DA3D5" w:rsidR="0001644E" w:rsidRPr="0001644E" w:rsidRDefault="00735BF1" w:rsidP="0001644E">
      <w:pPr>
        <w:pStyle w:val="ListParagraph"/>
        <w:numPr>
          <w:ilvl w:val="0"/>
          <w:numId w:val="11"/>
        </w:numPr>
        <w:pBdr>
          <w:top w:val="nil"/>
          <w:left w:val="nil"/>
          <w:bottom w:val="nil"/>
          <w:right w:val="nil"/>
          <w:between w:val="nil"/>
        </w:pBdr>
        <w:spacing w:after="200" w:line="276" w:lineRule="auto"/>
        <w:ind w:left="426" w:hanging="426"/>
        <w:contextualSpacing w:val="0"/>
        <w:jc w:val="both"/>
        <w:rPr>
          <w:color w:val="000000"/>
        </w:rPr>
      </w:pPr>
      <w:r w:rsidRPr="00602180">
        <w:rPr>
          <w:color w:val="000000"/>
        </w:rPr>
        <w:t xml:space="preserve">Even in that case, </w:t>
      </w:r>
      <w:r w:rsidR="006E596D">
        <w:rPr>
          <w:color w:val="000000"/>
        </w:rPr>
        <w:t xml:space="preserve">under international human rights law </w:t>
      </w:r>
      <w:r w:rsidR="003551C6">
        <w:rPr>
          <w:color w:val="000000"/>
        </w:rPr>
        <w:t xml:space="preserve">any restriction on this </w:t>
      </w:r>
      <w:r w:rsidR="006E596D">
        <w:rPr>
          <w:color w:val="000000"/>
        </w:rPr>
        <w:t xml:space="preserve">right </w:t>
      </w:r>
      <w:r w:rsidR="003551C6">
        <w:rPr>
          <w:color w:val="000000"/>
        </w:rPr>
        <w:t xml:space="preserve">should </w:t>
      </w:r>
      <w:r w:rsidR="00602180">
        <w:rPr>
          <w:color w:val="000000"/>
        </w:rPr>
        <w:t>be provided by law, pursue a legitimate aim, and be both necessary and proportionate.</w:t>
      </w:r>
      <w:r w:rsidR="00602180">
        <w:rPr>
          <w:rStyle w:val="EndnoteReference"/>
          <w:color w:val="000000"/>
        </w:rPr>
        <w:endnoteReference w:id="24"/>
      </w:r>
      <w:r w:rsidR="00602180">
        <w:rPr>
          <w:color w:val="000000"/>
        </w:rPr>
        <w:t xml:space="preserve"> </w:t>
      </w:r>
      <w:r w:rsidR="00BD3A5F" w:rsidRPr="003551C6">
        <w:rPr>
          <w:color w:val="000000"/>
        </w:rPr>
        <w:t xml:space="preserve">The International Guidelines on Human Rights and Drug Policy, published in 2019 by UN agencies together with the University of Essex, also point out that limitations cannot be interpreted to jeopardise the essence of the right concerned, that they cannot be applied in an arbitrary manner, and that they </w:t>
      </w:r>
      <w:r w:rsidR="003551C6">
        <w:rPr>
          <w:color w:val="000000"/>
        </w:rPr>
        <w:t>should</w:t>
      </w:r>
      <w:r w:rsidR="00BD3A5F" w:rsidRPr="003551C6">
        <w:rPr>
          <w:color w:val="000000"/>
        </w:rPr>
        <w:t xml:space="preserve"> not be discriminatory.</w:t>
      </w:r>
      <w:r w:rsidR="00BD3A5F">
        <w:rPr>
          <w:rStyle w:val="EndnoteReference"/>
          <w:color w:val="000000"/>
        </w:rPr>
        <w:endnoteReference w:id="25"/>
      </w:r>
    </w:p>
    <w:p w14:paraId="4028174A" w14:textId="1C2AF7C0" w:rsidR="00BD3A5F" w:rsidRPr="0065276C" w:rsidRDefault="0065276C" w:rsidP="00BD3A5F">
      <w:pPr>
        <w:pBdr>
          <w:top w:val="nil"/>
          <w:left w:val="nil"/>
          <w:bottom w:val="nil"/>
          <w:right w:val="nil"/>
          <w:between w:val="nil"/>
        </w:pBdr>
        <w:spacing w:after="200" w:line="276" w:lineRule="auto"/>
        <w:jc w:val="both"/>
        <w:rPr>
          <w:b/>
          <w:bCs/>
          <w:color w:val="000000"/>
          <w:u w:val="single"/>
        </w:rPr>
      </w:pPr>
      <w:r w:rsidRPr="0065276C">
        <w:rPr>
          <w:b/>
          <w:bCs/>
          <w:color w:val="000000"/>
          <w:u w:val="single"/>
        </w:rPr>
        <w:t>The UN drug conventions as limitations of cognitive liberty</w:t>
      </w:r>
    </w:p>
    <w:p w14:paraId="571F1935" w14:textId="7EBF995A" w:rsidR="00D24797" w:rsidRPr="005819F4" w:rsidRDefault="00D24797" w:rsidP="00BD3A5F">
      <w:pPr>
        <w:pStyle w:val="ListParagraph"/>
        <w:numPr>
          <w:ilvl w:val="0"/>
          <w:numId w:val="11"/>
        </w:numPr>
        <w:pBdr>
          <w:top w:val="nil"/>
          <w:left w:val="nil"/>
          <w:bottom w:val="nil"/>
          <w:right w:val="nil"/>
          <w:between w:val="nil"/>
        </w:pBdr>
        <w:spacing w:after="200" w:line="276" w:lineRule="auto"/>
        <w:ind w:left="426" w:hanging="426"/>
        <w:contextualSpacing w:val="0"/>
        <w:jc w:val="both"/>
        <w:rPr>
          <w:color w:val="000000"/>
        </w:rPr>
      </w:pPr>
      <w:r w:rsidRPr="005819F4">
        <w:rPr>
          <w:color w:val="000000"/>
        </w:rPr>
        <w:t xml:space="preserve">The use of psychoactive substances is </w:t>
      </w:r>
      <w:r w:rsidR="0065276C">
        <w:rPr>
          <w:color w:val="000000"/>
        </w:rPr>
        <w:t>routinely</w:t>
      </w:r>
      <w:r w:rsidRPr="005819F4">
        <w:rPr>
          <w:color w:val="000000"/>
        </w:rPr>
        <w:t xml:space="preserve"> subject to state intervention. The scope and content of such interventions can vary dramatically</w:t>
      </w:r>
      <w:r w:rsidRPr="005819F4">
        <w:rPr>
          <w:rStyle w:val="EndnoteReference"/>
          <w:color w:val="000000"/>
        </w:rPr>
        <w:endnoteReference w:id="26"/>
      </w:r>
      <w:r w:rsidRPr="005819F4">
        <w:rPr>
          <w:color w:val="000000"/>
        </w:rPr>
        <w:t>, from the light restrictions applicable to very low-risk substances like coffee, to the complex system of regulations and taxation applied to tobacco and alcohol (</w:t>
      </w:r>
      <w:r w:rsidR="0065276C">
        <w:rPr>
          <w:color w:val="000000"/>
        </w:rPr>
        <w:t xml:space="preserve">as well as to </w:t>
      </w:r>
      <w:r w:rsidRPr="005819F4">
        <w:rPr>
          <w:color w:val="000000"/>
        </w:rPr>
        <w:t xml:space="preserve">cannabis in a growing number of jurisdictions), </w:t>
      </w:r>
      <w:r w:rsidR="0065276C">
        <w:rPr>
          <w:color w:val="000000"/>
        </w:rPr>
        <w:t xml:space="preserve">or </w:t>
      </w:r>
      <w:r w:rsidRPr="005819F4">
        <w:rPr>
          <w:color w:val="000000"/>
        </w:rPr>
        <w:t>to the outright prohibition of illegal drugs.</w:t>
      </w:r>
    </w:p>
    <w:p w14:paraId="4903E164" w14:textId="31388B57" w:rsidR="00D24797" w:rsidRPr="005819F4" w:rsidRDefault="0065276C" w:rsidP="00FE60A4">
      <w:pPr>
        <w:pStyle w:val="ListParagraph"/>
        <w:numPr>
          <w:ilvl w:val="0"/>
          <w:numId w:val="11"/>
        </w:numPr>
        <w:pBdr>
          <w:top w:val="nil"/>
          <w:left w:val="nil"/>
          <w:bottom w:val="nil"/>
          <w:right w:val="nil"/>
          <w:between w:val="nil"/>
        </w:pBdr>
        <w:spacing w:after="200" w:line="276" w:lineRule="auto"/>
        <w:ind w:left="426" w:hanging="426"/>
        <w:contextualSpacing w:val="0"/>
        <w:jc w:val="both"/>
        <w:rPr>
          <w:color w:val="000000"/>
        </w:rPr>
      </w:pPr>
      <w:r>
        <w:rPr>
          <w:color w:val="000000"/>
        </w:rPr>
        <w:t>In most countries, the content and structure of drug laws</w:t>
      </w:r>
      <w:r>
        <w:t xml:space="preserve"> is derived from the three UN drug convention</w:t>
      </w:r>
      <w:r w:rsidR="00B120D8">
        <w:t>s</w:t>
      </w:r>
      <w:r w:rsidR="00B120D8">
        <w:rPr>
          <w:rStyle w:val="EndnoteReference"/>
        </w:rPr>
        <w:endnoteReference w:id="27"/>
      </w:r>
      <w:r w:rsidR="00D24797" w:rsidRPr="005819F4">
        <w:rPr>
          <w:color w:val="000000"/>
        </w:rPr>
        <w:t xml:space="preserve">. The UN drug control conventions are binding agreements that require countries to ban the supply of </w:t>
      </w:r>
      <w:r w:rsidR="00B120D8">
        <w:rPr>
          <w:color w:val="000000"/>
        </w:rPr>
        <w:t>scheduled</w:t>
      </w:r>
      <w:r w:rsidR="00D24797" w:rsidRPr="005819F4">
        <w:rPr>
          <w:color w:val="000000"/>
        </w:rPr>
        <w:t xml:space="preserve"> drugs for non-medical or scientific us</w:t>
      </w:r>
      <w:r>
        <w:rPr>
          <w:color w:val="000000"/>
        </w:rPr>
        <w:t>es</w:t>
      </w:r>
      <w:r w:rsidR="00D24797" w:rsidRPr="005819F4">
        <w:rPr>
          <w:color w:val="000000"/>
        </w:rPr>
        <w:t>. </w:t>
      </w:r>
      <w:r w:rsidR="00FE60A4" w:rsidRPr="005819F4">
        <w:rPr>
          <w:color w:val="000000"/>
        </w:rPr>
        <w:t xml:space="preserve">The drug conventions mandate the imposition of </w:t>
      </w:r>
      <w:r w:rsidR="005819F4">
        <w:rPr>
          <w:color w:val="000000"/>
        </w:rPr>
        <w:t xml:space="preserve">strict </w:t>
      </w:r>
      <w:r w:rsidR="00FE60A4" w:rsidRPr="005819F4">
        <w:rPr>
          <w:color w:val="000000"/>
        </w:rPr>
        <w:t>control</w:t>
      </w:r>
      <w:r>
        <w:rPr>
          <w:color w:val="000000"/>
        </w:rPr>
        <w:t>s</w:t>
      </w:r>
      <w:r w:rsidR="00FE60A4" w:rsidRPr="005819F4">
        <w:rPr>
          <w:color w:val="000000"/>
        </w:rPr>
        <w:t xml:space="preserve"> on substances like cannabis and its derivates, psiloscybin, </w:t>
      </w:r>
      <w:r w:rsidR="005819F4" w:rsidRPr="005819F4">
        <w:rPr>
          <w:color w:val="000000"/>
        </w:rPr>
        <w:t>mescaline</w:t>
      </w:r>
      <w:r w:rsidR="005819F4">
        <w:rPr>
          <w:color w:val="000000"/>
        </w:rPr>
        <w:t xml:space="preserve">, </w:t>
      </w:r>
      <w:r w:rsidR="005819F4" w:rsidRPr="005819F4">
        <w:rPr>
          <w:color w:val="000000"/>
        </w:rPr>
        <w:t xml:space="preserve">LSD, MDMA, </w:t>
      </w:r>
      <w:r w:rsidR="006E596D">
        <w:rPr>
          <w:color w:val="000000"/>
        </w:rPr>
        <w:t xml:space="preserve">the coca leaf, </w:t>
      </w:r>
      <w:r w:rsidR="00FE60A4" w:rsidRPr="005819F4">
        <w:rPr>
          <w:color w:val="000000"/>
        </w:rPr>
        <w:t>cocaine, heroin, and opium.</w:t>
      </w:r>
      <w:r w:rsidR="00FE60A4" w:rsidRPr="005819F4">
        <w:rPr>
          <w:rStyle w:val="EndnoteReference"/>
          <w:color w:val="000000"/>
        </w:rPr>
        <w:endnoteReference w:id="28"/>
      </w:r>
      <w:r w:rsidR="00FE60A4" w:rsidRPr="005819F4">
        <w:rPr>
          <w:color w:val="000000"/>
        </w:rPr>
        <w:t xml:space="preserve"> </w:t>
      </w:r>
    </w:p>
    <w:p w14:paraId="2D14974B" w14:textId="0CFA54BC" w:rsidR="00FE60A4" w:rsidRPr="005819F4" w:rsidRDefault="00FE60A4" w:rsidP="00FE60A4">
      <w:pPr>
        <w:pStyle w:val="ListParagraph"/>
        <w:numPr>
          <w:ilvl w:val="0"/>
          <w:numId w:val="11"/>
        </w:numPr>
        <w:pBdr>
          <w:top w:val="nil"/>
          <w:left w:val="nil"/>
          <w:bottom w:val="nil"/>
          <w:right w:val="nil"/>
          <w:between w:val="nil"/>
        </w:pBdr>
        <w:spacing w:after="200" w:line="276" w:lineRule="auto"/>
        <w:ind w:left="426" w:hanging="426"/>
        <w:contextualSpacing w:val="0"/>
        <w:jc w:val="both"/>
        <w:rPr>
          <w:color w:val="000000"/>
        </w:rPr>
      </w:pPr>
      <w:r w:rsidRPr="005819F4">
        <w:rPr>
          <w:color w:val="000000"/>
        </w:rPr>
        <w:lastRenderedPageBreak/>
        <w:t>It is important to note that, while the UN drug conventions are almost universally ratified, they do not represent a current international consensus on the prohibition of drugs. In recent years, over thirty countries have moved to decriminalise the use and possession of all substances</w:t>
      </w:r>
      <w:r w:rsidR="005819F4">
        <w:rPr>
          <w:rStyle w:val="EndnoteReference"/>
          <w:color w:val="000000"/>
        </w:rPr>
        <w:endnoteReference w:id="29"/>
      </w:r>
      <w:r w:rsidRPr="005819F4">
        <w:rPr>
          <w:color w:val="000000"/>
        </w:rPr>
        <w:t xml:space="preserve">, whereas </w:t>
      </w:r>
      <w:r w:rsidR="0001644E">
        <w:rPr>
          <w:color w:val="000000"/>
        </w:rPr>
        <w:t xml:space="preserve">dozens of millions of people live in jurisdictions that </w:t>
      </w:r>
      <w:r w:rsidR="0065276C">
        <w:rPr>
          <w:color w:val="000000"/>
        </w:rPr>
        <w:t xml:space="preserve">have </w:t>
      </w:r>
      <w:r w:rsidRPr="005819F4">
        <w:rPr>
          <w:color w:val="000000"/>
        </w:rPr>
        <w:t>created legal markets for the non-medical use of cannabis</w:t>
      </w:r>
      <w:r w:rsidR="00B120D8">
        <w:rPr>
          <w:color w:val="000000"/>
        </w:rPr>
        <w:t>.</w:t>
      </w:r>
      <w:r w:rsidR="005819F4">
        <w:rPr>
          <w:rStyle w:val="EndnoteReference"/>
          <w:color w:val="000000"/>
        </w:rPr>
        <w:endnoteReference w:id="30"/>
      </w:r>
      <w:r w:rsidRPr="005819F4">
        <w:rPr>
          <w:color w:val="000000"/>
        </w:rPr>
        <w:t xml:space="preserve"> </w:t>
      </w:r>
      <w:r w:rsidR="00B120D8">
        <w:rPr>
          <w:color w:val="000000"/>
        </w:rPr>
        <w:t>B</w:t>
      </w:r>
      <w:r w:rsidR="00470AA8">
        <w:rPr>
          <w:color w:val="000000"/>
        </w:rPr>
        <w:t xml:space="preserve">ills </w:t>
      </w:r>
      <w:r w:rsidRPr="005819F4">
        <w:rPr>
          <w:color w:val="000000"/>
        </w:rPr>
        <w:t xml:space="preserve">to regulate </w:t>
      </w:r>
      <w:r w:rsidR="005819F4">
        <w:rPr>
          <w:color w:val="000000"/>
        </w:rPr>
        <w:t>the coca leaf and its derivates</w:t>
      </w:r>
      <w:r w:rsidR="005819F4">
        <w:rPr>
          <w:rStyle w:val="EndnoteReference"/>
          <w:color w:val="000000"/>
        </w:rPr>
        <w:endnoteReference w:id="31"/>
      </w:r>
      <w:r w:rsidR="005819F4">
        <w:rPr>
          <w:color w:val="000000"/>
        </w:rPr>
        <w:t xml:space="preserve"> </w:t>
      </w:r>
      <w:r w:rsidRPr="005819F4">
        <w:rPr>
          <w:color w:val="000000"/>
        </w:rPr>
        <w:t xml:space="preserve">have </w:t>
      </w:r>
      <w:r w:rsidR="00470AA8">
        <w:rPr>
          <w:color w:val="000000"/>
        </w:rPr>
        <w:t>already been tabled</w:t>
      </w:r>
      <w:r w:rsidRPr="005819F4">
        <w:rPr>
          <w:color w:val="000000"/>
        </w:rPr>
        <w:t>.</w:t>
      </w:r>
    </w:p>
    <w:p w14:paraId="06FEA8EB" w14:textId="56AC973E" w:rsidR="005819F4" w:rsidRDefault="00470AA8" w:rsidP="00BD3A5F">
      <w:pPr>
        <w:pStyle w:val="ListParagraph"/>
        <w:numPr>
          <w:ilvl w:val="0"/>
          <w:numId w:val="11"/>
        </w:numPr>
        <w:pBdr>
          <w:top w:val="nil"/>
          <w:left w:val="nil"/>
          <w:bottom w:val="nil"/>
          <w:right w:val="nil"/>
          <w:between w:val="nil"/>
        </w:pBdr>
        <w:spacing w:after="200" w:line="276" w:lineRule="auto"/>
        <w:ind w:left="426" w:hanging="426"/>
        <w:contextualSpacing w:val="0"/>
        <w:jc w:val="both"/>
        <w:rPr>
          <w:color w:val="000000"/>
        </w:rPr>
      </w:pPr>
      <w:r>
        <w:rPr>
          <w:color w:val="000000"/>
        </w:rPr>
        <w:t xml:space="preserve">Some plants and preparations, such as the </w:t>
      </w:r>
      <w:r w:rsidR="005819F4">
        <w:rPr>
          <w:color w:val="000000"/>
        </w:rPr>
        <w:t xml:space="preserve">peyote </w:t>
      </w:r>
      <w:r>
        <w:rPr>
          <w:color w:val="000000"/>
        </w:rPr>
        <w:t xml:space="preserve">cactus </w:t>
      </w:r>
      <w:r w:rsidR="005819F4">
        <w:rPr>
          <w:color w:val="000000"/>
        </w:rPr>
        <w:t>and the ayahuasca decoction</w:t>
      </w:r>
      <w:r>
        <w:rPr>
          <w:color w:val="000000"/>
        </w:rPr>
        <w:t>,</w:t>
      </w:r>
      <w:r w:rsidR="005819F4">
        <w:rPr>
          <w:color w:val="000000"/>
        </w:rPr>
        <w:t xml:space="preserve"> are not </w:t>
      </w:r>
      <w:r>
        <w:rPr>
          <w:color w:val="000000"/>
        </w:rPr>
        <w:t xml:space="preserve">in themselves </w:t>
      </w:r>
      <w:r w:rsidR="005819F4">
        <w:rPr>
          <w:color w:val="000000"/>
        </w:rPr>
        <w:t>subject to international control</w:t>
      </w:r>
      <w:r>
        <w:rPr>
          <w:color w:val="000000"/>
        </w:rPr>
        <w:t xml:space="preserve">, </w:t>
      </w:r>
      <w:r w:rsidR="0001644E">
        <w:rPr>
          <w:color w:val="000000"/>
        </w:rPr>
        <w:t xml:space="preserve">but </w:t>
      </w:r>
      <w:r>
        <w:rPr>
          <w:color w:val="000000"/>
        </w:rPr>
        <w:t xml:space="preserve">they contain substances </w:t>
      </w:r>
      <w:r w:rsidR="00B120D8">
        <w:rPr>
          <w:color w:val="000000"/>
        </w:rPr>
        <w:t xml:space="preserve">like </w:t>
      </w:r>
      <w:r>
        <w:rPr>
          <w:color w:val="000000"/>
        </w:rPr>
        <w:t>DMT or mescaline, which are subject to international control</w:t>
      </w:r>
      <w:r w:rsidR="005819F4">
        <w:rPr>
          <w:color w:val="000000"/>
        </w:rPr>
        <w:t xml:space="preserve">. </w:t>
      </w:r>
      <w:r>
        <w:rPr>
          <w:color w:val="000000"/>
        </w:rPr>
        <w:t xml:space="preserve">In practice, </w:t>
      </w:r>
      <w:r w:rsidR="0001644E">
        <w:rPr>
          <w:color w:val="000000"/>
        </w:rPr>
        <w:t xml:space="preserve">some </w:t>
      </w:r>
      <w:r>
        <w:rPr>
          <w:color w:val="000000"/>
        </w:rPr>
        <w:t>countries have chosen to explicitly ban them, while in other</w:t>
      </w:r>
      <w:r w:rsidR="00FD0A9D">
        <w:rPr>
          <w:color w:val="000000"/>
        </w:rPr>
        <w:t xml:space="preserve"> countries</w:t>
      </w:r>
      <w:r>
        <w:rPr>
          <w:color w:val="000000"/>
        </w:rPr>
        <w:t xml:space="preserve"> their </w:t>
      </w:r>
      <w:r w:rsidR="00FD0A9D">
        <w:rPr>
          <w:color w:val="000000"/>
        </w:rPr>
        <w:t xml:space="preserve">status </w:t>
      </w:r>
      <w:r>
        <w:rPr>
          <w:color w:val="000000"/>
        </w:rPr>
        <w:t>is either regulated or in a grey area.</w:t>
      </w:r>
      <w:r>
        <w:rPr>
          <w:rStyle w:val="EndnoteReference"/>
          <w:color w:val="000000"/>
        </w:rPr>
        <w:endnoteReference w:id="32"/>
      </w:r>
    </w:p>
    <w:p w14:paraId="2BC7317F" w14:textId="52A72613" w:rsidR="0001644E" w:rsidRPr="0001644E" w:rsidRDefault="0001644E" w:rsidP="0001644E">
      <w:pPr>
        <w:pBdr>
          <w:top w:val="nil"/>
          <w:left w:val="nil"/>
          <w:bottom w:val="nil"/>
          <w:right w:val="nil"/>
          <w:between w:val="nil"/>
        </w:pBdr>
        <w:spacing w:after="200" w:line="276" w:lineRule="auto"/>
        <w:jc w:val="both"/>
        <w:rPr>
          <w:b/>
          <w:bCs/>
          <w:color w:val="000000"/>
          <w:u w:val="single"/>
        </w:rPr>
      </w:pPr>
      <w:r w:rsidRPr="0001644E">
        <w:rPr>
          <w:b/>
          <w:bCs/>
          <w:color w:val="000000"/>
          <w:u w:val="single"/>
        </w:rPr>
        <w:t xml:space="preserve">The UN drug conventions as </w:t>
      </w:r>
      <w:r>
        <w:rPr>
          <w:b/>
          <w:bCs/>
          <w:color w:val="000000"/>
          <w:u w:val="single"/>
        </w:rPr>
        <w:t xml:space="preserve">an </w:t>
      </w:r>
      <w:r w:rsidRPr="0001644E">
        <w:rPr>
          <w:b/>
          <w:bCs/>
          <w:color w:val="000000"/>
          <w:u w:val="single"/>
        </w:rPr>
        <w:t>arbitrary</w:t>
      </w:r>
      <w:r>
        <w:rPr>
          <w:b/>
          <w:bCs/>
          <w:color w:val="000000"/>
          <w:u w:val="single"/>
        </w:rPr>
        <w:t xml:space="preserve"> and</w:t>
      </w:r>
      <w:r w:rsidRPr="0001644E">
        <w:rPr>
          <w:b/>
          <w:bCs/>
          <w:color w:val="000000"/>
          <w:u w:val="single"/>
        </w:rPr>
        <w:t xml:space="preserve"> unnecessary</w:t>
      </w:r>
      <w:r>
        <w:rPr>
          <w:b/>
          <w:bCs/>
          <w:color w:val="000000"/>
          <w:u w:val="single"/>
        </w:rPr>
        <w:t xml:space="preserve"> </w:t>
      </w:r>
      <w:r w:rsidRPr="0001644E">
        <w:rPr>
          <w:b/>
          <w:bCs/>
          <w:color w:val="000000"/>
          <w:u w:val="single"/>
        </w:rPr>
        <w:t>limitation</w:t>
      </w:r>
      <w:r>
        <w:rPr>
          <w:b/>
          <w:bCs/>
          <w:color w:val="000000"/>
          <w:u w:val="single"/>
        </w:rPr>
        <w:t xml:space="preserve"> </w:t>
      </w:r>
      <w:r w:rsidR="00C05CE2">
        <w:rPr>
          <w:b/>
          <w:bCs/>
          <w:color w:val="000000"/>
          <w:u w:val="single"/>
        </w:rPr>
        <w:t>to</w:t>
      </w:r>
      <w:r>
        <w:rPr>
          <w:b/>
          <w:bCs/>
          <w:color w:val="000000"/>
          <w:u w:val="single"/>
        </w:rPr>
        <w:t xml:space="preserve"> cognitive liberty</w:t>
      </w:r>
    </w:p>
    <w:p w14:paraId="12A081B4" w14:textId="1671BCC0" w:rsidR="00FD0A9D" w:rsidRDefault="0014611B" w:rsidP="0001644E">
      <w:pPr>
        <w:pStyle w:val="ListParagraph"/>
        <w:numPr>
          <w:ilvl w:val="0"/>
          <w:numId w:val="11"/>
        </w:numPr>
        <w:pBdr>
          <w:top w:val="nil"/>
          <w:left w:val="nil"/>
          <w:bottom w:val="nil"/>
          <w:right w:val="nil"/>
          <w:between w:val="nil"/>
        </w:pBdr>
        <w:spacing w:after="200" w:line="276" w:lineRule="auto"/>
        <w:ind w:left="426" w:hanging="426"/>
        <w:contextualSpacing w:val="0"/>
        <w:jc w:val="both"/>
        <w:rPr>
          <w:color w:val="000000"/>
        </w:rPr>
      </w:pPr>
      <w:r w:rsidRPr="0001644E">
        <w:rPr>
          <w:color w:val="000000"/>
        </w:rPr>
        <w:t xml:space="preserve">A </w:t>
      </w:r>
      <w:r w:rsidR="0001644E">
        <w:rPr>
          <w:color w:val="000000"/>
        </w:rPr>
        <w:t xml:space="preserve">limitation on a right is only lawful when it is </w:t>
      </w:r>
      <w:r w:rsidRPr="0001644E">
        <w:rPr>
          <w:color w:val="000000"/>
        </w:rPr>
        <w:t xml:space="preserve">necessary to protect </w:t>
      </w:r>
      <w:r w:rsidR="00FD0A9D">
        <w:rPr>
          <w:color w:val="000000"/>
        </w:rPr>
        <w:t>its stated purpose</w:t>
      </w:r>
      <w:r w:rsidRPr="0001644E">
        <w:rPr>
          <w:color w:val="000000"/>
        </w:rPr>
        <w:t xml:space="preserve">, </w:t>
      </w:r>
      <w:r w:rsidR="00FD0A9D">
        <w:rPr>
          <w:color w:val="000000"/>
        </w:rPr>
        <w:t>and when it is not arbitrary</w:t>
      </w:r>
      <w:r w:rsidRPr="0001644E">
        <w:rPr>
          <w:color w:val="000000"/>
        </w:rPr>
        <w:t>. In that regard, drug policy ex</w:t>
      </w:r>
      <w:r w:rsidR="00EB73C9" w:rsidRPr="0001644E">
        <w:rPr>
          <w:color w:val="000000"/>
        </w:rPr>
        <w:t>p</w:t>
      </w:r>
      <w:r w:rsidRPr="0001644E">
        <w:rPr>
          <w:color w:val="000000"/>
        </w:rPr>
        <w:t xml:space="preserve">erts have </w:t>
      </w:r>
      <w:r w:rsidR="00C05CE2">
        <w:rPr>
          <w:color w:val="000000"/>
        </w:rPr>
        <w:t>noted</w:t>
      </w:r>
      <w:r w:rsidRPr="0001644E">
        <w:rPr>
          <w:color w:val="000000"/>
        </w:rPr>
        <w:t xml:space="preserve"> </w:t>
      </w:r>
      <w:r w:rsidR="00FD0A9D">
        <w:rPr>
          <w:color w:val="000000"/>
        </w:rPr>
        <w:t xml:space="preserve">for years </w:t>
      </w:r>
      <w:r w:rsidRPr="0001644E">
        <w:rPr>
          <w:color w:val="000000"/>
        </w:rPr>
        <w:t xml:space="preserve">that the </w:t>
      </w:r>
      <w:r w:rsidR="006376B3" w:rsidRPr="0001644E">
        <w:rPr>
          <w:color w:val="000000"/>
        </w:rPr>
        <w:t xml:space="preserve">international scheduling </w:t>
      </w:r>
      <w:r w:rsidR="00FD0A9D">
        <w:rPr>
          <w:color w:val="000000"/>
        </w:rPr>
        <w:t xml:space="preserve">of </w:t>
      </w:r>
      <w:r w:rsidR="006376B3" w:rsidRPr="0001644E">
        <w:rPr>
          <w:color w:val="000000"/>
        </w:rPr>
        <w:t xml:space="preserve">drugs </w:t>
      </w:r>
      <w:r w:rsidR="00FD0A9D">
        <w:rPr>
          <w:color w:val="000000"/>
        </w:rPr>
        <w:t xml:space="preserve">established under the UN drugs conventions </w:t>
      </w:r>
      <w:r w:rsidR="00C05CE2">
        <w:rPr>
          <w:color w:val="000000"/>
        </w:rPr>
        <w:t xml:space="preserve">is inconsistent with the existing </w:t>
      </w:r>
      <w:r w:rsidR="006376B3" w:rsidRPr="0001644E">
        <w:rPr>
          <w:color w:val="000000"/>
        </w:rPr>
        <w:t xml:space="preserve">scientific evidence on </w:t>
      </w:r>
      <w:r w:rsidR="00FD0A9D">
        <w:rPr>
          <w:color w:val="000000"/>
        </w:rPr>
        <w:t>their harms to health</w:t>
      </w:r>
      <w:r w:rsidR="00C05CE2">
        <w:rPr>
          <w:color w:val="000000"/>
        </w:rPr>
        <w:t>, and that it can only be explained by highly ideological and political consideration</w:t>
      </w:r>
      <w:r w:rsidR="00126799">
        <w:rPr>
          <w:color w:val="000000"/>
        </w:rPr>
        <w:t>s</w:t>
      </w:r>
      <w:r w:rsidR="00C05CE2">
        <w:rPr>
          <w:color w:val="000000"/>
        </w:rPr>
        <w:t>.</w:t>
      </w:r>
      <w:r w:rsidR="006376B3" w:rsidRPr="0001644E">
        <w:rPr>
          <w:color w:val="000000"/>
        </w:rPr>
        <w:t xml:space="preserve"> </w:t>
      </w:r>
    </w:p>
    <w:p w14:paraId="64BAC3D4" w14:textId="4C04A3D8" w:rsidR="00561830" w:rsidRPr="0001644E" w:rsidRDefault="000D4C71" w:rsidP="0001644E">
      <w:pPr>
        <w:pStyle w:val="ListParagraph"/>
        <w:numPr>
          <w:ilvl w:val="0"/>
          <w:numId w:val="11"/>
        </w:numPr>
        <w:pBdr>
          <w:top w:val="nil"/>
          <w:left w:val="nil"/>
          <w:bottom w:val="nil"/>
          <w:right w:val="nil"/>
          <w:between w:val="nil"/>
        </w:pBdr>
        <w:spacing w:after="200" w:line="276" w:lineRule="auto"/>
        <w:ind w:left="426" w:hanging="426"/>
        <w:contextualSpacing w:val="0"/>
        <w:jc w:val="both"/>
        <w:rPr>
          <w:color w:val="000000"/>
        </w:rPr>
      </w:pPr>
      <w:r>
        <w:rPr>
          <w:noProof/>
        </w:rPr>
        <w:drawing>
          <wp:anchor distT="0" distB="0" distL="114300" distR="114300" simplePos="0" relativeHeight="251659264" behindDoc="0" locked="0" layoutInCell="1" allowOverlap="1" wp14:anchorId="41F86624" wp14:editId="6581E3FB">
            <wp:simplePos x="0" y="0"/>
            <wp:positionH relativeFrom="column">
              <wp:posOffset>1236980</wp:posOffset>
            </wp:positionH>
            <wp:positionV relativeFrom="paragraph">
              <wp:posOffset>2434780</wp:posOffset>
            </wp:positionV>
            <wp:extent cx="3679825" cy="22047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34139" t="27790" r="13094" b="16009"/>
                    <a:stretch/>
                  </pic:blipFill>
                  <pic:spPr bwMode="auto">
                    <a:xfrm>
                      <a:off x="0" y="0"/>
                      <a:ext cx="3679825" cy="2204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0A9D">
        <w:rPr>
          <w:color w:val="000000"/>
        </w:rPr>
        <w:t>For instance, s</w:t>
      </w:r>
      <w:r w:rsidR="000B73DD" w:rsidRPr="0001644E">
        <w:rPr>
          <w:color w:val="000000"/>
        </w:rPr>
        <w:t xml:space="preserve">cientists have pointed out that </w:t>
      </w:r>
      <w:r w:rsidR="00561830" w:rsidRPr="0001644E">
        <w:rPr>
          <w:color w:val="000000"/>
        </w:rPr>
        <w:t xml:space="preserve">level of </w:t>
      </w:r>
      <w:r w:rsidR="000B73DD" w:rsidRPr="0001644E">
        <w:rPr>
          <w:color w:val="000000"/>
        </w:rPr>
        <w:t>harm</w:t>
      </w:r>
      <w:r w:rsidR="00FD0A9D">
        <w:rPr>
          <w:color w:val="000000"/>
        </w:rPr>
        <w:t>fulnes</w:t>
      </w:r>
      <w:r w:rsidR="000B73DD" w:rsidRPr="0001644E">
        <w:rPr>
          <w:color w:val="000000"/>
        </w:rPr>
        <w:t>s to individual</w:t>
      </w:r>
      <w:r w:rsidR="00FD0A9D">
        <w:rPr>
          <w:color w:val="000000"/>
        </w:rPr>
        <w:t>s</w:t>
      </w:r>
      <w:r w:rsidR="000B73DD" w:rsidRPr="0001644E">
        <w:rPr>
          <w:color w:val="000000"/>
        </w:rPr>
        <w:t xml:space="preserve"> (</w:t>
      </w:r>
      <w:r w:rsidR="00FD0A9D">
        <w:rPr>
          <w:color w:val="000000"/>
        </w:rPr>
        <w:t xml:space="preserve">including </w:t>
      </w:r>
      <w:r w:rsidR="000B73DD" w:rsidRPr="0001644E">
        <w:rPr>
          <w:color w:val="000000"/>
        </w:rPr>
        <w:t>mortality, dependence, impairment of mental functioning, or loss of relationships) and to society (</w:t>
      </w:r>
      <w:r w:rsidR="00FD0A9D">
        <w:rPr>
          <w:color w:val="000000"/>
        </w:rPr>
        <w:t xml:space="preserve">including </w:t>
      </w:r>
      <w:r w:rsidR="000B73DD" w:rsidRPr="0001644E">
        <w:rPr>
          <w:color w:val="000000"/>
        </w:rPr>
        <w:t xml:space="preserve">crime, economic cost, or environmental damage) associated to </w:t>
      </w:r>
      <w:r w:rsidR="00561830" w:rsidRPr="0001644E">
        <w:rPr>
          <w:color w:val="000000"/>
        </w:rPr>
        <w:t>cannabi</w:t>
      </w:r>
      <w:r w:rsidR="000B73DD" w:rsidRPr="0001644E">
        <w:rPr>
          <w:color w:val="000000"/>
        </w:rPr>
        <w:t>s</w:t>
      </w:r>
      <w:r w:rsidR="00601152">
        <w:rPr>
          <w:color w:val="000000"/>
        </w:rPr>
        <w:t xml:space="preserve"> </w:t>
      </w:r>
      <w:r w:rsidR="00FD0A9D">
        <w:rPr>
          <w:color w:val="000000"/>
        </w:rPr>
        <w:t xml:space="preserve">is substantially lower </w:t>
      </w:r>
      <w:r w:rsidR="00561830" w:rsidRPr="0001644E">
        <w:rPr>
          <w:color w:val="000000"/>
        </w:rPr>
        <w:t xml:space="preserve">than other substances currently placed </w:t>
      </w:r>
      <w:r w:rsidR="00FD0A9D">
        <w:rPr>
          <w:color w:val="000000"/>
        </w:rPr>
        <w:t>under similar international controls</w:t>
      </w:r>
      <w:r>
        <w:rPr>
          <w:color w:val="000000"/>
        </w:rPr>
        <w:t xml:space="preserve">, such as </w:t>
      </w:r>
      <w:r w:rsidR="00561830" w:rsidRPr="0001644E">
        <w:rPr>
          <w:color w:val="000000"/>
        </w:rPr>
        <w:t>cocaine</w:t>
      </w:r>
      <w:r>
        <w:rPr>
          <w:color w:val="000000"/>
        </w:rPr>
        <w:t xml:space="preserve"> or</w:t>
      </w:r>
      <w:r w:rsidR="00561830" w:rsidRPr="0001644E">
        <w:rPr>
          <w:color w:val="000000"/>
        </w:rPr>
        <w:t xml:space="preserve"> heroin, and also lower than legal substances like tobacco and alcohol (</w:t>
      </w:r>
      <w:r w:rsidR="00FD0A9D">
        <w:rPr>
          <w:color w:val="000000"/>
        </w:rPr>
        <w:t xml:space="preserve">see </w:t>
      </w:r>
      <w:r w:rsidR="00561830" w:rsidRPr="0001644E">
        <w:rPr>
          <w:color w:val="000000"/>
        </w:rPr>
        <w:t>Figure 1).</w:t>
      </w:r>
      <w:r w:rsidR="000B73DD">
        <w:rPr>
          <w:rStyle w:val="EndnoteReference"/>
          <w:color w:val="000000"/>
        </w:rPr>
        <w:endnoteReference w:id="33"/>
      </w:r>
      <w:r w:rsidR="00561830" w:rsidRPr="0001644E">
        <w:rPr>
          <w:color w:val="000000"/>
        </w:rPr>
        <w:t xml:space="preserve"> </w:t>
      </w:r>
      <w:r w:rsidR="00FD0A9D">
        <w:rPr>
          <w:color w:val="000000"/>
        </w:rPr>
        <w:t>Evidence also shows that p</w:t>
      </w:r>
      <w:r w:rsidR="00561830" w:rsidRPr="0001644E">
        <w:rPr>
          <w:color w:val="000000"/>
        </w:rPr>
        <w:t>sychedelic drugs</w:t>
      </w:r>
      <w:r w:rsidR="000B73DD" w:rsidRPr="0001644E">
        <w:rPr>
          <w:color w:val="000000"/>
        </w:rPr>
        <w:t xml:space="preserve"> </w:t>
      </w:r>
      <w:r w:rsidR="00561830" w:rsidRPr="0001644E">
        <w:rPr>
          <w:color w:val="000000"/>
          <w:shd w:val="clear" w:color="auto" w:fill="FFFFFF"/>
        </w:rPr>
        <w:t>are physiologically safe</w:t>
      </w:r>
      <w:r w:rsidR="00FD0A9D">
        <w:rPr>
          <w:color w:val="000000"/>
          <w:shd w:val="clear" w:color="auto" w:fill="FFFFFF"/>
        </w:rPr>
        <w:t>,</w:t>
      </w:r>
      <w:r w:rsidR="00561830" w:rsidRPr="0001644E">
        <w:rPr>
          <w:color w:val="000000"/>
          <w:shd w:val="clear" w:color="auto" w:fill="FFFFFF"/>
        </w:rPr>
        <w:t xml:space="preserve"> and </w:t>
      </w:r>
      <w:r w:rsidR="00FD0A9D">
        <w:rPr>
          <w:color w:val="000000"/>
          <w:shd w:val="clear" w:color="auto" w:fill="FFFFFF"/>
        </w:rPr>
        <w:t xml:space="preserve">that they </w:t>
      </w:r>
      <w:r w:rsidR="00561830" w:rsidRPr="0001644E">
        <w:rPr>
          <w:color w:val="000000"/>
          <w:shd w:val="clear" w:color="auto" w:fill="FFFFFF"/>
        </w:rPr>
        <w:t>do not lead to dependence or addiction</w:t>
      </w:r>
      <w:r>
        <w:rPr>
          <w:color w:val="000000"/>
          <w:shd w:val="clear" w:color="auto" w:fill="FFFFFF"/>
        </w:rPr>
        <w:t>;</w:t>
      </w:r>
      <w:r w:rsidR="00561830">
        <w:rPr>
          <w:rStyle w:val="EndnoteReference"/>
          <w:color w:val="000000"/>
          <w:shd w:val="clear" w:color="auto" w:fill="FFFFFF"/>
        </w:rPr>
        <w:endnoteReference w:id="34"/>
      </w:r>
      <w:r w:rsidR="000C41B2" w:rsidRPr="0001644E">
        <w:rPr>
          <w:color w:val="000000"/>
          <w:shd w:val="clear" w:color="auto" w:fill="FFFFFF"/>
        </w:rPr>
        <w:t xml:space="preserve"> </w:t>
      </w:r>
      <w:r w:rsidR="00601152">
        <w:rPr>
          <w:color w:val="000000"/>
          <w:shd w:val="clear" w:color="auto" w:fill="FFFFFF"/>
        </w:rPr>
        <w:t xml:space="preserve">though they are subject to </w:t>
      </w:r>
      <w:r>
        <w:rPr>
          <w:color w:val="000000"/>
          <w:shd w:val="clear" w:color="auto" w:fill="FFFFFF"/>
        </w:rPr>
        <w:t>strict</w:t>
      </w:r>
      <w:r w:rsidR="00601152">
        <w:rPr>
          <w:color w:val="000000"/>
          <w:shd w:val="clear" w:color="auto" w:fill="FFFFFF"/>
        </w:rPr>
        <w:t xml:space="preserve"> international control, </w:t>
      </w:r>
      <w:r w:rsidR="00FD0A9D">
        <w:rPr>
          <w:color w:val="000000"/>
          <w:shd w:val="clear" w:color="auto" w:fill="FFFFFF"/>
        </w:rPr>
        <w:t xml:space="preserve">they are </w:t>
      </w:r>
      <w:r w:rsidR="000C41B2" w:rsidRPr="0001644E">
        <w:rPr>
          <w:color w:val="000000"/>
          <w:shd w:val="clear" w:color="auto" w:fill="FFFFFF"/>
        </w:rPr>
        <w:t xml:space="preserve">at the bottom of the scale of harms </w:t>
      </w:r>
      <w:r w:rsidR="00FD0A9D">
        <w:rPr>
          <w:color w:val="000000"/>
          <w:shd w:val="clear" w:color="auto" w:fill="FFFFFF"/>
        </w:rPr>
        <w:t>illustrated by</w:t>
      </w:r>
      <w:r w:rsidR="000C41B2" w:rsidRPr="0001644E">
        <w:rPr>
          <w:color w:val="000000"/>
          <w:shd w:val="clear" w:color="auto" w:fill="FFFFFF"/>
        </w:rPr>
        <w:t xml:space="preserve"> Figure 1.</w:t>
      </w:r>
      <w:r>
        <w:rPr>
          <w:color w:val="000000"/>
          <w:shd w:val="clear" w:color="auto" w:fill="FFFFFF"/>
        </w:rPr>
        <w:t xml:space="preserve"> Consequently, it can be argued that the absolute prohibition of some of these substances constitutes an arbitrary and unnecessary infringement on the right to freedom of thought – and in fact, we shall see that this has been the basis for several court decisions to decriminalise cannabis use, in South Africa and in the Caribbean. </w:t>
      </w:r>
    </w:p>
    <w:p w14:paraId="0E0470EE" w14:textId="733B7BAD" w:rsidR="003857C0" w:rsidRDefault="003857C0" w:rsidP="003857C0">
      <w:pPr>
        <w:pStyle w:val="ListParagraph"/>
        <w:pBdr>
          <w:top w:val="nil"/>
          <w:left w:val="nil"/>
          <w:bottom w:val="nil"/>
          <w:right w:val="nil"/>
          <w:between w:val="nil"/>
        </w:pBdr>
        <w:spacing w:after="200" w:line="276" w:lineRule="auto"/>
        <w:jc w:val="both"/>
        <w:rPr>
          <w:noProof/>
        </w:rPr>
      </w:pPr>
    </w:p>
    <w:p w14:paraId="20B46CD8" w14:textId="34F69244" w:rsidR="003857C0" w:rsidRPr="00561830" w:rsidRDefault="003857C0" w:rsidP="003857C0">
      <w:pPr>
        <w:pStyle w:val="ListParagraph"/>
        <w:pBdr>
          <w:top w:val="nil"/>
          <w:left w:val="nil"/>
          <w:bottom w:val="nil"/>
          <w:right w:val="nil"/>
          <w:between w:val="nil"/>
        </w:pBdr>
        <w:spacing w:after="200" w:line="276" w:lineRule="auto"/>
        <w:jc w:val="both"/>
        <w:rPr>
          <w:color w:val="000000"/>
        </w:rPr>
      </w:pPr>
    </w:p>
    <w:p w14:paraId="0FE9DECD" w14:textId="47A41D32" w:rsidR="00561830" w:rsidRDefault="00561830" w:rsidP="00561830">
      <w:pPr>
        <w:pStyle w:val="ListParagraph"/>
        <w:pBdr>
          <w:top w:val="nil"/>
          <w:left w:val="nil"/>
          <w:bottom w:val="nil"/>
          <w:right w:val="nil"/>
          <w:between w:val="nil"/>
        </w:pBdr>
        <w:spacing w:after="200" w:line="276" w:lineRule="auto"/>
        <w:ind w:left="1440"/>
        <w:jc w:val="both"/>
        <w:rPr>
          <w:color w:val="000000"/>
        </w:rPr>
      </w:pPr>
    </w:p>
    <w:p w14:paraId="75973A9D" w14:textId="7E27E94D" w:rsidR="003857C0" w:rsidRDefault="003857C0" w:rsidP="00561830">
      <w:pPr>
        <w:pStyle w:val="ListParagraph"/>
        <w:pBdr>
          <w:top w:val="nil"/>
          <w:left w:val="nil"/>
          <w:bottom w:val="nil"/>
          <w:right w:val="nil"/>
          <w:between w:val="nil"/>
        </w:pBdr>
        <w:spacing w:after="200" w:line="276" w:lineRule="auto"/>
        <w:ind w:left="1440"/>
        <w:jc w:val="both"/>
        <w:rPr>
          <w:color w:val="000000"/>
        </w:rPr>
      </w:pPr>
    </w:p>
    <w:p w14:paraId="23A8A2D6" w14:textId="1899F010" w:rsidR="003857C0" w:rsidRDefault="003857C0" w:rsidP="00561830">
      <w:pPr>
        <w:pStyle w:val="ListParagraph"/>
        <w:pBdr>
          <w:top w:val="nil"/>
          <w:left w:val="nil"/>
          <w:bottom w:val="nil"/>
          <w:right w:val="nil"/>
          <w:between w:val="nil"/>
        </w:pBdr>
        <w:spacing w:after="200" w:line="276" w:lineRule="auto"/>
        <w:ind w:left="1440"/>
        <w:jc w:val="both"/>
        <w:rPr>
          <w:color w:val="000000"/>
        </w:rPr>
      </w:pPr>
    </w:p>
    <w:p w14:paraId="7FF37258" w14:textId="2E757AFA" w:rsidR="003857C0" w:rsidRDefault="003857C0" w:rsidP="00561830">
      <w:pPr>
        <w:pStyle w:val="ListParagraph"/>
        <w:pBdr>
          <w:top w:val="nil"/>
          <w:left w:val="nil"/>
          <w:bottom w:val="nil"/>
          <w:right w:val="nil"/>
          <w:between w:val="nil"/>
        </w:pBdr>
        <w:spacing w:after="200" w:line="276" w:lineRule="auto"/>
        <w:ind w:left="1440"/>
        <w:jc w:val="both"/>
        <w:rPr>
          <w:color w:val="000000"/>
        </w:rPr>
      </w:pPr>
    </w:p>
    <w:p w14:paraId="1544C453" w14:textId="04CE7EE7" w:rsidR="003857C0" w:rsidRDefault="003857C0" w:rsidP="00561830">
      <w:pPr>
        <w:pStyle w:val="ListParagraph"/>
        <w:pBdr>
          <w:top w:val="nil"/>
          <w:left w:val="nil"/>
          <w:bottom w:val="nil"/>
          <w:right w:val="nil"/>
          <w:between w:val="nil"/>
        </w:pBdr>
        <w:spacing w:after="200" w:line="276" w:lineRule="auto"/>
        <w:ind w:left="1440"/>
        <w:jc w:val="both"/>
        <w:rPr>
          <w:color w:val="000000"/>
        </w:rPr>
      </w:pPr>
    </w:p>
    <w:p w14:paraId="633BA0DF" w14:textId="01A07283" w:rsidR="003857C0" w:rsidRDefault="003857C0" w:rsidP="00561830">
      <w:pPr>
        <w:pStyle w:val="ListParagraph"/>
        <w:pBdr>
          <w:top w:val="nil"/>
          <w:left w:val="nil"/>
          <w:bottom w:val="nil"/>
          <w:right w:val="nil"/>
          <w:between w:val="nil"/>
        </w:pBdr>
        <w:spacing w:after="200" w:line="276" w:lineRule="auto"/>
        <w:ind w:left="1440"/>
        <w:jc w:val="both"/>
        <w:rPr>
          <w:color w:val="000000"/>
        </w:rPr>
      </w:pPr>
    </w:p>
    <w:p w14:paraId="2C857D02" w14:textId="2D6C0C5C" w:rsidR="003857C0" w:rsidRDefault="003857C0" w:rsidP="00561830">
      <w:pPr>
        <w:pStyle w:val="ListParagraph"/>
        <w:pBdr>
          <w:top w:val="nil"/>
          <w:left w:val="nil"/>
          <w:bottom w:val="nil"/>
          <w:right w:val="nil"/>
          <w:between w:val="nil"/>
        </w:pBdr>
        <w:spacing w:after="200" w:line="276" w:lineRule="auto"/>
        <w:ind w:left="1440"/>
        <w:jc w:val="both"/>
        <w:rPr>
          <w:color w:val="000000"/>
        </w:rPr>
      </w:pPr>
    </w:p>
    <w:p w14:paraId="272430AC" w14:textId="7A9FF621" w:rsidR="003857C0" w:rsidRDefault="003857C0" w:rsidP="00561830">
      <w:pPr>
        <w:pStyle w:val="ListParagraph"/>
        <w:pBdr>
          <w:top w:val="nil"/>
          <w:left w:val="nil"/>
          <w:bottom w:val="nil"/>
          <w:right w:val="nil"/>
          <w:between w:val="nil"/>
        </w:pBdr>
        <w:spacing w:after="200" w:line="276" w:lineRule="auto"/>
        <w:ind w:left="1440"/>
        <w:jc w:val="both"/>
        <w:rPr>
          <w:color w:val="000000"/>
        </w:rPr>
      </w:pPr>
    </w:p>
    <w:p w14:paraId="7227B686" w14:textId="082D8793" w:rsidR="003857C0" w:rsidRDefault="003857C0" w:rsidP="00561830">
      <w:pPr>
        <w:pStyle w:val="ListParagraph"/>
        <w:pBdr>
          <w:top w:val="nil"/>
          <w:left w:val="nil"/>
          <w:bottom w:val="nil"/>
          <w:right w:val="nil"/>
          <w:between w:val="nil"/>
        </w:pBdr>
        <w:spacing w:after="200" w:line="276" w:lineRule="auto"/>
        <w:ind w:left="1440"/>
        <w:jc w:val="both"/>
        <w:rPr>
          <w:color w:val="000000"/>
        </w:rPr>
      </w:pPr>
    </w:p>
    <w:p w14:paraId="1779BAA2" w14:textId="55B6B458" w:rsidR="003857C0" w:rsidRPr="00561830" w:rsidRDefault="00790264" w:rsidP="00561830">
      <w:pPr>
        <w:pStyle w:val="ListParagraph"/>
        <w:pBdr>
          <w:top w:val="nil"/>
          <w:left w:val="nil"/>
          <w:bottom w:val="nil"/>
          <w:right w:val="nil"/>
          <w:between w:val="nil"/>
        </w:pBdr>
        <w:spacing w:after="200" w:line="276" w:lineRule="auto"/>
        <w:ind w:left="1440"/>
        <w:jc w:val="both"/>
        <w:rPr>
          <w:color w:val="000000"/>
        </w:rPr>
      </w:pPr>
      <w:r w:rsidRPr="00FF7826">
        <w:rPr>
          <w:noProof/>
          <w:color w:val="000000"/>
        </w:rPr>
        <mc:AlternateContent>
          <mc:Choice Requires="wps">
            <w:drawing>
              <wp:anchor distT="45720" distB="45720" distL="114300" distR="114300" simplePos="0" relativeHeight="251661312" behindDoc="0" locked="0" layoutInCell="1" allowOverlap="1" wp14:anchorId="4E45560C" wp14:editId="52B882EA">
                <wp:simplePos x="0" y="0"/>
                <wp:positionH relativeFrom="column">
                  <wp:posOffset>1311725</wp:posOffset>
                </wp:positionH>
                <wp:positionV relativeFrom="paragraph">
                  <wp:posOffset>-171000</wp:posOffset>
                </wp:positionV>
                <wp:extent cx="390525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404620"/>
                        </a:xfrm>
                        <a:prstGeom prst="rect">
                          <a:avLst/>
                        </a:prstGeom>
                        <a:solidFill>
                          <a:srgbClr val="FFFFFF"/>
                        </a:solidFill>
                        <a:ln w="9525">
                          <a:noFill/>
                          <a:miter lim="800000"/>
                          <a:headEnd/>
                          <a:tailEnd/>
                        </a:ln>
                      </wps:spPr>
                      <wps:txbx>
                        <w:txbxContent>
                          <w:p w14:paraId="1382CBF1" w14:textId="77777777" w:rsidR="00FF7826" w:rsidRPr="00FF7826" w:rsidRDefault="00FF7826">
                            <w:pPr>
                              <w:rPr>
                                <w:b/>
                                <w:bCs/>
                                <w:sz w:val="16"/>
                                <w:szCs w:val="16"/>
                              </w:rPr>
                            </w:pPr>
                            <w:r w:rsidRPr="00FF7826">
                              <w:rPr>
                                <w:b/>
                                <w:bCs/>
                                <w:sz w:val="16"/>
                                <w:szCs w:val="16"/>
                              </w:rPr>
                              <w:t xml:space="preserve">Figure 1. Classification of drugs according to their harms to users and others. </w:t>
                            </w:r>
                          </w:p>
                          <w:p w14:paraId="2840A9B4" w14:textId="3C2C88A4" w:rsidR="00FF7826" w:rsidRPr="00FF7826" w:rsidRDefault="00FF7826">
                            <w:pPr>
                              <w:rPr>
                                <w:sz w:val="16"/>
                                <w:szCs w:val="16"/>
                              </w:rPr>
                            </w:pPr>
                            <w:r w:rsidRPr="00FF7826">
                              <w:rPr>
                                <w:sz w:val="16"/>
                                <w:szCs w:val="16"/>
                              </w:rPr>
                              <w:t xml:space="preserve">Source: Nutt, D. et al (2010), ‘Drug Harms in the UK: a multicriteria decision analysis’, </w:t>
                            </w:r>
                            <w:r w:rsidRPr="00FF7826">
                              <w:rPr>
                                <w:i/>
                                <w:iCs/>
                                <w:sz w:val="16"/>
                                <w:szCs w:val="16"/>
                              </w:rPr>
                              <w:t>Lancet</w:t>
                            </w:r>
                            <w:r w:rsidRPr="00FF7826">
                              <w:rPr>
                                <w:sz w:val="16"/>
                                <w:szCs w:val="16"/>
                              </w:rPr>
                              <w:t xml:space="preserve">, </w:t>
                            </w:r>
                            <w:hyperlink r:id="rId14" w:history="1">
                              <w:r w:rsidRPr="00FF7826">
                                <w:rPr>
                                  <w:rStyle w:val="Hyperlink"/>
                                  <w:sz w:val="16"/>
                                  <w:szCs w:val="16"/>
                                </w:rPr>
                                <w:t>https://pubmed.ncbi.nlm.nih.gov/21036393/</w:t>
                              </w:r>
                            </w:hyperlink>
                            <w:r w:rsidRPr="00FF7826">
                              <w:rPr>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type w14:anchorId="4E45560C" id="_x0000_t202" coordsize="21600,21600" o:spt="202" path="m,l,21600r21600,l21600,xe">
                <v:stroke joinstyle="miter"/>
                <v:path gradientshapeok="t" o:connecttype="rect"/>
              </v:shapetype>
              <v:shape id="Text Box 2" o:spid="_x0000_s1026" type="#_x0000_t202" style="position:absolute;left:0;text-align:left;margin-left:103.3pt;margin-top:-13.45pt;width:30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" stroked="f">
                <v:textbox style="mso-fit-shape-to-text:t">
                  <w:txbxContent>
                    <w:p w14:paraId="1382CBF1" w14:textId="77777777" w:rsidR="00FF7826" w:rsidRPr="00FF7826" w:rsidRDefault="00FF7826">
                      <w:pPr>
                        <w:rPr>
                          <w:b/>
                          <w:bCs/>
                          <w:sz w:val="16"/>
                          <w:szCs w:val="16"/>
                        </w:rPr>
                      </w:pPr>
                      <w:r w:rsidRPr="00FF7826">
                        <w:rPr>
                          <w:b/>
                          <w:bCs/>
                          <w:sz w:val="16"/>
                          <w:szCs w:val="16"/>
                        </w:rPr>
                        <w:t xml:space="preserve">Figure 1. Classification of drugs according to their harms to users and others. </w:t>
                      </w:r>
                    </w:p>
                    <w:p w14:paraId="2840A9B4" w14:textId="3C2C88A4" w:rsidR="00FF7826" w:rsidRPr="00FF7826" w:rsidRDefault="00FF7826">
                      <w:pPr>
                        <w:rPr>
                          <w:sz w:val="16"/>
                          <w:szCs w:val="16"/>
                        </w:rPr>
                      </w:pPr>
                      <w:r w:rsidRPr="00FF7826">
                        <w:rPr>
                          <w:sz w:val="16"/>
                          <w:szCs w:val="16"/>
                        </w:rPr>
                        <w:t xml:space="preserve">Source: Nutt, D. et al (2010), ‘Drug Harms in the UK: a multicriteria decision analysis’, </w:t>
                      </w:r>
                      <w:r w:rsidRPr="00FF7826">
                        <w:rPr>
                          <w:i/>
                          <w:iCs/>
                          <w:sz w:val="16"/>
                          <w:szCs w:val="16"/>
                        </w:rPr>
                        <w:t>Lancet</w:t>
                      </w:r>
                      <w:r w:rsidRPr="00FF7826">
                        <w:rPr>
                          <w:sz w:val="16"/>
                          <w:szCs w:val="16"/>
                        </w:rPr>
                        <w:t xml:space="preserve">, </w:t>
                      </w:r>
                      <w:hyperlink r:id="rId15" w:history="1">
                        <w:r w:rsidRPr="00FF7826">
                          <w:rPr>
                            <w:rStyle w:val="Hyperlink"/>
                            <w:sz w:val="16"/>
                            <w:szCs w:val="16"/>
                          </w:rPr>
                          <w:t>https://pubmed.ncbi.nlm.nih.gov/21036393/</w:t>
                        </w:r>
                      </w:hyperlink>
                      <w:r w:rsidRPr="00FF7826">
                        <w:rPr>
                          <w:sz w:val="16"/>
                          <w:szCs w:val="16"/>
                        </w:rPr>
                        <w:t xml:space="preserve"> </w:t>
                      </w:r>
                    </w:p>
                  </w:txbxContent>
                </v:textbox>
                <w10:wrap type="square"/>
              </v:shape>
            </w:pict>
          </mc:Fallback>
        </mc:AlternateContent>
      </w:r>
    </w:p>
    <w:p w14:paraId="2F9591FD" w14:textId="6D7AB104" w:rsidR="00FF7826" w:rsidRPr="0001644E" w:rsidRDefault="00FF7826" w:rsidP="00FF7826">
      <w:pPr>
        <w:pBdr>
          <w:top w:val="nil"/>
          <w:left w:val="nil"/>
          <w:bottom w:val="nil"/>
          <w:right w:val="nil"/>
          <w:between w:val="nil"/>
        </w:pBdr>
        <w:spacing w:after="200" w:line="276" w:lineRule="auto"/>
        <w:jc w:val="both"/>
        <w:rPr>
          <w:b/>
          <w:bCs/>
          <w:color w:val="000000"/>
          <w:u w:val="single"/>
        </w:rPr>
      </w:pPr>
      <w:r w:rsidRPr="0001644E">
        <w:rPr>
          <w:b/>
          <w:bCs/>
          <w:color w:val="000000"/>
          <w:u w:val="single"/>
        </w:rPr>
        <w:lastRenderedPageBreak/>
        <w:t xml:space="preserve">The UN drug conventions as </w:t>
      </w:r>
      <w:r>
        <w:rPr>
          <w:b/>
          <w:bCs/>
          <w:color w:val="000000"/>
          <w:u w:val="single"/>
        </w:rPr>
        <w:t>a discriminatory limitation of cognitive liberty</w:t>
      </w:r>
    </w:p>
    <w:p w14:paraId="08987E83" w14:textId="6F6690A8" w:rsidR="00FF7826" w:rsidRDefault="000D4C71" w:rsidP="00FF7826">
      <w:pPr>
        <w:pStyle w:val="ListParagraph"/>
        <w:numPr>
          <w:ilvl w:val="0"/>
          <w:numId w:val="11"/>
        </w:numPr>
        <w:pBdr>
          <w:top w:val="nil"/>
          <w:left w:val="nil"/>
          <w:bottom w:val="nil"/>
          <w:right w:val="nil"/>
          <w:between w:val="nil"/>
        </w:pBdr>
        <w:spacing w:after="200" w:line="276" w:lineRule="auto"/>
        <w:ind w:left="426" w:hanging="426"/>
        <w:contextualSpacing w:val="0"/>
        <w:jc w:val="both"/>
        <w:rPr>
          <w:color w:val="000000"/>
        </w:rPr>
      </w:pPr>
      <w:r>
        <w:rPr>
          <w:color w:val="000000"/>
        </w:rPr>
        <w:t xml:space="preserve">As we have seen, the decision to subject certain substances to international control is highly ideological. </w:t>
      </w:r>
      <w:r w:rsidR="00FF7826">
        <w:rPr>
          <w:color w:val="000000"/>
        </w:rPr>
        <w:t xml:space="preserve">In fact, </w:t>
      </w:r>
      <w:r w:rsidR="000E3E4C">
        <w:rPr>
          <w:color w:val="000000"/>
        </w:rPr>
        <w:t xml:space="preserve">it has been argued that </w:t>
      </w:r>
      <w:r w:rsidR="00FF7826">
        <w:rPr>
          <w:color w:val="000000"/>
        </w:rPr>
        <w:t xml:space="preserve">the content of </w:t>
      </w:r>
      <w:r w:rsidR="00D83873" w:rsidRPr="00FF7826">
        <w:rPr>
          <w:color w:val="000000"/>
        </w:rPr>
        <w:t xml:space="preserve">the </w:t>
      </w:r>
      <w:r w:rsidR="00FF7826">
        <w:rPr>
          <w:color w:val="000000"/>
        </w:rPr>
        <w:t xml:space="preserve">UN drug </w:t>
      </w:r>
      <w:r w:rsidR="00D83873" w:rsidRPr="00FF7826">
        <w:rPr>
          <w:color w:val="000000"/>
        </w:rPr>
        <w:t xml:space="preserve">conventions reflects the </w:t>
      </w:r>
      <w:r w:rsidR="00FF7826">
        <w:rPr>
          <w:color w:val="000000"/>
        </w:rPr>
        <w:t xml:space="preserve">personal preferences and traditions of </w:t>
      </w:r>
      <w:r w:rsidR="00D83873" w:rsidRPr="00FF7826">
        <w:rPr>
          <w:color w:val="000000"/>
        </w:rPr>
        <w:t>the people who negotiated them</w:t>
      </w:r>
      <w:r w:rsidR="00FF7826">
        <w:rPr>
          <w:color w:val="000000"/>
        </w:rPr>
        <w:t xml:space="preserve"> – mostly white men from the Global North – and is, in that regard, deeply colonial</w:t>
      </w:r>
      <w:r w:rsidR="00D83873" w:rsidRPr="00FF7826">
        <w:rPr>
          <w:color w:val="000000"/>
        </w:rPr>
        <w:t xml:space="preserve">. </w:t>
      </w:r>
      <w:r w:rsidR="00D83873">
        <w:t xml:space="preserve">A report by the 2002 Senate Special Committee on Illegal Drugs in Canada </w:t>
      </w:r>
      <w:r w:rsidR="00FF7826">
        <w:t xml:space="preserve">summarised </w:t>
      </w:r>
      <w:r w:rsidR="00CA5F4F">
        <w:t>this</w:t>
      </w:r>
      <w:r w:rsidR="00FF7826">
        <w:t xml:space="preserve"> in </w:t>
      </w:r>
      <w:r w:rsidR="00D83873">
        <w:t>the following terms:</w:t>
      </w:r>
      <w:r w:rsidR="00D83873" w:rsidRPr="00FF7826">
        <w:rPr>
          <w:color w:val="000000"/>
        </w:rPr>
        <w:t xml:space="preserve"> </w:t>
      </w:r>
    </w:p>
    <w:p w14:paraId="1B8E916F" w14:textId="2847D063" w:rsidR="00FF7826" w:rsidRPr="00FF7826" w:rsidRDefault="00FF7826" w:rsidP="00FF7826">
      <w:pPr>
        <w:pStyle w:val="ListParagraph"/>
        <w:pBdr>
          <w:top w:val="nil"/>
          <w:left w:val="nil"/>
          <w:bottom w:val="nil"/>
          <w:right w:val="nil"/>
          <w:between w:val="nil"/>
        </w:pBdr>
        <w:spacing w:after="200" w:line="276" w:lineRule="auto"/>
        <w:ind w:left="1440"/>
        <w:contextualSpacing w:val="0"/>
        <w:jc w:val="both"/>
        <w:rPr>
          <w:color w:val="000000"/>
        </w:rPr>
      </w:pPr>
      <w:r>
        <w:t xml:space="preserve">‘The international regime for the control of psychoactive substances, beyond any moral or even racist roots it may initially have had, is first and foremost a system that reflects the geopolitics of North-South relations in the 20th century. Indeed, the strictest controls were placed on organic substances – the coca bush, the </w:t>
      </w:r>
      <w:proofErr w:type="gramStart"/>
      <w:r>
        <w:t>poppy</w:t>
      </w:r>
      <w:proofErr w:type="gramEnd"/>
      <w:r>
        <w:t xml:space="preserve"> and the cannabis plant – which are often part of the ancestral traditions of the countries where these plants originate, whereas the North’s cultural products, tobacco and alcohol, were ignored and the synthetic substances produced by the North’s pharmaceutical industry were subject to regulation rather than prohibition’.</w:t>
      </w:r>
      <w:r>
        <w:rPr>
          <w:rStyle w:val="EndnoteReference"/>
        </w:rPr>
        <w:endnoteReference w:id="35"/>
      </w:r>
    </w:p>
    <w:p w14:paraId="06BBF124" w14:textId="638652C9" w:rsidR="00CA5F4F" w:rsidRDefault="00CA5F4F" w:rsidP="00CA5F4F">
      <w:pPr>
        <w:pStyle w:val="ListParagraph"/>
        <w:numPr>
          <w:ilvl w:val="0"/>
          <w:numId w:val="11"/>
        </w:numPr>
        <w:pBdr>
          <w:top w:val="nil"/>
          <w:left w:val="nil"/>
          <w:bottom w:val="nil"/>
          <w:right w:val="nil"/>
          <w:between w:val="nil"/>
        </w:pBdr>
        <w:spacing w:after="200" w:line="276" w:lineRule="auto"/>
        <w:ind w:left="426" w:hanging="426"/>
        <w:contextualSpacing w:val="0"/>
        <w:jc w:val="both"/>
        <w:rPr>
          <w:color w:val="000000"/>
        </w:rPr>
      </w:pPr>
      <w:r>
        <w:rPr>
          <w:color w:val="000000"/>
        </w:rPr>
        <w:t xml:space="preserve">In addition to this </w:t>
      </w:r>
      <w:r w:rsidR="001736D1" w:rsidRPr="00FF7826">
        <w:rPr>
          <w:color w:val="000000"/>
        </w:rPr>
        <w:t xml:space="preserve">colonial </w:t>
      </w:r>
      <w:r>
        <w:rPr>
          <w:color w:val="000000"/>
        </w:rPr>
        <w:t>background</w:t>
      </w:r>
      <w:r w:rsidR="001736D1" w:rsidRPr="00FF7826">
        <w:rPr>
          <w:color w:val="000000"/>
        </w:rPr>
        <w:t xml:space="preserve">, the decision to prohibit certain substances was also tainted by the </w:t>
      </w:r>
      <w:r w:rsidR="006C4C60" w:rsidRPr="00FF7826">
        <w:rPr>
          <w:color w:val="000000"/>
        </w:rPr>
        <w:t xml:space="preserve">overtly </w:t>
      </w:r>
      <w:r w:rsidR="001736D1" w:rsidRPr="00FF7826">
        <w:rPr>
          <w:color w:val="000000"/>
        </w:rPr>
        <w:t xml:space="preserve">racist tropes and prejudices </w:t>
      </w:r>
      <w:r w:rsidR="006C4C60" w:rsidRPr="00FF7826">
        <w:rPr>
          <w:color w:val="000000"/>
        </w:rPr>
        <w:t xml:space="preserve">connected to cannabis and opium that were </w:t>
      </w:r>
      <w:r w:rsidR="006C4C60" w:rsidRPr="00FF7826">
        <w:t>prevalent</w:t>
      </w:r>
      <w:r w:rsidR="006C4C60" w:rsidRPr="00FF7826">
        <w:rPr>
          <w:color w:val="000000"/>
        </w:rPr>
        <w:t xml:space="preserve"> during </w:t>
      </w:r>
      <w:r w:rsidR="001736D1" w:rsidRPr="00FF7826">
        <w:rPr>
          <w:color w:val="000000"/>
        </w:rPr>
        <w:t>the early twentieth century</w:t>
      </w:r>
      <w:r>
        <w:rPr>
          <w:color w:val="000000"/>
        </w:rPr>
        <w:t xml:space="preserve"> – a racist origin that has inevitably spilled into the </w:t>
      </w:r>
      <w:r w:rsidR="000E3E4C">
        <w:rPr>
          <w:color w:val="000000"/>
        </w:rPr>
        <w:t xml:space="preserve">racialised </w:t>
      </w:r>
      <w:r w:rsidR="000D4C71">
        <w:rPr>
          <w:color w:val="000000"/>
        </w:rPr>
        <w:t xml:space="preserve">enforcement </w:t>
      </w:r>
      <w:r>
        <w:rPr>
          <w:color w:val="000000"/>
        </w:rPr>
        <w:t>of drug laws across the world</w:t>
      </w:r>
      <w:r w:rsidR="006C4C60">
        <w:rPr>
          <w:rStyle w:val="EndnoteReference"/>
          <w:color w:val="000000"/>
        </w:rPr>
        <w:endnoteReference w:id="36"/>
      </w:r>
      <w:r w:rsidR="006C4C60" w:rsidRPr="00FF7826">
        <w:rPr>
          <w:color w:val="000000"/>
        </w:rPr>
        <w:t>.</w:t>
      </w:r>
      <w:r w:rsidR="001736D1" w:rsidRPr="00FF7826">
        <w:rPr>
          <w:color w:val="000000"/>
        </w:rPr>
        <w:t xml:space="preserve"> </w:t>
      </w:r>
    </w:p>
    <w:p w14:paraId="14580A5B" w14:textId="2E5F340E" w:rsidR="006C4C60" w:rsidRDefault="000E3E4C" w:rsidP="000D4C71">
      <w:pPr>
        <w:pStyle w:val="ListParagraph"/>
        <w:numPr>
          <w:ilvl w:val="0"/>
          <w:numId w:val="11"/>
        </w:numPr>
        <w:pBdr>
          <w:top w:val="nil"/>
          <w:left w:val="nil"/>
          <w:bottom w:val="nil"/>
          <w:right w:val="nil"/>
          <w:between w:val="nil"/>
        </w:pBdr>
        <w:spacing w:after="200" w:line="276" w:lineRule="auto"/>
        <w:ind w:left="426" w:hanging="426"/>
        <w:contextualSpacing w:val="0"/>
        <w:jc w:val="both"/>
        <w:rPr>
          <w:color w:val="000000"/>
        </w:rPr>
      </w:pPr>
      <w:r>
        <w:rPr>
          <w:color w:val="000000"/>
        </w:rPr>
        <w:t xml:space="preserve">As a basic </w:t>
      </w:r>
      <w:r w:rsidR="00BB45FF" w:rsidRPr="00CA5F4F">
        <w:rPr>
          <w:color w:val="000000"/>
        </w:rPr>
        <w:t xml:space="preserve">principle </w:t>
      </w:r>
      <w:r w:rsidR="00CA5F4F">
        <w:rPr>
          <w:color w:val="000000"/>
        </w:rPr>
        <w:t>of international human rights law</w:t>
      </w:r>
      <w:r>
        <w:rPr>
          <w:color w:val="000000"/>
        </w:rPr>
        <w:t>,</w:t>
      </w:r>
      <w:r w:rsidR="00BB45FF">
        <w:rPr>
          <w:rStyle w:val="EndnoteReference"/>
          <w:color w:val="000000"/>
        </w:rPr>
        <w:endnoteReference w:id="37"/>
      </w:r>
      <w:r w:rsidR="00BB45FF" w:rsidRPr="00CA5F4F">
        <w:rPr>
          <w:color w:val="000000"/>
        </w:rPr>
        <w:t xml:space="preserve"> </w:t>
      </w:r>
      <w:r>
        <w:rPr>
          <w:color w:val="000000"/>
        </w:rPr>
        <w:t xml:space="preserve">non-discrimination </w:t>
      </w:r>
      <w:r w:rsidR="00BB45FF" w:rsidRPr="00CA5F4F">
        <w:rPr>
          <w:color w:val="000000"/>
        </w:rPr>
        <w:t xml:space="preserve">precludes any distinction, exclusion, </w:t>
      </w:r>
      <w:proofErr w:type="gramStart"/>
      <w:r w:rsidR="00BB45FF" w:rsidRPr="00CA5F4F">
        <w:rPr>
          <w:color w:val="000000"/>
        </w:rPr>
        <w:t>restriction</w:t>
      </w:r>
      <w:proofErr w:type="gramEnd"/>
      <w:r w:rsidR="00BB45FF" w:rsidRPr="00CA5F4F">
        <w:rPr>
          <w:color w:val="000000"/>
        </w:rPr>
        <w:t xml:space="preserve"> or preference which is based on any ground such as race, colour, sex, language, religion, or other status, and which has the purpose or effect of</w:t>
      </w:r>
      <w:r w:rsidR="00CA5F4F">
        <w:rPr>
          <w:color w:val="000000"/>
        </w:rPr>
        <w:t xml:space="preserve"> impairing some rights</w:t>
      </w:r>
      <w:r w:rsidR="00BB45FF">
        <w:rPr>
          <w:rStyle w:val="EndnoteReference"/>
          <w:color w:val="000000"/>
        </w:rPr>
        <w:endnoteReference w:id="38"/>
      </w:r>
      <w:r w:rsidR="00BB45FF" w:rsidRPr="00CA5F4F">
        <w:rPr>
          <w:color w:val="000000"/>
        </w:rPr>
        <w:t xml:space="preserve">. In view of this, </w:t>
      </w:r>
      <w:r>
        <w:rPr>
          <w:color w:val="000000"/>
        </w:rPr>
        <w:t xml:space="preserve">it seems clear that </w:t>
      </w:r>
      <w:r w:rsidR="00BB45FF" w:rsidRPr="00CA5F4F">
        <w:rPr>
          <w:color w:val="000000"/>
        </w:rPr>
        <w:t>the prohibition of substances traditionally used b</w:t>
      </w:r>
      <w:r w:rsidR="00CA5F4F">
        <w:rPr>
          <w:color w:val="000000"/>
        </w:rPr>
        <w:t>y</w:t>
      </w:r>
      <w:r w:rsidR="00BB45FF" w:rsidRPr="00CA5F4F">
        <w:rPr>
          <w:color w:val="000000"/>
        </w:rPr>
        <w:t xml:space="preserve"> peoples in the Global South, while </w:t>
      </w:r>
      <w:r>
        <w:rPr>
          <w:color w:val="000000"/>
        </w:rPr>
        <w:t xml:space="preserve">still </w:t>
      </w:r>
      <w:r w:rsidR="00BB45FF" w:rsidRPr="00CA5F4F">
        <w:rPr>
          <w:color w:val="000000"/>
        </w:rPr>
        <w:t xml:space="preserve">preserving the right to alter one’s brain and consciousness </w:t>
      </w:r>
      <w:proofErr w:type="gramStart"/>
      <w:r w:rsidR="00BB45FF" w:rsidRPr="00CA5F4F">
        <w:rPr>
          <w:color w:val="000000"/>
        </w:rPr>
        <w:t>through the use of</w:t>
      </w:r>
      <w:proofErr w:type="gramEnd"/>
      <w:r w:rsidR="00BB45FF" w:rsidRPr="00CA5F4F">
        <w:rPr>
          <w:color w:val="000000"/>
        </w:rPr>
        <w:t xml:space="preserve"> substances traditional to the Global North, </w:t>
      </w:r>
      <w:r w:rsidR="00CA5F4F">
        <w:rPr>
          <w:color w:val="000000"/>
        </w:rPr>
        <w:t xml:space="preserve">such as alcohol, </w:t>
      </w:r>
      <w:r w:rsidR="00BB45FF" w:rsidRPr="00CA5F4F">
        <w:rPr>
          <w:color w:val="000000"/>
        </w:rPr>
        <w:t xml:space="preserve">with disregard to the evidence on their actual health on harm, </w:t>
      </w:r>
      <w:r>
        <w:rPr>
          <w:color w:val="000000"/>
        </w:rPr>
        <w:t xml:space="preserve">is deeply discriminatory, and </w:t>
      </w:r>
      <w:r w:rsidR="00BB45FF" w:rsidRPr="00CA5F4F">
        <w:rPr>
          <w:color w:val="000000"/>
        </w:rPr>
        <w:t>constitutes a</w:t>
      </w:r>
      <w:r>
        <w:rPr>
          <w:color w:val="000000"/>
        </w:rPr>
        <w:t>n</w:t>
      </w:r>
      <w:r w:rsidR="00BB45FF" w:rsidRPr="00CA5F4F">
        <w:rPr>
          <w:color w:val="000000"/>
        </w:rPr>
        <w:t xml:space="preserve"> </w:t>
      </w:r>
      <w:r>
        <w:rPr>
          <w:color w:val="000000"/>
        </w:rPr>
        <w:t xml:space="preserve">unlawful </w:t>
      </w:r>
      <w:r w:rsidR="00BB45FF" w:rsidRPr="00CA5F4F">
        <w:rPr>
          <w:color w:val="000000"/>
        </w:rPr>
        <w:t>restriction of the right to freedom of thought.</w:t>
      </w:r>
    </w:p>
    <w:p w14:paraId="155CBEE0" w14:textId="77777777" w:rsidR="000D4C71" w:rsidRPr="000D4C71" w:rsidRDefault="000D4C71" w:rsidP="000D4C71">
      <w:pPr>
        <w:pStyle w:val="ListParagraph"/>
        <w:pBdr>
          <w:top w:val="nil"/>
          <w:left w:val="nil"/>
          <w:bottom w:val="nil"/>
          <w:right w:val="nil"/>
          <w:between w:val="nil"/>
        </w:pBdr>
        <w:spacing w:after="200" w:line="276" w:lineRule="auto"/>
        <w:ind w:left="426"/>
        <w:contextualSpacing w:val="0"/>
        <w:jc w:val="both"/>
        <w:rPr>
          <w:color w:val="000000"/>
        </w:rPr>
      </w:pPr>
    </w:p>
    <w:p w14:paraId="10EE3868" w14:textId="5D3178AC" w:rsidR="00CA5F4F" w:rsidRDefault="00CA5F4F" w:rsidP="00CA5F4F">
      <w:pPr>
        <w:pBdr>
          <w:top w:val="nil"/>
          <w:left w:val="nil"/>
          <w:bottom w:val="nil"/>
          <w:right w:val="nil"/>
          <w:between w:val="nil"/>
        </w:pBdr>
        <w:spacing w:after="200" w:line="276" w:lineRule="auto"/>
        <w:jc w:val="both"/>
        <w:rPr>
          <w:b/>
          <w:color w:val="000000"/>
          <w:sz w:val="28"/>
          <w:szCs w:val="28"/>
        </w:rPr>
      </w:pPr>
      <w:r>
        <w:rPr>
          <w:b/>
          <w:color w:val="000000"/>
          <w:sz w:val="28"/>
          <w:szCs w:val="28"/>
        </w:rPr>
        <w:t xml:space="preserve">The </w:t>
      </w:r>
      <w:r w:rsidR="000E3E4C">
        <w:rPr>
          <w:b/>
          <w:color w:val="000000"/>
          <w:sz w:val="28"/>
          <w:szCs w:val="28"/>
        </w:rPr>
        <w:t xml:space="preserve">emerging </w:t>
      </w:r>
      <w:r w:rsidR="00BD4C9D">
        <w:rPr>
          <w:b/>
          <w:color w:val="000000"/>
          <w:sz w:val="28"/>
          <w:szCs w:val="28"/>
        </w:rPr>
        <w:t>role</w:t>
      </w:r>
      <w:r>
        <w:rPr>
          <w:b/>
          <w:color w:val="000000"/>
          <w:sz w:val="28"/>
          <w:szCs w:val="28"/>
        </w:rPr>
        <w:t xml:space="preserve"> of cognitive liberty in </w:t>
      </w:r>
      <w:r w:rsidR="00C14F13">
        <w:rPr>
          <w:b/>
          <w:color w:val="000000"/>
          <w:sz w:val="28"/>
          <w:szCs w:val="28"/>
        </w:rPr>
        <w:t>drug policy reform</w:t>
      </w:r>
    </w:p>
    <w:p w14:paraId="4DEF3D1E" w14:textId="3B162FF3" w:rsidR="00790264" w:rsidRDefault="00790264" w:rsidP="00CA5F4F">
      <w:pPr>
        <w:pBdr>
          <w:top w:val="nil"/>
          <w:left w:val="nil"/>
          <w:bottom w:val="nil"/>
          <w:right w:val="nil"/>
          <w:between w:val="nil"/>
        </w:pBdr>
        <w:spacing w:after="200" w:line="276" w:lineRule="auto"/>
        <w:jc w:val="both"/>
        <w:rPr>
          <w:b/>
          <w:color w:val="000000"/>
          <w:sz w:val="28"/>
          <w:szCs w:val="28"/>
        </w:rPr>
      </w:pPr>
      <w:r>
        <w:rPr>
          <w:b/>
          <w:color w:val="000000"/>
          <w:sz w:val="28"/>
          <w:szCs w:val="28"/>
        </w:rPr>
        <w:t xml:space="preserve">Question 13 </w:t>
      </w:r>
    </w:p>
    <w:p w14:paraId="4C67EB33" w14:textId="22135D49" w:rsidR="00466278" w:rsidRDefault="00C14F13" w:rsidP="00466278">
      <w:pPr>
        <w:pStyle w:val="ListParagraph"/>
        <w:numPr>
          <w:ilvl w:val="0"/>
          <w:numId w:val="11"/>
        </w:numPr>
        <w:pBdr>
          <w:top w:val="nil"/>
          <w:left w:val="nil"/>
          <w:bottom w:val="nil"/>
          <w:right w:val="nil"/>
          <w:between w:val="nil"/>
        </w:pBdr>
        <w:spacing w:after="200" w:line="276" w:lineRule="auto"/>
        <w:ind w:left="426" w:hanging="426"/>
        <w:contextualSpacing w:val="0"/>
        <w:jc w:val="both"/>
        <w:rPr>
          <w:color w:val="000000"/>
        </w:rPr>
      </w:pPr>
      <w:r>
        <w:rPr>
          <w:color w:val="000000"/>
        </w:rPr>
        <w:t>Far from being an academic or conceptual debate, in recent years the positive dimension of cognitive liberty, together with closely</w:t>
      </w:r>
      <w:r w:rsidR="000E3E4C">
        <w:rPr>
          <w:color w:val="000000"/>
        </w:rPr>
        <w:t xml:space="preserve"> </w:t>
      </w:r>
      <w:r>
        <w:rPr>
          <w:color w:val="000000"/>
        </w:rPr>
        <w:t xml:space="preserve">related and overlapping notions of personal autonomy, </w:t>
      </w:r>
      <w:r w:rsidR="00644541">
        <w:rPr>
          <w:color w:val="000000"/>
        </w:rPr>
        <w:t>self-determination</w:t>
      </w:r>
      <w:r w:rsidR="000D4C71">
        <w:rPr>
          <w:color w:val="000000"/>
        </w:rPr>
        <w:t>,</w:t>
      </w:r>
      <w:r w:rsidR="000E3E4C">
        <w:rPr>
          <w:color w:val="000000"/>
        </w:rPr>
        <w:t xml:space="preserve"> and </w:t>
      </w:r>
      <w:r>
        <w:rPr>
          <w:color w:val="000000"/>
        </w:rPr>
        <w:t xml:space="preserve">the right to a private life, </w:t>
      </w:r>
      <w:r w:rsidR="00644541">
        <w:rPr>
          <w:color w:val="000000"/>
        </w:rPr>
        <w:t xml:space="preserve">have </w:t>
      </w:r>
      <w:r>
        <w:rPr>
          <w:color w:val="000000"/>
        </w:rPr>
        <w:t xml:space="preserve">been at the heart of </w:t>
      </w:r>
      <w:r w:rsidR="00846816">
        <w:rPr>
          <w:color w:val="000000"/>
        </w:rPr>
        <w:t xml:space="preserve">several </w:t>
      </w:r>
      <w:r>
        <w:rPr>
          <w:color w:val="000000"/>
        </w:rPr>
        <w:t>drug policy reform</w:t>
      </w:r>
      <w:r w:rsidR="00846816">
        <w:rPr>
          <w:color w:val="000000"/>
        </w:rPr>
        <w:t>s across the world</w:t>
      </w:r>
      <w:r>
        <w:rPr>
          <w:color w:val="000000"/>
        </w:rPr>
        <w:t xml:space="preserve">. </w:t>
      </w:r>
      <w:r w:rsidR="00846816">
        <w:rPr>
          <w:color w:val="000000"/>
        </w:rPr>
        <w:t xml:space="preserve"> For instance:</w:t>
      </w:r>
    </w:p>
    <w:p w14:paraId="1F0CFB20" w14:textId="3E24FDAE" w:rsidR="00C14F13" w:rsidRDefault="00FA0B51" w:rsidP="00FA0B51">
      <w:pPr>
        <w:pStyle w:val="ListParagraph"/>
        <w:numPr>
          <w:ilvl w:val="1"/>
          <w:numId w:val="11"/>
        </w:numPr>
        <w:pBdr>
          <w:top w:val="nil"/>
          <w:left w:val="nil"/>
          <w:bottom w:val="nil"/>
          <w:right w:val="nil"/>
          <w:between w:val="nil"/>
        </w:pBdr>
        <w:spacing w:after="200" w:line="276" w:lineRule="auto"/>
        <w:contextualSpacing w:val="0"/>
        <w:jc w:val="both"/>
        <w:rPr>
          <w:color w:val="000000"/>
        </w:rPr>
      </w:pPr>
      <w:r w:rsidRPr="00FA0B51">
        <w:rPr>
          <w:color w:val="000000"/>
        </w:rPr>
        <w:t xml:space="preserve">In </w:t>
      </w:r>
      <w:r w:rsidRPr="00846816">
        <w:rPr>
          <w:b/>
          <w:bCs/>
          <w:color w:val="000000"/>
        </w:rPr>
        <w:t>Mexico</w:t>
      </w:r>
      <w:r w:rsidRPr="00FA0B51">
        <w:rPr>
          <w:color w:val="000000"/>
        </w:rPr>
        <w:t xml:space="preserve">, a series of </w:t>
      </w:r>
      <w:r w:rsidR="00846816">
        <w:rPr>
          <w:color w:val="000000"/>
        </w:rPr>
        <w:t>five</w:t>
      </w:r>
      <w:r w:rsidRPr="00FA0B51">
        <w:rPr>
          <w:color w:val="000000"/>
        </w:rPr>
        <w:t xml:space="preserve"> </w:t>
      </w:r>
      <w:r>
        <w:rPr>
          <w:color w:val="000000"/>
        </w:rPr>
        <w:t xml:space="preserve">Supreme Court decisions published in 2019 struck down the absolute prohibition of cannabis on the basis that the recreational use of cannabis was part of the ‘fundamental right to develop one’s personality’. Interestingly, the </w:t>
      </w:r>
      <w:r>
        <w:rPr>
          <w:color w:val="000000"/>
        </w:rPr>
        <w:lastRenderedPageBreak/>
        <w:t>decision</w:t>
      </w:r>
      <w:r w:rsidR="007213E0">
        <w:rPr>
          <w:color w:val="000000"/>
        </w:rPr>
        <w:t>s</w:t>
      </w:r>
      <w:r>
        <w:rPr>
          <w:color w:val="000000"/>
        </w:rPr>
        <w:t xml:space="preserve"> </w:t>
      </w:r>
      <w:r w:rsidR="002D632A">
        <w:rPr>
          <w:color w:val="000000"/>
        </w:rPr>
        <w:t>found</w:t>
      </w:r>
      <w:r>
        <w:rPr>
          <w:color w:val="000000"/>
        </w:rPr>
        <w:t xml:space="preserve"> that prohibition </w:t>
      </w:r>
      <w:r w:rsidR="002D632A">
        <w:rPr>
          <w:color w:val="000000"/>
        </w:rPr>
        <w:t xml:space="preserve">was </w:t>
      </w:r>
      <w:r>
        <w:rPr>
          <w:color w:val="000000"/>
        </w:rPr>
        <w:t xml:space="preserve">a </w:t>
      </w:r>
      <w:r>
        <w:rPr>
          <w:i/>
          <w:iCs/>
          <w:color w:val="000000"/>
        </w:rPr>
        <w:t xml:space="preserve">disproportionate limitation </w:t>
      </w:r>
      <w:r>
        <w:rPr>
          <w:color w:val="000000"/>
        </w:rPr>
        <w:t>with regards to the aim of protecting health and public order.</w:t>
      </w:r>
      <w:r>
        <w:rPr>
          <w:rStyle w:val="EndnoteReference"/>
          <w:color w:val="000000"/>
        </w:rPr>
        <w:endnoteReference w:id="39"/>
      </w:r>
    </w:p>
    <w:p w14:paraId="33BA6A46" w14:textId="12507DA8" w:rsidR="00FA0B51" w:rsidRDefault="002D632A" w:rsidP="00FA0B51">
      <w:pPr>
        <w:pStyle w:val="ListParagraph"/>
        <w:numPr>
          <w:ilvl w:val="1"/>
          <w:numId w:val="11"/>
        </w:numPr>
        <w:pBdr>
          <w:top w:val="nil"/>
          <w:left w:val="nil"/>
          <w:bottom w:val="nil"/>
          <w:right w:val="nil"/>
          <w:between w:val="nil"/>
        </w:pBdr>
        <w:spacing w:after="200" w:line="276" w:lineRule="auto"/>
        <w:contextualSpacing w:val="0"/>
        <w:jc w:val="both"/>
        <w:rPr>
          <w:color w:val="000000"/>
        </w:rPr>
      </w:pPr>
      <w:r>
        <w:rPr>
          <w:color w:val="000000"/>
        </w:rPr>
        <w:t xml:space="preserve">In the case of </w:t>
      </w:r>
      <w:r w:rsidRPr="007213E0">
        <w:rPr>
          <w:b/>
          <w:bCs/>
          <w:color w:val="000000"/>
        </w:rPr>
        <w:t>South Afric</w:t>
      </w:r>
      <w:r w:rsidR="000B775A" w:rsidRPr="007213E0">
        <w:rPr>
          <w:b/>
          <w:bCs/>
          <w:color w:val="000000"/>
        </w:rPr>
        <w:t>a</w:t>
      </w:r>
      <w:r w:rsidR="000B775A">
        <w:rPr>
          <w:rStyle w:val="EndnoteReference"/>
          <w:color w:val="000000"/>
        </w:rPr>
        <w:endnoteReference w:id="40"/>
      </w:r>
      <w:r>
        <w:rPr>
          <w:color w:val="000000"/>
        </w:rPr>
        <w:t xml:space="preserve">, the Constitutional Court found that the absolute prohibition of cannabis was a limitation on the right to privacy that was not justified by the alleged purpose of protecting </w:t>
      </w:r>
      <w:r w:rsidRPr="002D632A">
        <w:rPr>
          <w:color w:val="000000"/>
        </w:rPr>
        <w:t xml:space="preserve">the health, </w:t>
      </w:r>
      <w:proofErr w:type="gramStart"/>
      <w:r w:rsidRPr="002D632A">
        <w:rPr>
          <w:color w:val="000000"/>
        </w:rPr>
        <w:t>safety</w:t>
      </w:r>
      <w:proofErr w:type="gramEnd"/>
      <w:r w:rsidRPr="002D632A">
        <w:rPr>
          <w:color w:val="000000"/>
        </w:rPr>
        <w:t xml:space="preserve"> and psychological well-being of persons</w:t>
      </w:r>
      <w:r>
        <w:rPr>
          <w:color w:val="000000"/>
        </w:rPr>
        <w:t>. The decision also noted that the history of cannabis in South Africa is ‘rep</w:t>
      </w:r>
      <w:r w:rsidR="000B775A">
        <w:rPr>
          <w:color w:val="000000"/>
        </w:rPr>
        <w:t>let</w:t>
      </w:r>
      <w:r>
        <w:rPr>
          <w:color w:val="000000"/>
        </w:rPr>
        <w:t>e with racism’</w:t>
      </w:r>
      <w:r w:rsidR="000B775A">
        <w:rPr>
          <w:color w:val="000000"/>
        </w:rPr>
        <w:t xml:space="preserve"> (para. 65), and that alcohol causes more individual and societal harm (para. 78).</w:t>
      </w:r>
    </w:p>
    <w:p w14:paraId="1D9F512B" w14:textId="66244002" w:rsidR="00625E50" w:rsidRPr="00625E50" w:rsidRDefault="00625E50" w:rsidP="00625E50">
      <w:pPr>
        <w:pStyle w:val="ListParagraph"/>
        <w:numPr>
          <w:ilvl w:val="1"/>
          <w:numId w:val="11"/>
        </w:numPr>
        <w:pBdr>
          <w:top w:val="nil"/>
          <w:left w:val="nil"/>
          <w:bottom w:val="nil"/>
          <w:right w:val="nil"/>
          <w:between w:val="nil"/>
        </w:pBdr>
        <w:spacing w:after="200" w:line="276" w:lineRule="auto"/>
        <w:contextualSpacing w:val="0"/>
        <w:jc w:val="both"/>
        <w:rPr>
          <w:color w:val="000000"/>
        </w:rPr>
      </w:pPr>
      <w:r>
        <w:rPr>
          <w:color w:val="000000"/>
        </w:rPr>
        <w:t>In 2019</w:t>
      </w:r>
      <w:r>
        <w:rPr>
          <w:rStyle w:val="EndnoteReference"/>
          <w:color w:val="000000"/>
        </w:rPr>
        <w:endnoteReference w:id="41"/>
      </w:r>
      <w:r>
        <w:rPr>
          <w:color w:val="000000"/>
        </w:rPr>
        <w:t xml:space="preserve">, the Eastern Caribbean Supreme Court moved to decriminalise the personal use of cannabis in </w:t>
      </w:r>
      <w:r w:rsidRPr="007213E0">
        <w:rPr>
          <w:b/>
          <w:bCs/>
          <w:color w:val="000000"/>
        </w:rPr>
        <w:t>St Kitts and Nevis</w:t>
      </w:r>
      <w:r>
        <w:rPr>
          <w:color w:val="000000"/>
        </w:rPr>
        <w:t xml:space="preserve">, on the basis that total prohibition of cannabis was a limitation to </w:t>
      </w:r>
      <w:r w:rsidRPr="00625E50">
        <w:rPr>
          <w:i/>
          <w:iCs/>
          <w:color w:val="000000"/>
        </w:rPr>
        <w:t>both</w:t>
      </w:r>
      <w:r>
        <w:rPr>
          <w:color w:val="000000"/>
        </w:rPr>
        <w:t xml:space="preserve"> the right to freedom of conscience of all Rastafarian adults, and the right to privacy of all </w:t>
      </w:r>
      <w:r w:rsidR="000E3E4C">
        <w:rPr>
          <w:color w:val="000000"/>
        </w:rPr>
        <w:t>adults</w:t>
      </w:r>
      <w:r>
        <w:rPr>
          <w:color w:val="000000"/>
        </w:rPr>
        <w:t xml:space="preserve">, and that this limitation was not the least restrictive way </w:t>
      </w:r>
      <w:r w:rsidR="007213E0">
        <w:rPr>
          <w:color w:val="000000"/>
        </w:rPr>
        <w:t xml:space="preserve">to protect </w:t>
      </w:r>
      <w:r>
        <w:rPr>
          <w:color w:val="000000"/>
        </w:rPr>
        <w:t xml:space="preserve">public health. </w:t>
      </w:r>
    </w:p>
    <w:p w14:paraId="326C4E46" w14:textId="3865EE8E" w:rsidR="00C14F13" w:rsidRDefault="00C14F13" w:rsidP="00C14F13">
      <w:pPr>
        <w:pStyle w:val="ListParagraph"/>
        <w:numPr>
          <w:ilvl w:val="0"/>
          <w:numId w:val="11"/>
        </w:numPr>
        <w:pBdr>
          <w:top w:val="nil"/>
          <w:left w:val="nil"/>
          <w:bottom w:val="nil"/>
          <w:right w:val="nil"/>
          <w:between w:val="nil"/>
        </w:pBdr>
        <w:spacing w:after="200" w:line="276" w:lineRule="auto"/>
        <w:ind w:left="426" w:hanging="426"/>
        <w:contextualSpacing w:val="0"/>
        <w:jc w:val="both"/>
        <w:rPr>
          <w:color w:val="000000"/>
        </w:rPr>
      </w:pPr>
      <w:r>
        <w:rPr>
          <w:color w:val="000000"/>
        </w:rPr>
        <w:t>The connection between cognitive liberty and the right to manifest one’s own religious or beliefs has also played a critical role in recent legislative decisions to legally regulate the use of cannabis for sacramental purposes in the East Indies. Some examples include:</w:t>
      </w:r>
    </w:p>
    <w:p w14:paraId="397DA1EA" w14:textId="23977CCF" w:rsidR="00C14F13" w:rsidRDefault="00C14F13" w:rsidP="00C14F13">
      <w:pPr>
        <w:pStyle w:val="ListParagraph"/>
        <w:numPr>
          <w:ilvl w:val="1"/>
          <w:numId w:val="11"/>
        </w:numPr>
        <w:pBdr>
          <w:top w:val="nil"/>
          <w:left w:val="nil"/>
          <w:bottom w:val="nil"/>
          <w:right w:val="nil"/>
          <w:between w:val="nil"/>
        </w:pBdr>
        <w:spacing w:after="200" w:line="276" w:lineRule="auto"/>
        <w:contextualSpacing w:val="0"/>
        <w:jc w:val="both"/>
        <w:rPr>
          <w:color w:val="000000"/>
        </w:rPr>
      </w:pPr>
      <w:r>
        <w:rPr>
          <w:color w:val="000000"/>
        </w:rPr>
        <w:t xml:space="preserve">In </w:t>
      </w:r>
      <w:r w:rsidRPr="007213E0">
        <w:rPr>
          <w:b/>
          <w:bCs/>
          <w:color w:val="000000"/>
        </w:rPr>
        <w:t>Jamaica</w:t>
      </w:r>
      <w:r>
        <w:rPr>
          <w:color w:val="000000"/>
        </w:rPr>
        <w:t xml:space="preserve">, </w:t>
      </w:r>
      <w:r w:rsidRPr="00C14F13">
        <w:rPr>
          <w:color w:val="000000"/>
        </w:rPr>
        <w:t>the Dangerous Drugs (Amendment) Act 2015 recogni</w:t>
      </w:r>
      <w:r w:rsidR="00562CBC">
        <w:rPr>
          <w:color w:val="000000"/>
        </w:rPr>
        <w:t>s</w:t>
      </w:r>
      <w:r w:rsidRPr="00C14F13">
        <w:rPr>
          <w:color w:val="000000"/>
        </w:rPr>
        <w:t>ed the rights of Rastafarians to use cannabis for sacramental use</w:t>
      </w:r>
      <w:r w:rsidR="00562CBC">
        <w:rPr>
          <w:color w:val="000000"/>
        </w:rPr>
        <w:t>, as it allowed for the authorisation of cultivation of cannabis ‘</w:t>
      </w:r>
      <w:r w:rsidR="00562CBC" w:rsidRPr="00562CBC">
        <w:rPr>
          <w:color w:val="000000"/>
        </w:rPr>
        <w:t>for use for religious purposes as sacrament in adherence to the Rastafarian faith’</w:t>
      </w:r>
      <w:r w:rsidR="00B24043">
        <w:rPr>
          <w:color w:val="000000"/>
        </w:rPr>
        <w:t>.</w:t>
      </w:r>
      <w:r w:rsidR="00562CBC">
        <w:rPr>
          <w:rStyle w:val="EndnoteReference"/>
          <w:color w:val="000000"/>
        </w:rPr>
        <w:endnoteReference w:id="42"/>
      </w:r>
      <w:r w:rsidR="00562CBC">
        <w:rPr>
          <w:color w:val="000000"/>
        </w:rPr>
        <w:t xml:space="preserve"> </w:t>
      </w:r>
      <w:r w:rsidR="00B24043">
        <w:rPr>
          <w:color w:val="000000"/>
        </w:rPr>
        <w:t xml:space="preserve"> (Regrettably, this regulation failed to </w:t>
      </w:r>
      <w:r w:rsidR="00B24043" w:rsidRPr="00B24043">
        <w:rPr>
          <w:color w:val="000000"/>
        </w:rPr>
        <w:t>recogni</w:t>
      </w:r>
      <w:r w:rsidR="00B24043">
        <w:rPr>
          <w:color w:val="000000"/>
        </w:rPr>
        <w:t>s</w:t>
      </w:r>
      <w:r w:rsidR="00B24043" w:rsidRPr="00B24043">
        <w:rPr>
          <w:color w:val="000000"/>
        </w:rPr>
        <w:t xml:space="preserve">e the religious use of </w:t>
      </w:r>
      <w:r w:rsidR="00B24043">
        <w:rPr>
          <w:color w:val="000000"/>
        </w:rPr>
        <w:t xml:space="preserve">cannabis </w:t>
      </w:r>
      <w:r w:rsidR="00B24043" w:rsidRPr="00B24043">
        <w:rPr>
          <w:color w:val="000000"/>
        </w:rPr>
        <w:t xml:space="preserve">by the </w:t>
      </w:r>
      <w:r w:rsidR="007213E0">
        <w:rPr>
          <w:color w:val="000000"/>
        </w:rPr>
        <w:t xml:space="preserve">Afro-Jamaican </w:t>
      </w:r>
      <w:r w:rsidR="00B24043" w:rsidRPr="00B24043">
        <w:rPr>
          <w:color w:val="000000"/>
        </w:rPr>
        <w:t xml:space="preserve">Maroon </w:t>
      </w:r>
      <w:r w:rsidR="00B24043">
        <w:rPr>
          <w:color w:val="000000"/>
        </w:rPr>
        <w:t xml:space="preserve">and </w:t>
      </w:r>
      <w:proofErr w:type="spellStart"/>
      <w:r w:rsidR="00B24043" w:rsidRPr="00B24043">
        <w:rPr>
          <w:color w:val="000000"/>
        </w:rPr>
        <w:t>Kumina</w:t>
      </w:r>
      <w:proofErr w:type="spellEnd"/>
      <w:r w:rsidR="00B24043">
        <w:rPr>
          <w:color w:val="000000"/>
        </w:rPr>
        <w:t xml:space="preserve"> communities).</w:t>
      </w:r>
    </w:p>
    <w:p w14:paraId="2D67E241" w14:textId="5EDA203A" w:rsidR="001F56A3" w:rsidRDefault="001F56A3" w:rsidP="00C14F13">
      <w:pPr>
        <w:pStyle w:val="ListParagraph"/>
        <w:numPr>
          <w:ilvl w:val="1"/>
          <w:numId w:val="11"/>
        </w:numPr>
        <w:pBdr>
          <w:top w:val="nil"/>
          <w:left w:val="nil"/>
          <w:bottom w:val="nil"/>
          <w:right w:val="nil"/>
          <w:between w:val="nil"/>
        </w:pBdr>
        <w:spacing w:after="200" w:line="276" w:lineRule="auto"/>
        <w:contextualSpacing w:val="0"/>
        <w:jc w:val="both"/>
        <w:rPr>
          <w:color w:val="000000"/>
        </w:rPr>
      </w:pPr>
      <w:r>
        <w:rPr>
          <w:color w:val="000000"/>
        </w:rPr>
        <w:t xml:space="preserve">In </w:t>
      </w:r>
      <w:r w:rsidRPr="007213E0">
        <w:rPr>
          <w:b/>
          <w:bCs/>
          <w:color w:val="000000"/>
        </w:rPr>
        <w:t>Antigua and Barbuda</w:t>
      </w:r>
      <w:r>
        <w:rPr>
          <w:color w:val="000000"/>
        </w:rPr>
        <w:t>, the Cannabis Bill 2018 provides for the cultivation of cannabis ‘by a religious body’, subject to inspections and recommendation of authorities, as well as for the creation of ‘sacramental dispensaries’ where cannabis can be obtained for religious purposes.</w:t>
      </w:r>
    </w:p>
    <w:p w14:paraId="6042E2EB" w14:textId="48677C1E" w:rsidR="00BD3A5F" w:rsidRDefault="000E3E4C" w:rsidP="00F81B05">
      <w:pPr>
        <w:pStyle w:val="ListParagraph"/>
        <w:numPr>
          <w:ilvl w:val="0"/>
          <w:numId w:val="11"/>
        </w:numPr>
        <w:pBdr>
          <w:top w:val="nil"/>
          <w:left w:val="nil"/>
          <w:bottom w:val="nil"/>
          <w:right w:val="nil"/>
          <w:between w:val="nil"/>
        </w:pBdr>
        <w:spacing w:after="200" w:line="276" w:lineRule="auto"/>
        <w:ind w:left="426" w:hanging="426"/>
        <w:contextualSpacing w:val="0"/>
        <w:jc w:val="both"/>
        <w:rPr>
          <w:color w:val="000000"/>
        </w:rPr>
      </w:pPr>
      <w:r>
        <w:rPr>
          <w:color w:val="000000"/>
        </w:rPr>
        <w:t xml:space="preserve">In view of these </w:t>
      </w:r>
      <w:r w:rsidR="000D4C71">
        <w:rPr>
          <w:color w:val="000000"/>
        </w:rPr>
        <w:t>growing</w:t>
      </w:r>
      <w:r>
        <w:rPr>
          <w:color w:val="000000"/>
        </w:rPr>
        <w:t xml:space="preserve"> </w:t>
      </w:r>
      <w:r w:rsidR="00FF7556">
        <w:rPr>
          <w:color w:val="000000"/>
        </w:rPr>
        <w:t>trend</w:t>
      </w:r>
      <w:r>
        <w:rPr>
          <w:color w:val="000000"/>
        </w:rPr>
        <w:t xml:space="preserve">, the </w:t>
      </w:r>
      <w:r w:rsidR="007011A1">
        <w:rPr>
          <w:color w:val="000000"/>
        </w:rPr>
        <w:t xml:space="preserve">forthcoming </w:t>
      </w:r>
      <w:r>
        <w:rPr>
          <w:color w:val="000000"/>
        </w:rPr>
        <w:t xml:space="preserve">report </w:t>
      </w:r>
      <w:r w:rsidR="007011A1">
        <w:rPr>
          <w:color w:val="000000"/>
        </w:rPr>
        <w:t xml:space="preserve">on freedom of thought by the Special Rapporteur will be a welcome and consequential development, particularly if it </w:t>
      </w:r>
      <w:r>
        <w:rPr>
          <w:color w:val="000000"/>
        </w:rPr>
        <w:t xml:space="preserve">clarifies </w:t>
      </w:r>
      <w:r w:rsidR="000D4C71">
        <w:rPr>
          <w:color w:val="000000"/>
        </w:rPr>
        <w:t xml:space="preserve">the position of </w:t>
      </w:r>
      <w:r>
        <w:rPr>
          <w:color w:val="000000"/>
        </w:rPr>
        <w:t>cognitive liberty</w:t>
      </w:r>
      <w:r w:rsidR="007011A1">
        <w:rPr>
          <w:color w:val="000000"/>
        </w:rPr>
        <w:t xml:space="preserve"> within </w:t>
      </w:r>
      <w:r w:rsidR="000D4C71">
        <w:rPr>
          <w:color w:val="000000"/>
        </w:rPr>
        <w:t xml:space="preserve">the framework of </w:t>
      </w:r>
      <w:r w:rsidR="007011A1">
        <w:rPr>
          <w:color w:val="000000"/>
        </w:rPr>
        <w:t>international human rights law</w:t>
      </w:r>
      <w:r>
        <w:rPr>
          <w:color w:val="000000"/>
        </w:rPr>
        <w:t xml:space="preserve">, and </w:t>
      </w:r>
      <w:r w:rsidR="000D4C71">
        <w:rPr>
          <w:color w:val="000000"/>
        </w:rPr>
        <w:t xml:space="preserve">it </w:t>
      </w:r>
      <w:r>
        <w:rPr>
          <w:color w:val="000000"/>
        </w:rPr>
        <w:t xml:space="preserve">lays down the </w:t>
      </w:r>
      <w:r w:rsidR="000D4C71">
        <w:rPr>
          <w:color w:val="000000"/>
        </w:rPr>
        <w:t xml:space="preserve">conditions in which restrictions on such liberty would be lawful. </w:t>
      </w:r>
    </w:p>
    <w:p w14:paraId="451162A4" w14:textId="71273A98" w:rsidR="00790264" w:rsidRDefault="00790264" w:rsidP="00790264">
      <w:pPr>
        <w:pBdr>
          <w:top w:val="nil"/>
          <w:left w:val="nil"/>
          <w:bottom w:val="nil"/>
          <w:right w:val="nil"/>
          <w:between w:val="nil"/>
        </w:pBdr>
        <w:spacing w:after="200" w:line="276" w:lineRule="auto"/>
        <w:jc w:val="both"/>
        <w:rPr>
          <w:color w:val="000000"/>
        </w:rPr>
      </w:pPr>
    </w:p>
    <w:p w14:paraId="08FFCD96" w14:textId="587EAA6A" w:rsidR="00790264" w:rsidRDefault="00790264" w:rsidP="00790264">
      <w:pPr>
        <w:pBdr>
          <w:top w:val="nil"/>
          <w:left w:val="nil"/>
          <w:bottom w:val="nil"/>
          <w:right w:val="nil"/>
          <w:between w:val="nil"/>
        </w:pBdr>
        <w:spacing w:after="200" w:line="276" w:lineRule="auto"/>
        <w:jc w:val="both"/>
        <w:rPr>
          <w:color w:val="000000"/>
        </w:rPr>
      </w:pPr>
    </w:p>
    <w:p w14:paraId="0E5C83D2" w14:textId="0E39C491" w:rsidR="00790264" w:rsidRDefault="00790264" w:rsidP="00790264">
      <w:pPr>
        <w:pBdr>
          <w:top w:val="nil"/>
          <w:left w:val="nil"/>
          <w:bottom w:val="nil"/>
          <w:right w:val="nil"/>
          <w:between w:val="nil"/>
        </w:pBdr>
        <w:spacing w:after="200" w:line="276" w:lineRule="auto"/>
        <w:jc w:val="both"/>
        <w:rPr>
          <w:color w:val="000000"/>
        </w:rPr>
      </w:pPr>
    </w:p>
    <w:p w14:paraId="5936A7C5" w14:textId="20CF1A25" w:rsidR="00790264" w:rsidRDefault="00790264" w:rsidP="00790264">
      <w:pPr>
        <w:pBdr>
          <w:top w:val="nil"/>
          <w:left w:val="nil"/>
          <w:bottom w:val="nil"/>
          <w:right w:val="nil"/>
          <w:between w:val="nil"/>
        </w:pBdr>
        <w:spacing w:after="200" w:line="276" w:lineRule="auto"/>
        <w:jc w:val="both"/>
        <w:rPr>
          <w:color w:val="000000"/>
        </w:rPr>
      </w:pPr>
    </w:p>
    <w:p w14:paraId="442AAE4B" w14:textId="346D5D92" w:rsidR="00790264" w:rsidRDefault="00790264" w:rsidP="00790264">
      <w:pPr>
        <w:pBdr>
          <w:top w:val="nil"/>
          <w:left w:val="nil"/>
          <w:bottom w:val="nil"/>
          <w:right w:val="nil"/>
          <w:between w:val="nil"/>
        </w:pBdr>
        <w:spacing w:after="200" w:line="276" w:lineRule="auto"/>
        <w:jc w:val="both"/>
        <w:rPr>
          <w:color w:val="000000"/>
        </w:rPr>
      </w:pPr>
    </w:p>
    <w:p w14:paraId="62AB7A36" w14:textId="77777777" w:rsidR="00790264" w:rsidRPr="00790264" w:rsidRDefault="00790264" w:rsidP="00790264">
      <w:pPr>
        <w:pBdr>
          <w:top w:val="nil"/>
          <w:left w:val="nil"/>
          <w:bottom w:val="nil"/>
          <w:right w:val="nil"/>
          <w:between w:val="nil"/>
        </w:pBdr>
        <w:spacing w:after="200" w:line="276" w:lineRule="auto"/>
        <w:jc w:val="both"/>
        <w:rPr>
          <w:color w:val="000000"/>
        </w:rPr>
      </w:pPr>
    </w:p>
    <w:sectPr w:rsidR="00790264" w:rsidRPr="00790264" w:rsidSect="00F604F6">
      <w:headerReference w:type="default" r:id="rId16"/>
      <w:endnotePr>
        <w:numFmt w:val="decimal"/>
      </w:endnotePr>
      <w:pgSz w:w="11906" w:h="16838"/>
      <w:pgMar w:top="1701" w:right="1134" w:bottom="130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93ADC" w14:textId="77777777" w:rsidR="004E0497" w:rsidRDefault="004E0497">
      <w:r>
        <w:separator/>
      </w:r>
    </w:p>
  </w:endnote>
  <w:endnote w:type="continuationSeparator" w:id="0">
    <w:p w14:paraId="63E467B8" w14:textId="77777777" w:rsidR="004E0497" w:rsidRDefault="004E0497">
      <w:r>
        <w:continuationSeparator/>
      </w:r>
    </w:p>
  </w:endnote>
  <w:endnote w:id="1">
    <w:p w14:paraId="300ED889" w14:textId="781930EA" w:rsidR="00F81B05" w:rsidRPr="004D442B" w:rsidRDefault="00F81B05" w:rsidP="007213E0">
      <w:pPr>
        <w:pStyle w:val="EndnoteText"/>
        <w:rPr>
          <w:b/>
          <w:bCs/>
          <w:sz w:val="24"/>
          <w:szCs w:val="24"/>
        </w:rPr>
      </w:pPr>
      <w:r w:rsidRPr="004D442B">
        <w:rPr>
          <w:b/>
          <w:bCs/>
          <w:sz w:val="24"/>
          <w:szCs w:val="24"/>
        </w:rPr>
        <w:t>ENDNOTES</w:t>
      </w:r>
    </w:p>
    <w:p w14:paraId="79766962" w14:textId="77777777" w:rsidR="00F81B05" w:rsidRPr="00F81B05" w:rsidRDefault="00F81B05" w:rsidP="00F81B05">
      <w:pPr>
        <w:pStyle w:val="EndnoteText"/>
        <w:spacing w:after="60"/>
        <w:rPr>
          <w:rFonts w:asciiTheme="majorHAnsi" w:hAnsiTheme="majorHAnsi" w:cstheme="majorHAnsi"/>
        </w:rPr>
      </w:pPr>
    </w:p>
    <w:p w14:paraId="452DE300" w14:textId="1BD8A019" w:rsidR="007213E0" w:rsidRPr="004D442B" w:rsidRDefault="007213E0"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Pr="004D442B">
        <w:rPr>
          <w:rFonts w:asciiTheme="majorHAnsi" w:hAnsiTheme="majorHAnsi" w:cstheme="majorHAnsi"/>
        </w:rPr>
        <w:t xml:space="preserve"> See amongst others: </w:t>
      </w:r>
      <w:hyperlink r:id="rId1">
        <w:r w:rsidRPr="004D442B">
          <w:rPr>
            <w:rFonts w:asciiTheme="majorHAnsi" w:hAnsiTheme="majorHAnsi" w:cstheme="majorHAnsi"/>
            <w:color w:val="1155CC"/>
            <w:u w:val="single"/>
          </w:rPr>
          <w:t>https://pubmed.ncbi.nlm.nih.gov/26838469/</w:t>
        </w:r>
      </w:hyperlink>
      <w:r w:rsidR="00F81B05" w:rsidRPr="004D442B">
        <w:rPr>
          <w:rFonts w:asciiTheme="majorHAnsi" w:hAnsiTheme="majorHAnsi" w:cstheme="majorHAnsi"/>
        </w:rPr>
        <w:t>;</w:t>
      </w:r>
      <w:r w:rsidRPr="004D442B">
        <w:rPr>
          <w:rFonts w:asciiTheme="majorHAnsi" w:hAnsiTheme="majorHAnsi" w:cstheme="majorHAnsi"/>
        </w:rPr>
        <w:t xml:space="preserve"> </w:t>
      </w:r>
      <w:hyperlink r:id="rId2" w:history="1">
        <w:r w:rsidRPr="004D442B">
          <w:rPr>
            <w:rStyle w:val="Hyperlink"/>
            <w:rFonts w:asciiTheme="majorHAnsi" w:hAnsiTheme="majorHAnsi" w:cstheme="majorHAnsi"/>
            <w:highlight w:val="white"/>
          </w:rPr>
          <w:t>https://link.springer.com/chapter/10.1007/978-94-007-6253-4_19</w:t>
        </w:r>
      </w:hyperlink>
    </w:p>
  </w:endnote>
  <w:endnote w:id="2">
    <w:p w14:paraId="37620947" w14:textId="4B731F98" w:rsidR="002B4AD0" w:rsidRPr="004D442B" w:rsidRDefault="002B4AD0" w:rsidP="00F81B05">
      <w:pPr>
        <w:spacing w:after="60"/>
        <w:rPr>
          <w:rFonts w:asciiTheme="majorHAnsi" w:hAnsiTheme="majorHAnsi" w:cstheme="majorHAnsi"/>
          <w:sz w:val="20"/>
          <w:szCs w:val="20"/>
        </w:rPr>
      </w:pPr>
      <w:r w:rsidRPr="004D442B">
        <w:rPr>
          <w:rStyle w:val="EndnoteReference"/>
          <w:rFonts w:asciiTheme="majorHAnsi" w:hAnsiTheme="majorHAnsi" w:cstheme="majorHAnsi"/>
          <w:sz w:val="20"/>
          <w:szCs w:val="20"/>
        </w:rPr>
        <w:endnoteRef/>
      </w:r>
      <w:r w:rsidRPr="004D442B">
        <w:rPr>
          <w:rFonts w:asciiTheme="majorHAnsi" w:hAnsiTheme="majorHAnsi" w:cstheme="majorHAnsi"/>
          <w:sz w:val="20"/>
          <w:szCs w:val="20"/>
        </w:rPr>
        <w:t xml:space="preserve"> </w:t>
      </w:r>
      <w:r w:rsidR="00F81B05" w:rsidRPr="004D442B">
        <w:rPr>
          <w:rFonts w:asciiTheme="majorHAnsi" w:hAnsiTheme="majorHAnsi" w:cstheme="majorHAnsi"/>
          <w:sz w:val="20"/>
          <w:szCs w:val="20"/>
        </w:rPr>
        <w:t xml:space="preserve">See: </w:t>
      </w:r>
      <w:hyperlink r:id="rId3">
        <w:r w:rsidRPr="004D442B">
          <w:rPr>
            <w:rFonts w:asciiTheme="majorHAnsi" w:hAnsiTheme="majorHAnsi" w:cstheme="majorHAnsi"/>
            <w:color w:val="1155CC"/>
            <w:sz w:val="20"/>
            <w:szCs w:val="20"/>
            <w:u w:val="single"/>
          </w:rPr>
          <w:t>https://pubmed.ncbi.nlm.nih.gov/26838469/</w:t>
        </w:r>
      </w:hyperlink>
      <w:r w:rsidRPr="004D442B">
        <w:rPr>
          <w:rFonts w:asciiTheme="majorHAnsi" w:hAnsiTheme="majorHAnsi" w:cstheme="majorHAnsi"/>
          <w:sz w:val="20"/>
          <w:szCs w:val="20"/>
        </w:rPr>
        <w:t xml:space="preserve">. </w:t>
      </w:r>
    </w:p>
  </w:endnote>
  <w:endnote w:id="3">
    <w:p w14:paraId="4E3F7659" w14:textId="78BE4034" w:rsidR="002B4AD0" w:rsidRPr="004D442B" w:rsidRDefault="002B4AD0" w:rsidP="00F81B05">
      <w:pPr>
        <w:spacing w:after="60"/>
        <w:rPr>
          <w:rFonts w:asciiTheme="majorHAnsi" w:hAnsiTheme="majorHAnsi" w:cstheme="majorHAnsi"/>
          <w:sz w:val="20"/>
          <w:szCs w:val="20"/>
        </w:rPr>
      </w:pPr>
      <w:r w:rsidRPr="004D442B">
        <w:rPr>
          <w:rStyle w:val="EndnoteReference"/>
          <w:rFonts w:asciiTheme="majorHAnsi" w:hAnsiTheme="majorHAnsi" w:cstheme="majorHAnsi"/>
          <w:sz w:val="20"/>
          <w:szCs w:val="20"/>
        </w:rPr>
        <w:endnoteRef/>
      </w:r>
      <w:r w:rsidRPr="004D442B">
        <w:rPr>
          <w:rFonts w:asciiTheme="majorHAnsi" w:hAnsiTheme="majorHAnsi" w:cstheme="majorHAnsi"/>
          <w:sz w:val="20"/>
          <w:szCs w:val="20"/>
        </w:rPr>
        <w:t xml:space="preserve"> </w:t>
      </w:r>
      <w:r w:rsidR="00F81B05" w:rsidRPr="004D442B">
        <w:rPr>
          <w:rFonts w:asciiTheme="majorHAnsi" w:hAnsiTheme="majorHAnsi" w:cstheme="majorHAnsi"/>
          <w:sz w:val="20"/>
          <w:szCs w:val="20"/>
        </w:rPr>
        <w:t xml:space="preserve">See: </w:t>
      </w:r>
      <w:r w:rsidRPr="004D442B">
        <w:rPr>
          <w:rFonts w:asciiTheme="majorHAnsi" w:hAnsiTheme="majorHAnsi" w:cstheme="majorHAnsi"/>
          <w:sz w:val="20"/>
          <w:szCs w:val="20"/>
        </w:rPr>
        <w:t xml:space="preserve"> </w:t>
      </w:r>
      <w:hyperlink r:id="rId4">
        <w:r w:rsidRPr="004D442B">
          <w:rPr>
            <w:rFonts w:asciiTheme="majorHAnsi" w:hAnsiTheme="majorHAnsi" w:cstheme="majorHAnsi"/>
            <w:color w:val="1155CC"/>
            <w:sz w:val="20"/>
            <w:szCs w:val="20"/>
            <w:u w:val="single"/>
          </w:rPr>
          <w:t>https://pubmed.ncbi.nlm.nih.gov/26838469/</w:t>
        </w:r>
      </w:hyperlink>
      <w:r w:rsidRPr="004D442B">
        <w:rPr>
          <w:rFonts w:asciiTheme="majorHAnsi" w:hAnsiTheme="majorHAnsi" w:cstheme="majorHAnsi"/>
          <w:sz w:val="20"/>
          <w:szCs w:val="20"/>
        </w:rPr>
        <w:t xml:space="preserve">. </w:t>
      </w:r>
    </w:p>
  </w:endnote>
  <w:endnote w:id="4">
    <w:p w14:paraId="0E9DD69A" w14:textId="77777777" w:rsidR="00C16E4A" w:rsidRPr="004D442B" w:rsidRDefault="00C16E4A"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Pr="004D442B">
        <w:rPr>
          <w:rFonts w:asciiTheme="majorHAnsi" w:hAnsiTheme="majorHAnsi" w:cstheme="majorHAnsi"/>
        </w:rPr>
        <w:t xml:space="preserve"> Bublitz, </w:t>
      </w:r>
      <w:hyperlink r:id="rId5" w:history="1">
        <w:r w:rsidRPr="004D442B">
          <w:rPr>
            <w:rStyle w:val="Hyperlink"/>
            <w:rFonts w:asciiTheme="majorHAnsi" w:hAnsiTheme="majorHAnsi" w:cstheme="majorHAnsi"/>
            <w:highlight w:val="white"/>
          </w:rPr>
          <w:t>https://link.springer.com/chapter/10.1007/978-94-007-6253-4_19</w:t>
        </w:r>
      </w:hyperlink>
    </w:p>
  </w:endnote>
  <w:endnote w:id="5">
    <w:p w14:paraId="3F1FC3B5" w14:textId="571489A2" w:rsidR="0037112C" w:rsidRPr="004D442B" w:rsidRDefault="0037112C"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Pr="004D442B">
        <w:rPr>
          <w:rFonts w:asciiTheme="majorHAnsi" w:hAnsiTheme="majorHAnsi" w:cstheme="majorHAnsi"/>
        </w:rPr>
        <w:t xml:space="preserve"> </w:t>
      </w:r>
      <w:r w:rsidR="00F81B05" w:rsidRPr="004D442B">
        <w:rPr>
          <w:rFonts w:asciiTheme="majorHAnsi" w:hAnsiTheme="majorHAnsi" w:cstheme="majorHAnsi"/>
        </w:rPr>
        <w:t>See:</w:t>
      </w:r>
      <w:r w:rsidR="004D442B" w:rsidRPr="004D442B">
        <w:rPr>
          <w:rFonts w:asciiTheme="majorHAnsi" w:hAnsiTheme="majorHAnsi" w:cstheme="majorHAnsi"/>
        </w:rPr>
        <w:t xml:space="preserve"> https://www.scielo.br/scielo.ph p?pid=S1516-44462006000200015&amp;script=sci_arttext&amp;tlng=e</w:t>
      </w:r>
      <w:r w:rsidR="004D442B">
        <w:rPr>
          <w:rFonts w:asciiTheme="majorHAnsi" w:hAnsiTheme="majorHAnsi" w:cstheme="majorHAnsi"/>
        </w:rPr>
        <w:t xml:space="preserve">n </w:t>
      </w:r>
    </w:p>
  </w:endnote>
  <w:endnote w:id="6">
    <w:p w14:paraId="57826A20" w14:textId="18A82004" w:rsidR="00F96028" w:rsidRPr="004D442B" w:rsidRDefault="00F96028"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Pr="004D442B">
        <w:rPr>
          <w:rFonts w:asciiTheme="majorHAnsi" w:hAnsiTheme="majorHAnsi" w:cstheme="majorHAnsi"/>
        </w:rPr>
        <w:t xml:space="preserve"> </w:t>
      </w:r>
      <w:r w:rsidR="00F81B05" w:rsidRPr="004D442B">
        <w:rPr>
          <w:rFonts w:asciiTheme="majorHAnsi" w:hAnsiTheme="majorHAnsi" w:cstheme="majorHAnsi"/>
        </w:rPr>
        <w:t xml:space="preserve">See: </w:t>
      </w:r>
      <w:hyperlink r:id="rId6" w:history="1">
        <w:r w:rsidR="00F81B05" w:rsidRPr="004D442B">
          <w:rPr>
            <w:rStyle w:val="Hyperlink"/>
            <w:rFonts w:asciiTheme="majorHAnsi" w:hAnsiTheme="majorHAnsi" w:cstheme="majorHAnsi"/>
          </w:rPr>
          <w:t>https://wdr.unodc.org/wdr2020/en/drug-use-health.html</w:t>
        </w:r>
      </w:hyperlink>
      <w:r w:rsidRPr="004D442B">
        <w:rPr>
          <w:rFonts w:asciiTheme="majorHAnsi" w:hAnsiTheme="majorHAnsi" w:cstheme="majorHAnsi"/>
        </w:rPr>
        <w:t xml:space="preserve"> </w:t>
      </w:r>
    </w:p>
  </w:endnote>
  <w:endnote w:id="7">
    <w:p w14:paraId="2A358DB4" w14:textId="5A2771AC" w:rsidR="00E23A88" w:rsidRPr="004D442B" w:rsidRDefault="00E23A88"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Pr="004D442B">
        <w:rPr>
          <w:rFonts w:asciiTheme="majorHAnsi" w:hAnsiTheme="majorHAnsi" w:cstheme="majorHAnsi"/>
        </w:rPr>
        <w:t xml:space="preserve"> </w:t>
      </w:r>
      <w:r w:rsidR="00F81B05" w:rsidRPr="004D442B">
        <w:rPr>
          <w:rFonts w:asciiTheme="majorHAnsi" w:hAnsiTheme="majorHAnsi" w:cstheme="majorHAnsi"/>
        </w:rPr>
        <w:t xml:space="preserve">See, amongst many others: </w:t>
      </w:r>
      <w:hyperlink r:id="rId7" w:history="1">
        <w:r w:rsidR="00F81B05" w:rsidRPr="004D442B">
          <w:rPr>
            <w:rStyle w:val="Hyperlink"/>
            <w:rFonts w:asciiTheme="majorHAnsi" w:hAnsiTheme="majorHAnsi" w:cstheme="majorHAnsi"/>
          </w:rPr>
          <w:t>https://www.theguardian.com/tv-and-radio/2013/dec/22/art-heroin-christiane-f</w:t>
        </w:r>
      </w:hyperlink>
      <w:r w:rsidRPr="004D442B">
        <w:rPr>
          <w:rFonts w:asciiTheme="majorHAnsi" w:hAnsiTheme="majorHAnsi" w:cstheme="majorHAnsi"/>
        </w:rPr>
        <w:t xml:space="preserve"> </w:t>
      </w:r>
    </w:p>
  </w:endnote>
  <w:endnote w:id="8">
    <w:p w14:paraId="06C53111" w14:textId="5C67D7A8" w:rsidR="00F96028" w:rsidRPr="004D442B" w:rsidRDefault="00F96028"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Pr="004D442B">
        <w:rPr>
          <w:rFonts w:asciiTheme="majorHAnsi" w:hAnsiTheme="majorHAnsi" w:cstheme="majorHAnsi"/>
        </w:rPr>
        <w:t xml:space="preserve"> </w:t>
      </w:r>
      <w:r w:rsidR="00F81B05" w:rsidRPr="004D442B">
        <w:rPr>
          <w:rFonts w:asciiTheme="majorHAnsi" w:hAnsiTheme="majorHAnsi" w:cstheme="majorHAnsi"/>
        </w:rPr>
        <w:t xml:space="preserve">See: </w:t>
      </w:r>
      <w:hyperlink r:id="rId8" w:history="1">
        <w:r w:rsidR="00F81B05" w:rsidRPr="004D442B">
          <w:rPr>
            <w:rStyle w:val="Hyperlink"/>
            <w:rFonts w:asciiTheme="majorHAnsi" w:hAnsiTheme="majorHAnsi" w:cstheme="majorHAnsi"/>
          </w:rPr>
          <w:t>https://filtermag.org/youth-clubbing-mdma-ecstasy/</w:t>
        </w:r>
      </w:hyperlink>
      <w:r w:rsidRPr="004D442B">
        <w:rPr>
          <w:rFonts w:asciiTheme="majorHAnsi" w:hAnsiTheme="majorHAnsi" w:cstheme="majorHAnsi"/>
        </w:rPr>
        <w:t xml:space="preserve"> </w:t>
      </w:r>
    </w:p>
  </w:endnote>
  <w:endnote w:id="9">
    <w:p w14:paraId="7C992851" w14:textId="26AC64E8" w:rsidR="00AE300A" w:rsidRPr="004D442B" w:rsidRDefault="00AE300A"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Pr="004D442B">
        <w:rPr>
          <w:rFonts w:asciiTheme="majorHAnsi" w:hAnsiTheme="majorHAnsi" w:cstheme="majorHAnsi"/>
        </w:rPr>
        <w:t xml:space="preserve"> </w:t>
      </w:r>
      <w:r w:rsidR="00F81B05" w:rsidRPr="004D442B">
        <w:rPr>
          <w:rFonts w:asciiTheme="majorHAnsi" w:hAnsiTheme="majorHAnsi" w:cstheme="majorHAnsi"/>
        </w:rPr>
        <w:t xml:space="preserve">See: </w:t>
      </w:r>
      <w:hyperlink r:id="rId9" w:history="1">
        <w:r w:rsidR="00F81B05" w:rsidRPr="004D442B">
          <w:rPr>
            <w:rStyle w:val="Hyperlink"/>
            <w:rFonts w:asciiTheme="majorHAnsi" w:hAnsiTheme="majorHAnsi" w:cstheme="majorHAnsi"/>
          </w:rPr>
          <w:t>https://www.nature.com/articles/s41591-021-01336-3</w:t>
        </w:r>
      </w:hyperlink>
      <w:r w:rsidRPr="004D442B">
        <w:rPr>
          <w:rFonts w:asciiTheme="majorHAnsi" w:hAnsiTheme="majorHAnsi" w:cstheme="majorHAnsi"/>
        </w:rPr>
        <w:t xml:space="preserve"> </w:t>
      </w:r>
    </w:p>
  </w:endnote>
  <w:endnote w:id="10">
    <w:p w14:paraId="5B4D16E2" w14:textId="264A2188" w:rsidR="00FB112A" w:rsidRPr="004D442B" w:rsidRDefault="00FB112A"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Pr="004D442B">
        <w:rPr>
          <w:rFonts w:asciiTheme="majorHAnsi" w:hAnsiTheme="majorHAnsi" w:cstheme="majorHAnsi"/>
        </w:rPr>
        <w:t xml:space="preserve"> </w:t>
      </w:r>
      <w:r w:rsidR="00F81B05" w:rsidRPr="004D442B">
        <w:rPr>
          <w:rFonts w:asciiTheme="majorHAnsi" w:hAnsiTheme="majorHAnsi" w:cstheme="majorHAnsi"/>
        </w:rPr>
        <w:t xml:space="preserve">See: </w:t>
      </w:r>
      <w:hyperlink r:id="rId10" w:history="1">
        <w:r w:rsidR="00F81B05" w:rsidRPr="004D442B">
          <w:rPr>
            <w:rStyle w:val="Hyperlink"/>
            <w:rFonts w:asciiTheme="majorHAnsi" w:hAnsiTheme="majorHAnsi" w:cstheme="majorHAnsi"/>
          </w:rPr>
          <w:t>https://www.refworld.org/docid/453883fb22.html</w:t>
        </w:r>
      </w:hyperlink>
      <w:r w:rsidRPr="004D442B">
        <w:rPr>
          <w:rFonts w:asciiTheme="majorHAnsi" w:hAnsiTheme="majorHAnsi" w:cstheme="majorHAnsi"/>
        </w:rPr>
        <w:t xml:space="preserve"> </w:t>
      </w:r>
    </w:p>
  </w:endnote>
  <w:endnote w:id="11">
    <w:p w14:paraId="3B93A24E" w14:textId="4BC1188F" w:rsidR="00A900B4" w:rsidRPr="004D442B" w:rsidRDefault="00A900B4"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Pr="004D442B">
        <w:rPr>
          <w:rFonts w:asciiTheme="majorHAnsi" w:hAnsiTheme="majorHAnsi" w:cstheme="majorHAnsi"/>
        </w:rPr>
        <w:t xml:space="preserve"> </w:t>
      </w:r>
      <w:r w:rsidR="00F81B05" w:rsidRPr="004D442B">
        <w:rPr>
          <w:rFonts w:asciiTheme="majorHAnsi" w:hAnsiTheme="majorHAnsi" w:cstheme="majorHAnsi"/>
        </w:rPr>
        <w:t xml:space="preserve">See: </w:t>
      </w:r>
      <w:hyperlink r:id="rId11" w:history="1">
        <w:r w:rsidR="00F81B05" w:rsidRPr="004D442B">
          <w:rPr>
            <w:rStyle w:val="Hyperlink"/>
            <w:rFonts w:asciiTheme="majorHAnsi" w:hAnsiTheme="majorHAnsi" w:cstheme="majorHAnsi"/>
          </w:rPr>
          <w:t>https://link.springer.com/book/10.1007/978-3-642-40957-8</w:t>
        </w:r>
      </w:hyperlink>
      <w:r w:rsidR="00F81B05" w:rsidRPr="004D442B">
        <w:rPr>
          <w:rFonts w:asciiTheme="majorHAnsi" w:hAnsiTheme="majorHAnsi" w:cstheme="majorHAnsi"/>
        </w:rPr>
        <w:t xml:space="preserve">, p. 92. </w:t>
      </w:r>
    </w:p>
  </w:endnote>
  <w:endnote w:id="12">
    <w:p w14:paraId="32F46A27" w14:textId="30B77D29" w:rsidR="00DE6766" w:rsidRPr="004D442B" w:rsidRDefault="00DE6766"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00F81B05" w:rsidRPr="004D442B">
        <w:rPr>
          <w:rFonts w:asciiTheme="majorHAnsi" w:hAnsiTheme="majorHAnsi" w:cstheme="majorHAnsi"/>
        </w:rPr>
        <w:t xml:space="preserve"> See: </w:t>
      </w:r>
      <w:hyperlink r:id="rId12" w:history="1">
        <w:r w:rsidR="00F81B05" w:rsidRPr="004D442B">
          <w:rPr>
            <w:rStyle w:val="Hyperlink"/>
            <w:rFonts w:asciiTheme="majorHAnsi" w:hAnsiTheme="majorHAnsi" w:cstheme="majorHAnsi"/>
          </w:rPr>
          <w:t>https://verbumetecclesia.org.za/index.php/ve/article/view/199</w:t>
        </w:r>
      </w:hyperlink>
      <w:r w:rsidR="00F81B05" w:rsidRPr="004D442B">
        <w:rPr>
          <w:rFonts w:asciiTheme="majorHAnsi" w:hAnsiTheme="majorHAnsi" w:cstheme="majorHAnsi"/>
        </w:rPr>
        <w:t>,</w:t>
      </w:r>
      <w:r w:rsidRPr="004D442B">
        <w:rPr>
          <w:rFonts w:asciiTheme="majorHAnsi" w:hAnsiTheme="majorHAnsi" w:cstheme="majorHAnsi"/>
        </w:rPr>
        <w:t xml:space="preserve"> pp. 13-14. </w:t>
      </w:r>
    </w:p>
  </w:endnote>
  <w:endnote w:id="13">
    <w:p w14:paraId="50052C02" w14:textId="1F16965C" w:rsidR="00DE6766" w:rsidRPr="004D442B" w:rsidRDefault="00DE6766"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Pr="004D442B">
        <w:rPr>
          <w:rFonts w:asciiTheme="majorHAnsi" w:hAnsiTheme="majorHAnsi" w:cstheme="majorHAnsi"/>
        </w:rPr>
        <w:t xml:space="preserve"> </w:t>
      </w:r>
      <w:r w:rsidR="00F81B05" w:rsidRPr="004D442B">
        <w:rPr>
          <w:rFonts w:asciiTheme="majorHAnsi" w:hAnsiTheme="majorHAnsi" w:cstheme="majorHAnsi"/>
        </w:rPr>
        <w:t xml:space="preserve">See: </w:t>
      </w:r>
      <w:hyperlink r:id="rId13" w:history="1">
        <w:r w:rsidR="00F81B05" w:rsidRPr="004D442B">
          <w:rPr>
            <w:rStyle w:val="Hyperlink"/>
            <w:rFonts w:asciiTheme="majorHAnsi" w:hAnsiTheme="majorHAnsi" w:cstheme="majorHAnsi"/>
          </w:rPr>
          <w:t>http://www.bbc.com/travel/story/20170307-the-intoxicating-drug-of-an-indian-god</w:t>
        </w:r>
      </w:hyperlink>
      <w:r w:rsidRPr="004D442B">
        <w:rPr>
          <w:rFonts w:asciiTheme="majorHAnsi" w:hAnsiTheme="majorHAnsi" w:cstheme="majorHAnsi"/>
        </w:rPr>
        <w:t xml:space="preserve">; </w:t>
      </w:r>
      <w:hyperlink r:id="rId14" w:anchor="prettyPhoto" w:history="1">
        <w:r w:rsidRPr="004D442B">
          <w:rPr>
            <w:rStyle w:val="Hyperlink"/>
            <w:rFonts w:asciiTheme="majorHAnsi" w:hAnsiTheme="majorHAnsi" w:cstheme="majorHAnsi"/>
          </w:rPr>
          <w:t>https://www.cannabisculture.com/content/2019/12/09/the-ganja-culture-of-india/#prettyPhoto</w:t>
        </w:r>
      </w:hyperlink>
      <w:r w:rsidRPr="004D442B">
        <w:rPr>
          <w:rFonts w:asciiTheme="majorHAnsi" w:hAnsiTheme="majorHAnsi" w:cstheme="majorHAnsi"/>
        </w:rPr>
        <w:t xml:space="preserve">  </w:t>
      </w:r>
    </w:p>
  </w:endnote>
  <w:endnote w:id="14">
    <w:p w14:paraId="25E40CA0" w14:textId="60DB1EC1" w:rsidR="00DE6766" w:rsidRPr="004D442B" w:rsidRDefault="00DE6766"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Pr="004D442B">
        <w:rPr>
          <w:rFonts w:asciiTheme="majorHAnsi" w:hAnsiTheme="majorHAnsi" w:cstheme="majorHAnsi"/>
        </w:rPr>
        <w:t xml:space="preserve"> </w:t>
      </w:r>
      <w:r w:rsidR="00F81B05" w:rsidRPr="004D442B">
        <w:rPr>
          <w:rFonts w:asciiTheme="majorHAnsi" w:hAnsiTheme="majorHAnsi" w:cstheme="majorHAnsi"/>
        </w:rPr>
        <w:t xml:space="preserve">See: </w:t>
      </w:r>
      <w:hyperlink r:id="rId15" w:history="1">
        <w:r w:rsidR="00F81B05" w:rsidRPr="004D442B">
          <w:rPr>
            <w:rStyle w:val="Hyperlink"/>
            <w:rFonts w:asciiTheme="majorHAnsi" w:hAnsiTheme="majorHAnsi" w:cstheme="majorHAnsi"/>
          </w:rPr>
          <w:t>https://erowid.org/spirit/traditions/buddhism/buddhism_tantra_article1.shtml</w:t>
        </w:r>
      </w:hyperlink>
      <w:r w:rsidRPr="004D442B">
        <w:rPr>
          <w:rFonts w:asciiTheme="majorHAnsi" w:hAnsiTheme="majorHAnsi" w:cstheme="majorHAnsi"/>
        </w:rPr>
        <w:t xml:space="preserve"> </w:t>
      </w:r>
    </w:p>
  </w:endnote>
  <w:endnote w:id="15">
    <w:p w14:paraId="349DCD97" w14:textId="75A9628A" w:rsidR="00AF479C" w:rsidRPr="004D442B" w:rsidRDefault="00AF479C"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Pr="004D442B">
        <w:rPr>
          <w:rFonts w:asciiTheme="majorHAnsi" w:hAnsiTheme="majorHAnsi" w:cstheme="majorHAnsi"/>
        </w:rPr>
        <w:t xml:space="preserve"> </w:t>
      </w:r>
      <w:r w:rsidR="00F81B05" w:rsidRPr="004D442B">
        <w:rPr>
          <w:rFonts w:asciiTheme="majorHAnsi" w:hAnsiTheme="majorHAnsi" w:cstheme="majorHAnsi"/>
        </w:rPr>
        <w:t xml:space="preserve">See: </w:t>
      </w:r>
      <w:hyperlink r:id="rId16" w:history="1">
        <w:r w:rsidR="00F81B05" w:rsidRPr="004D442B">
          <w:rPr>
            <w:rStyle w:val="Hyperlink"/>
            <w:rFonts w:asciiTheme="majorHAnsi" w:hAnsiTheme="majorHAnsi" w:cstheme="majorHAnsi"/>
          </w:rPr>
          <w:t>https://link.springer.com/book/10.1007/978-3-642-40957-8</w:t>
        </w:r>
      </w:hyperlink>
      <w:r w:rsidR="00F81B05" w:rsidRPr="004D442B">
        <w:rPr>
          <w:rFonts w:asciiTheme="majorHAnsi" w:hAnsiTheme="majorHAnsi" w:cstheme="majorHAnsi"/>
        </w:rPr>
        <w:t>, p. 111.</w:t>
      </w:r>
    </w:p>
  </w:endnote>
  <w:endnote w:id="16">
    <w:p w14:paraId="3F822DBF" w14:textId="10D65E2C" w:rsidR="007344AE" w:rsidRPr="004D442B" w:rsidRDefault="007344AE"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Pr="004D442B">
        <w:rPr>
          <w:rFonts w:asciiTheme="majorHAnsi" w:hAnsiTheme="majorHAnsi" w:cstheme="majorHAnsi"/>
        </w:rPr>
        <w:t xml:space="preserve"> </w:t>
      </w:r>
      <w:r w:rsidR="00F81B05" w:rsidRPr="004D442B">
        <w:rPr>
          <w:rFonts w:asciiTheme="majorHAnsi" w:hAnsiTheme="majorHAnsi" w:cstheme="majorHAnsi"/>
        </w:rPr>
        <w:t xml:space="preserve">See: </w:t>
      </w:r>
      <w:hyperlink r:id="rId17" w:history="1">
        <w:r w:rsidR="00F81B05" w:rsidRPr="004D442B">
          <w:rPr>
            <w:rStyle w:val="Hyperlink"/>
            <w:rFonts w:asciiTheme="majorHAnsi" w:hAnsiTheme="majorHAnsi" w:cstheme="majorHAnsi"/>
          </w:rPr>
          <w:t>https://www.iceers.org/ayahuasca-legal-status/</w:t>
        </w:r>
      </w:hyperlink>
      <w:r w:rsidRPr="004D442B">
        <w:rPr>
          <w:rFonts w:asciiTheme="majorHAnsi" w:hAnsiTheme="majorHAnsi" w:cstheme="majorHAnsi"/>
        </w:rPr>
        <w:t xml:space="preserve"> </w:t>
      </w:r>
    </w:p>
  </w:endnote>
  <w:endnote w:id="17">
    <w:p w14:paraId="62A7209A" w14:textId="1994745A" w:rsidR="00C62E97" w:rsidRPr="004D442B" w:rsidRDefault="007B7109"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Pr="004D442B">
        <w:rPr>
          <w:rFonts w:asciiTheme="majorHAnsi" w:hAnsiTheme="majorHAnsi" w:cstheme="majorHAnsi"/>
        </w:rPr>
        <w:t xml:space="preserve"> For a review of uses, see: </w:t>
      </w:r>
      <w:hyperlink r:id="rId18" w:history="1">
        <w:r w:rsidR="00F81B05" w:rsidRPr="004D442B">
          <w:rPr>
            <w:rStyle w:val="Hyperlink"/>
            <w:rFonts w:asciiTheme="majorHAnsi" w:hAnsiTheme="majorHAnsi" w:cstheme="majorHAnsi"/>
          </w:rPr>
          <w:t>https://link.springer.com/book/10.1007/978-3-642-40957-8</w:t>
        </w:r>
      </w:hyperlink>
      <w:r w:rsidR="00F81B05" w:rsidRPr="004D442B">
        <w:rPr>
          <w:rFonts w:asciiTheme="majorHAnsi" w:hAnsiTheme="majorHAnsi" w:cstheme="majorHAnsi"/>
        </w:rPr>
        <w:t xml:space="preserve">, p. 36. </w:t>
      </w:r>
    </w:p>
  </w:endnote>
  <w:endnote w:id="18">
    <w:p w14:paraId="3CC12E39" w14:textId="3EFDEC13" w:rsidR="00CB5F6F" w:rsidRPr="004D442B" w:rsidRDefault="00CB5F6F"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Pr="004D442B">
        <w:rPr>
          <w:rFonts w:asciiTheme="majorHAnsi" w:hAnsiTheme="majorHAnsi" w:cstheme="majorHAnsi"/>
        </w:rPr>
        <w:t xml:space="preserve"> </w:t>
      </w:r>
      <w:r w:rsidR="00F81B05" w:rsidRPr="004D442B">
        <w:rPr>
          <w:rFonts w:asciiTheme="majorHAnsi" w:hAnsiTheme="majorHAnsi" w:cstheme="majorHAnsi"/>
        </w:rPr>
        <w:t xml:space="preserve">See: </w:t>
      </w:r>
      <w:hyperlink r:id="rId19" w:history="1">
        <w:r w:rsidR="00F81B05" w:rsidRPr="004D442B">
          <w:rPr>
            <w:rStyle w:val="Hyperlink"/>
            <w:rFonts w:asciiTheme="majorHAnsi" w:hAnsiTheme="majorHAnsi" w:cstheme="majorHAnsi"/>
          </w:rPr>
          <w:t>https://www.ncbi.nlm.nih.gov/pmc/articles/PMC5473056/</w:t>
        </w:r>
      </w:hyperlink>
      <w:r w:rsidRPr="004D442B">
        <w:rPr>
          <w:rFonts w:asciiTheme="majorHAnsi" w:hAnsiTheme="majorHAnsi" w:cstheme="majorHAnsi"/>
        </w:rPr>
        <w:t xml:space="preserve"> </w:t>
      </w:r>
    </w:p>
  </w:endnote>
  <w:endnote w:id="19">
    <w:p w14:paraId="0F7F854D" w14:textId="06603451" w:rsidR="001463D9" w:rsidRPr="004D442B" w:rsidRDefault="001463D9"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Pr="00497C50">
        <w:rPr>
          <w:rFonts w:asciiTheme="majorHAnsi" w:hAnsiTheme="majorHAnsi" w:cstheme="majorHAnsi"/>
          <w:lang w:val="en-US"/>
        </w:rPr>
        <w:t xml:space="preserve"> </w:t>
      </w:r>
      <w:r w:rsidR="00F81B05" w:rsidRPr="00497C50">
        <w:rPr>
          <w:rFonts w:asciiTheme="majorHAnsi" w:hAnsiTheme="majorHAnsi" w:cstheme="majorHAnsi"/>
          <w:lang w:val="en-US"/>
        </w:rPr>
        <w:t xml:space="preserve">See: </w:t>
      </w:r>
      <w:hyperlink r:id="rId20" w:history="1">
        <w:r w:rsidR="00F81B05" w:rsidRPr="00497C50">
          <w:rPr>
            <w:rStyle w:val="Hyperlink"/>
            <w:rFonts w:asciiTheme="majorHAnsi" w:hAnsiTheme="majorHAnsi" w:cstheme="majorHAnsi"/>
            <w:lang w:val="en-US"/>
          </w:rPr>
          <w:t>https://www.refworld.org/docid/453883fb22.html</w:t>
        </w:r>
      </w:hyperlink>
      <w:r w:rsidRPr="00497C50">
        <w:rPr>
          <w:rFonts w:asciiTheme="majorHAnsi" w:hAnsiTheme="majorHAnsi" w:cstheme="majorHAnsi"/>
          <w:lang w:val="en-US"/>
        </w:rPr>
        <w:t xml:space="preserve">, para. </w:t>
      </w:r>
      <w:r w:rsidRPr="004D442B">
        <w:rPr>
          <w:rFonts w:asciiTheme="majorHAnsi" w:hAnsiTheme="majorHAnsi" w:cstheme="majorHAnsi"/>
        </w:rPr>
        <w:t xml:space="preserve">2. </w:t>
      </w:r>
    </w:p>
  </w:endnote>
  <w:endnote w:id="20">
    <w:p w14:paraId="2A299FAF" w14:textId="77777777" w:rsidR="001463D9" w:rsidRPr="004D442B" w:rsidRDefault="001463D9"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Pr="004D442B">
        <w:rPr>
          <w:rFonts w:asciiTheme="majorHAnsi" w:hAnsiTheme="majorHAnsi" w:cstheme="majorHAnsi"/>
        </w:rPr>
        <w:t xml:space="preserve"> For a mostly US-based overview, see: </w:t>
      </w:r>
      <w:hyperlink r:id="rId21" w:history="1">
        <w:r w:rsidRPr="004D442B">
          <w:rPr>
            <w:rStyle w:val="Hyperlink"/>
            <w:rFonts w:asciiTheme="majorHAnsi" w:hAnsiTheme="majorHAnsi" w:cstheme="majorHAnsi"/>
          </w:rPr>
          <w:t>https://psychedelicstoday.com/2018/11/17/brief-history-psychedelics-western-world/</w:t>
        </w:r>
      </w:hyperlink>
      <w:r w:rsidRPr="004D442B">
        <w:rPr>
          <w:rFonts w:asciiTheme="majorHAnsi" w:hAnsiTheme="majorHAnsi" w:cstheme="majorHAnsi"/>
        </w:rPr>
        <w:t xml:space="preserve"> </w:t>
      </w:r>
    </w:p>
  </w:endnote>
  <w:endnote w:id="21">
    <w:p w14:paraId="468709D3" w14:textId="03941DD3" w:rsidR="00035228" w:rsidRPr="004D442B" w:rsidRDefault="00035228" w:rsidP="00F81B05">
      <w:pPr>
        <w:pStyle w:val="EndnoteText"/>
        <w:spacing w:after="60"/>
        <w:rPr>
          <w:rFonts w:asciiTheme="majorHAnsi" w:hAnsiTheme="majorHAnsi" w:cstheme="majorHAnsi"/>
          <w:lang w:val="es-ES"/>
        </w:rPr>
      </w:pPr>
      <w:r w:rsidRPr="004D442B">
        <w:rPr>
          <w:rStyle w:val="EndnoteReference"/>
          <w:rFonts w:asciiTheme="majorHAnsi" w:hAnsiTheme="majorHAnsi" w:cstheme="majorHAnsi"/>
        </w:rPr>
        <w:endnoteRef/>
      </w:r>
      <w:r w:rsidRPr="004D442B">
        <w:rPr>
          <w:rFonts w:asciiTheme="majorHAnsi" w:hAnsiTheme="majorHAnsi" w:cstheme="majorHAnsi"/>
          <w:lang w:val="es-ES"/>
        </w:rPr>
        <w:t xml:space="preserve"> </w:t>
      </w:r>
      <w:r w:rsidR="00F81B05" w:rsidRPr="004D442B">
        <w:rPr>
          <w:rFonts w:asciiTheme="majorHAnsi" w:hAnsiTheme="majorHAnsi" w:cstheme="majorHAnsi"/>
          <w:lang w:val="es-ES"/>
        </w:rPr>
        <w:t xml:space="preserve">See: </w:t>
      </w:r>
      <w:hyperlink r:id="rId22" w:history="1">
        <w:r w:rsidR="00F81B05" w:rsidRPr="004D442B">
          <w:rPr>
            <w:rStyle w:val="Hyperlink"/>
            <w:rFonts w:asciiTheme="majorHAnsi" w:hAnsiTheme="majorHAnsi" w:cstheme="majorHAnsi"/>
            <w:lang w:val="es-ES"/>
          </w:rPr>
          <w:t>https://www.refworld.org/docid/453883fb22.html</w:t>
        </w:r>
      </w:hyperlink>
      <w:r w:rsidRPr="004D442B">
        <w:rPr>
          <w:rFonts w:asciiTheme="majorHAnsi" w:hAnsiTheme="majorHAnsi" w:cstheme="majorHAnsi"/>
          <w:lang w:val="es-ES"/>
        </w:rPr>
        <w:t xml:space="preserve">, para 3. </w:t>
      </w:r>
    </w:p>
  </w:endnote>
  <w:endnote w:id="22">
    <w:p w14:paraId="7F86BB47" w14:textId="4A330228" w:rsidR="00035228" w:rsidRPr="00497C50" w:rsidRDefault="00035228" w:rsidP="00F81B05">
      <w:pPr>
        <w:pStyle w:val="EndnoteText"/>
        <w:spacing w:after="60"/>
        <w:rPr>
          <w:rFonts w:asciiTheme="majorHAnsi" w:hAnsiTheme="majorHAnsi" w:cstheme="majorHAnsi"/>
          <w:lang w:val="es-US"/>
        </w:rPr>
      </w:pPr>
      <w:r w:rsidRPr="004D442B">
        <w:rPr>
          <w:rStyle w:val="EndnoteReference"/>
          <w:rFonts w:asciiTheme="majorHAnsi" w:hAnsiTheme="majorHAnsi" w:cstheme="majorHAnsi"/>
        </w:rPr>
        <w:endnoteRef/>
      </w:r>
      <w:r w:rsidRPr="00497C50">
        <w:rPr>
          <w:rFonts w:asciiTheme="majorHAnsi" w:hAnsiTheme="majorHAnsi" w:cstheme="majorHAnsi"/>
          <w:lang w:val="es-US"/>
        </w:rPr>
        <w:t xml:space="preserve"> </w:t>
      </w:r>
      <w:r w:rsidR="00F81B05" w:rsidRPr="00497C50">
        <w:rPr>
          <w:rFonts w:asciiTheme="majorHAnsi" w:hAnsiTheme="majorHAnsi" w:cstheme="majorHAnsi"/>
          <w:lang w:val="es-US"/>
        </w:rPr>
        <w:t xml:space="preserve">See: </w:t>
      </w:r>
      <w:hyperlink r:id="rId23" w:history="1">
        <w:r w:rsidR="00F81B05" w:rsidRPr="00497C50">
          <w:rPr>
            <w:rStyle w:val="Hyperlink"/>
            <w:rFonts w:asciiTheme="majorHAnsi" w:hAnsiTheme="majorHAnsi" w:cstheme="majorHAnsi"/>
            <w:lang w:val="es-US"/>
          </w:rPr>
          <w:t>https://www.refworld.org/docid/453883fb22.html</w:t>
        </w:r>
      </w:hyperlink>
      <w:r w:rsidRPr="00497C50">
        <w:rPr>
          <w:rFonts w:asciiTheme="majorHAnsi" w:hAnsiTheme="majorHAnsi" w:cstheme="majorHAnsi"/>
          <w:lang w:val="es-US"/>
        </w:rPr>
        <w:t xml:space="preserve">, para 8. </w:t>
      </w:r>
    </w:p>
  </w:endnote>
  <w:endnote w:id="23">
    <w:p w14:paraId="47133888" w14:textId="552CD198" w:rsidR="006D6F02" w:rsidRPr="004D442B" w:rsidRDefault="006D6F02"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Pr="004D442B">
        <w:rPr>
          <w:rFonts w:asciiTheme="majorHAnsi" w:hAnsiTheme="majorHAnsi" w:cstheme="majorHAnsi"/>
        </w:rPr>
        <w:t xml:space="preserve"> </w:t>
      </w:r>
      <w:r w:rsidR="00F81B05" w:rsidRPr="004D442B">
        <w:rPr>
          <w:rFonts w:asciiTheme="majorHAnsi" w:hAnsiTheme="majorHAnsi" w:cstheme="majorHAnsi"/>
        </w:rPr>
        <w:t xml:space="preserve">See: </w:t>
      </w:r>
      <w:hyperlink r:id="rId24">
        <w:r w:rsidRPr="004D442B">
          <w:rPr>
            <w:rFonts w:asciiTheme="majorHAnsi" w:hAnsiTheme="majorHAnsi" w:cstheme="majorHAnsi"/>
            <w:color w:val="1155CC"/>
            <w:u w:val="single"/>
          </w:rPr>
          <w:t>https://pubmed.ncbi.nlm.nih.gov/26838469/</w:t>
        </w:r>
      </w:hyperlink>
      <w:r w:rsidRPr="004D442B">
        <w:rPr>
          <w:rFonts w:asciiTheme="majorHAnsi" w:hAnsiTheme="majorHAnsi" w:cstheme="majorHAnsi"/>
        </w:rPr>
        <w:t xml:space="preserve"> </w:t>
      </w:r>
      <w:r w:rsidR="00735BF1" w:rsidRPr="004D442B">
        <w:rPr>
          <w:rFonts w:asciiTheme="majorHAnsi" w:hAnsiTheme="majorHAnsi" w:cstheme="majorHAnsi"/>
        </w:rPr>
        <w:t xml:space="preserve">p. 16. </w:t>
      </w:r>
    </w:p>
  </w:endnote>
  <w:endnote w:id="24">
    <w:p w14:paraId="5AAD06FA" w14:textId="789334B9" w:rsidR="00602180" w:rsidRPr="00497C50" w:rsidRDefault="00602180" w:rsidP="00F81B05">
      <w:pPr>
        <w:pStyle w:val="EndnoteText"/>
        <w:spacing w:after="60"/>
        <w:rPr>
          <w:rFonts w:asciiTheme="majorHAnsi" w:hAnsiTheme="majorHAnsi" w:cstheme="majorHAnsi"/>
          <w:lang w:val="en-US"/>
        </w:rPr>
      </w:pPr>
      <w:r w:rsidRPr="004D442B">
        <w:rPr>
          <w:rStyle w:val="EndnoteReference"/>
          <w:rFonts w:asciiTheme="majorHAnsi" w:hAnsiTheme="majorHAnsi" w:cstheme="majorHAnsi"/>
        </w:rPr>
        <w:endnoteRef/>
      </w:r>
      <w:r w:rsidRPr="004D442B">
        <w:rPr>
          <w:rFonts w:asciiTheme="majorHAnsi" w:hAnsiTheme="majorHAnsi" w:cstheme="majorHAnsi"/>
        </w:rPr>
        <w:t xml:space="preserve"> </w:t>
      </w:r>
      <w:r w:rsidR="00F81B05" w:rsidRPr="004D442B">
        <w:rPr>
          <w:rFonts w:asciiTheme="majorHAnsi" w:hAnsiTheme="majorHAnsi" w:cstheme="majorHAnsi"/>
        </w:rPr>
        <w:t xml:space="preserve">See: </w:t>
      </w:r>
      <w:hyperlink r:id="rId25" w:history="1">
        <w:r w:rsidR="00F81B05" w:rsidRPr="004D442B">
          <w:rPr>
            <w:rStyle w:val="Hyperlink"/>
            <w:rFonts w:asciiTheme="majorHAnsi" w:hAnsiTheme="majorHAnsi" w:cstheme="majorHAnsi"/>
          </w:rPr>
          <w:t>https://digitallibrary.un.org/record/533996</w:t>
        </w:r>
      </w:hyperlink>
      <w:r w:rsidR="00F81B05" w:rsidRPr="004D442B">
        <w:rPr>
          <w:rFonts w:asciiTheme="majorHAnsi" w:hAnsiTheme="majorHAnsi" w:cstheme="majorHAnsi"/>
        </w:rPr>
        <w:t xml:space="preserve">, </w:t>
      </w:r>
      <w:r w:rsidR="00BD3A5F" w:rsidRPr="004D442B">
        <w:rPr>
          <w:rFonts w:asciiTheme="majorHAnsi" w:hAnsiTheme="majorHAnsi" w:cstheme="majorHAnsi"/>
        </w:rPr>
        <w:t xml:space="preserve">para. </w:t>
      </w:r>
      <w:r w:rsidR="00BD3A5F" w:rsidRPr="00497C50">
        <w:rPr>
          <w:rFonts w:asciiTheme="majorHAnsi" w:hAnsiTheme="majorHAnsi" w:cstheme="majorHAnsi"/>
          <w:lang w:val="en-US"/>
        </w:rPr>
        <w:t xml:space="preserve">6. </w:t>
      </w:r>
    </w:p>
  </w:endnote>
  <w:endnote w:id="25">
    <w:p w14:paraId="7A3E1001" w14:textId="262831C2" w:rsidR="00BD3A5F" w:rsidRPr="004D442B" w:rsidRDefault="00BD3A5F"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Pr="004D442B">
        <w:rPr>
          <w:rFonts w:asciiTheme="majorHAnsi" w:hAnsiTheme="majorHAnsi" w:cstheme="majorHAnsi"/>
        </w:rPr>
        <w:t xml:space="preserve"> </w:t>
      </w:r>
      <w:r w:rsidR="00F81B05" w:rsidRPr="004D442B">
        <w:rPr>
          <w:rFonts w:asciiTheme="majorHAnsi" w:hAnsiTheme="majorHAnsi" w:cstheme="majorHAnsi"/>
        </w:rPr>
        <w:t xml:space="preserve">See: </w:t>
      </w:r>
      <w:hyperlink r:id="rId26" w:history="1">
        <w:r w:rsidR="004D442B" w:rsidRPr="004D442B">
          <w:rPr>
            <w:rStyle w:val="Hyperlink"/>
            <w:rFonts w:asciiTheme="majorHAnsi" w:hAnsiTheme="majorHAnsi" w:cstheme="majorHAnsi"/>
          </w:rPr>
          <w:t>https://www.thelancet.com/journals/lancet/article/PIIS0140-6736(10)61462-6/fulltext</w:t>
        </w:r>
      </w:hyperlink>
      <w:r w:rsidR="000B73DD" w:rsidRPr="004D442B">
        <w:rPr>
          <w:rFonts w:asciiTheme="majorHAnsi" w:hAnsiTheme="majorHAnsi" w:cstheme="majorHAnsi"/>
        </w:rPr>
        <w:t xml:space="preserve"> </w:t>
      </w:r>
    </w:p>
  </w:endnote>
  <w:endnote w:id="26">
    <w:p w14:paraId="700D5779" w14:textId="79D64C8A" w:rsidR="00D24797" w:rsidRPr="004D442B" w:rsidRDefault="00D24797"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Pr="004D442B">
        <w:rPr>
          <w:rFonts w:asciiTheme="majorHAnsi" w:hAnsiTheme="majorHAnsi" w:cstheme="majorHAnsi"/>
        </w:rPr>
        <w:t xml:space="preserve"> For models of regulation that fall short of prohibition, see: </w:t>
      </w:r>
      <w:hyperlink r:id="rId27" w:history="1">
        <w:r w:rsidRPr="004D442B">
          <w:rPr>
            <w:rStyle w:val="Hyperlink"/>
            <w:rFonts w:asciiTheme="majorHAnsi" w:hAnsiTheme="majorHAnsi" w:cstheme="majorHAnsi"/>
          </w:rPr>
          <w:t>https://transformdrugs.org/drug-policy/models-of-regulation</w:t>
        </w:r>
      </w:hyperlink>
      <w:r w:rsidRPr="004D442B">
        <w:rPr>
          <w:rFonts w:asciiTheme="majorHAnsi" w:hAnsiTheme="majorHAnsi" w:cstheme="majorHAnsi"/>
        </w:rPr>
        <w:t xml:space="preserve"> </w:t>
      </w:r>
    </w:p>
  </w:endnote>
  <w:endnote w:id="27">
    <w:p w14:paraId="7F067682" w14:textId="31E203CC" w:rsidR="00B120D8" w:rsidRPr="004D442B" w:rsidRDefault="00B120D8"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Pr="004D442B">
        <w:rPr>
          <w:rFonts w:asciiTheme="majorHAnsi" w:hAnsiTheme="majorHAnsi" w:cstheme="majorHAnsi"/>
        </w:rPr>
        <w:t xml:space="preserve"> These are:</w:t>
      </w:r>
      <w:r w:rsidR="00F81B05" w:rsidRPr="004D442B">
        <w:rPr>
          <w:rFonts w:asciiTheme="majorHAnsi" w:hAnsiTheme="majorHAnsi" w:cstheme="majorHAnsi"/>
        </w:rPr>
        <w:t xml:space="preserve"> </w:t>
      </w:r>
      <w:r w:rsidRPr="004D442B">
        <w:rPr>
          <w:rFonts w:asciiTheme="majorHAnsi" w:hAnsiTheme="majorHAnsi" w:cstheme="majorHAnsi"/>
          <w:color w:val="000000"/>
        </w:rPr>
        <w:t>the 1961 UN Single Convention on Narcotic Drugs; the 1971 UN Convention on Psychotropic Substances; and the 1988 UN Convention against Illicit Traffic in Narcotic Drugs and Psychotropic Substances.</w:t>
      </w:r>
    </w:p>
  </w:endnote>
  <w:endnote w:id="28">
    <w:p w14:paraId="3F17B8FA" w14:textId="5F2327AF" w:rsidR="00FE60A4" w:rsidRPr="004D442B" w:rsidRDefault="00FE60A4"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Pr="004D442B">
        <w:rPr>
          <w:rFonts w:asciiTheme="majorHAnsi" w:hAnsiTheme="majorHAnsi" w:cstheme="majorHAnsi"/>
        </w:rPr>
        <w:t xml:space="preserve"> </w:t>
      </w:r>
      <w:r w:rsidR="00F81B05" w:rsidRPr="004D442B">
        <w:rPr>
          <w:rFonts w:asciiTheme="majorHAnsi" w:hAnsiTheme="majorHAnsi" w:cstheme="majorHAnsi"/>
        </w:rPr>
        <w:t xml:space="preserve">See: </w:t>
      </w:r>
      <w:hyperlink r:id="rId28" w:history="1">
        <w:r w:rsidR="00F81B05" w:rsidRPr="004D442B">
          <w:rPr>
            <w:rStyle w:val="Hyperlink"/>
            <w:rFonts w:asciiTheme="majorHAnsi" w:hAnsiTheme="majorHAnsi" w:cstheme="majorHAnsi"/>
          </w:rPr>
          <w:t>https://www.emcdda.europa.eu/publications/topic-overviews/classification-of-controlled-drugs/html_en</w:t>
        </w:r>
      </w:hyperlink>
      <w:r w:rsidRPr="004D442B">
        <w:rPr>
          <w:rFonts w:asciiTheme="majorHAnsi" w:hAnsiTheme="majorHAnsi" w:cstheme="majorHAnsi"/>
        </w:rPr>
        <w:t xml:space="preserve"> </w:t>
      </w:r>
    </w:p>
  </w:endnote>
  <w:endnote w:id="29">
    <w:p w14:paraId="59D5C281" w14:textId="011EC283" w:rsidR="005819F4" w:rsidRPr="004D442B" w:rsidRDefault="005819F4"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Pr="004D442B">
        <w:rPr>
          <w:rFonts w:asciiTheme="majorHAnsi" w:hAnsiTheme="majorHAnsi" w:cstheme="majorHAnsi"/>
        </w:rPr>
        <w:t xml:space="preserve"> </w:t>
      </w:r>
      <w:r w:rsidR="00F81B05" w:rsidRPr="004D442B">
        <w:rPr>
          <w:rFonts w:asciiTheme="majorHAnsi" w:hAnsiTheme="majorHAnsi" w:cstheme="majorHAnsi"/>
        </w:rPr>
        <w:t xml:space="preserve">See: </w:t>
      </w:r>
      <w:hyperlink r:id="rId29" w:history="1">
        <w:r w:rsidR="00F81B05" w:rsidRPr="004D442B">
          <w:rPr>
            <w:rStyle w:val="Hyperlink"/>
            <w:rFonts w:asciiTheme="majorHAnsi" w:hAnsiTheme="majorHAnsi" w:cstheme="majorHAnsi"/>
          </w:rPr>
          <w:t>https://www.talkingdrugs.org/drug-decriminalisation</w:t>
        </w:r>
      </w:hyperlink>
      <w:r w:rsidRPr="004D442B">
        <w:rPr>
          <w:rFonts w:asciiTheme="majorHAnsi" w:hAnsiTheme="majorHAnsi" w:cstheme="majorHAnsi"/>
        </w:rPr>
        <w:t xml:space="preserve"> </w:t>
      </w:r>
    </w:p>
  </w:endnote>
  <w:endnote w:id="30">
    <w:p w14:paraId="07DA6692" w14:textId="0078DCD1" w:rsidR="005819F4" w:rsidRPr="004D442B" w:rsidRDefault="005819F4"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Pr="004D442B">
        <w:rPr>
          <w:rFonts w:asciiTheme="majorHAnsi" w:hAnsiTheme="majorHAnsi" w:cstheme="majorHAnsi"/>
        </w:rPr>
        <w:t xml:space="preserve"> </w:t>
      </w:r>
      <w:r w:rsidR="00F81B05" w:rsidRPr="004D442B">
        <w:rPr>
          <w:rFonts w:asciiTheme="majorHAnsi" w:hAnsiTheme="majorHAnsi" w:cstheme="majorHAnsi"/>
        </w:rPr>
        <w:t xml:space="preserve">See: </w:t>
      </w:r>
      <w:hyperlink r:id="rId30" w:history="1">
        <w:r w:rsidR="00F81B05" w:rsidRPr="004D442B">
          <w:rPr>
            <w:rStyle w:val="Hyperlink"/>
            <w:rFonts w:asciiTheme="majorHAnsi" w:hAnsiTheme="majorHAnsi" w:cstheme="majorHAnsi"/>
          </w:rPr>
          <w:t>https://en.wikipedia.org/wiki/Legality_of_cannabis</w:t>
        </w:r>
      </w:hyperlink>
      <w:r w:rsidRPr="004D442B">
        <w:rPr>
          <w:rFonts w:asciiTheme="majorHAnsi" w:hAnsiTheme="majorHAnsi" w:cstheme="majorHAnsi"/>
        </w:rPr>
        <w:t xml:space="preserve"> </w:t>
      </w:r>
    </w:p>
  </w:endnote>
  <w:endnote w:id="31">
    <w:p w14:paraId="1DE7883D" w14:textId="5EC517CE" w:rsidR="005819F4" w:rsidRPr="004D442B" w:rsidRDefault="005819F4"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Pr="004D442B">
        <w:rPr>
          <w:rFonts w:asciiTheme="majorHAnsi" w:hAnsiTheme="majorHAnsi" w:cstheme="majorHAnsi"/>
        </w:rPr>
        <w:t xml:space="preserve"> </w:t>
      </w:r>
      <w:r w:rsidR="00F81B05" w:rsidRPr="004D442B">
        <w:rPr>
          <w:rFonts w:asciiTheme="majorHAnsi" w:hAnsiTheme="majorHAnsi" w:cstheme="majorHAnsi"/>
        </w:rPr>
        <w:t xml:space="preserve">See: </w:t>
      </w:r>
      <w:hyperlink r:id="rId31" w:history="1">
        <w:r w:rsidR="00F81B05" w:rsidRPr="004D442B">
          <w:rPr>
            <w:rStyle w:val="Hyperlink"/>
            <w:rFonts w:asciiTheme="majorHAnsi" w:hAnsiTheme="majorHAnsi" w:cstheme="majorHAnsi"/>
          </w:rPr>
          <w:t>https://www.vice.com/en/article/epdv3j/colombia-is-considering-legalizing-its-massive-cocaine-industry</w:t>
        </w:r>
      </w:hyperlink>
      <w:r w:rsidRPr="004D442B">
        <w:rPr>
          <w:rFonts w:asciiTheme="majorHAnsi" w:hAnsiTheme="majorHAnsi" w:cstheme="majorHAnsi"/>
        </w:rPr>
        <w:t xml:space="preserve"> </w:t>
      </w:r>
    </w:p>
  </w:endnote>
  <w:endnote w:id="32">
    <w:p w14:paraId="71B5023B" w14:textId="79632FD3" w:rsidR="00470AA8" w:rsidRPr="004D442B" w:rsidRDefault="00470AA8"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Pr="004D442B">
        <w:rPr>
          <w:rFonts w:asciiTheme="majorHAnsi" w:hAnsiTheme="majorHAnsi" w:cstheme="majorHAnsi"/>
        </w:rPr>
        <w:t xml:space="preserve"> See for ayahuasca: </w:t>
      </w:r>
      <w:hyperlink r:id="rId32" w:history="1">
        <w:r w:rsidRPr="004D442B">
          <w:rPr>
            <w:rStyle w:val="Hyperlink"/>
            <w:rFonts w:asciiTheme="majorHAnsi" w:hAnsiTheme="majorHAnsi" w:cstheme="majorHAnsi"/>
          </w:rPr>
          <w:t>https://www.iceers.org/ayahuasca-international-legal-status/</w:t>
        </w:r>
      </w:hyperlink>
      <w:r w:rsidRPr="004D442B">
        <w:rPr>
          <w:rFonts w:asciiTheme="majorHAnsi" w:hAnsiTheme="majorHAnsi" w:cstheme="majorHAnsi"/>
        </w:rPr>
        <w:t xml:space="preserve"> </w:t>
      </w:r>
    </w:p>
  </w:endnote>
  <w:endnote w:id="33">
    <w:p w14:paraId="731B4FF7" w14:textId="19E5AE76" w:rsidR="000B73DD" w:rsidRPr="004D442B" w:rsidRDefault="000B73DD"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Pr="004D442B">
        <w:rPr>
          <w:rFonts w:asciiTheme="majorHAnsi" w:hAnsiTheme="majorHAnsi" w:cstheme="majorHAnsi"/>
        </w:rPr>
        <w:t xml:space="preserve"> </w:t>
      </w:r>
      <w:r w:rsidR="00F81B05" w:rsidRPr="004D442B">
        <w:rPr>
          <w:rFonts w:asciiTheme="majorHAnsi" w:hAnsiTheme="majorHAnsi" w:cstheme="majorHAnsi"/>
        </w:rPr>
        <w:t xml:space="preserve">See: </w:t>
      </w:r>
      <w:hyperlink r:id="rId33" w:history="1">
        <w:r w:rsidR="00F81B05" w:rsidRPr="004D442B">
          <w:rPr>
            <w:rStyle w:val="Hyperlink"/>
            <w:rFonts w:asciiTheme="majorHAnsi" w:hAnsiTheme="majorHAnsi" w:cstheme="majorHAnsi"/>
          </w:rPr>
          <w:t>https://pubmed.ncbi.nlm.nih.gov/21036393/</w:t>
        </w:r>
      </w:hyperlink>
      <w:r w:rsidR="00FF7826" w:rsidRPr="004D442B">
        <w:rPr>
          <w:rFonts w:asciiTheme="majorHAnsi" w:hAnsiTheme="majorHAnsi" w:cstheme="majorHAnsi"/>
        </w:rPr>
        <w:t xml:space="preserve"> </w:t>
      </w:r>
    </w:p>
  </w:endnote>
  <w:endnote w:id="34">
    <w:p w14:paraId="01B2A34D" w14:textId="46487E43" w:rsidR="00561830" w:rsidRPr="004D442B" w:rsidRDefault="00561830"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Pr="004D442B">
        <w:rPr>
          <w:rFonts w:asciiTheme="majorHAnsi" w:hAnsiTheme="majorHAnsi" w:cstheme="majorHAnsi"/>
        </w:rPr>
        <w:t xml:space="preserve"> </w:t>
      </w:r>
      <w:r w:rsidR="00F81B05" w:rsidRPr="004D442B">
        <w:rPr>
          <w:rFonts w:asciiTheme="majorHAnsi" w:hAnsiTheme="majorHAnsi" w:cstheme="majorHAnsi"/>
        </w:rPr>
        <w:t xml:space="preserve">See: </w:t>
      </w:r>
      <w:hyperlink r:id="rId34" w:history="1">
        <w:r w:rsidR="00F81B05" w:rsidRPr="004D442B">
          <w:rPr>
            <w:rStyle w:val="Hyperlink"/>
            <w:rFonts w:asciiTheme="majorHAnsi" w:hAnsiTheme="majorHAnsi" w:cstheme="majorHAnsi"/>
          </w:rPr>
          <w:t>https://www.ncbi.nlm.nih.gov/pmc/articles/PMC4813425/</w:t>
        </w:r>
      </w:hyperlink>
      <w:r w:rsidRPr="004D442B">
        <w:rPr>
          <w:rFonts w:asciiTheme="majorHAnsi" w:hAnsiTheme="majorHAnsi" w:cstheme="majorHAnsi"/>
        </w:rPr>
        <w:t xml:space="preserve"> </w:t>
      </w:r>
    </w:p>
  </w:endnote>
  <w:endnote w:id="35">
    <w:p w14:paraId="63AA75EB" w14:textId="455A7AA5" w:rsidR="00FF7826" w:rsidRPr="004D442B" w:rsidRDefault="00FF7826"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Pr="004D442B">
        <w:rPr>
          <w:rFonts w:asciiTheme="majorHAnsi" w:hAnsiTheme="majorHAnsi" w:cstheme="majorHAnsi"/>
        </w:rPr>
        <w:t xml:space="preserve"> </w:t>
      </w:r>
      <w:r w:rsidR="00F81B05" w:rsidRPr="004D442B">
        <w:rPr>
          <w:rFonts w:asciiTheme="majorHAnsi" w:hAnsiTheme="majorHAnsi" w:cstheme="majorHAnsi"/>
        </w:rPr>
        <w:t xml:space="preserve">See: </w:t>
      </w:r>
      <w:hyperlink r:id="rId35" w:history="1">
        <w:r w:rsidR="00F81B05" w:rsidRPr="004D442B">
          <w:rPr>
            <w:rStyle w:val="Hyperlink"/>
            <w:rFonts w:asciiTheme="majorHAnsi" w:hAnsiTheme="majorHAnsi" w:cstheme="majorHAnsi"/>
          </w:rPr>
          <w:t>https://www.tni.org/files/download/rise_and_decline_web.pdf</w:t>
        </w:r>
      </w:hyperlink>
      <w:r w:rsidRPr="004D442B">
        <w:rPr>
          <w:rFonts w:asciiTheme="majorHAnsi" w:hAnsiTheme="majorHAnsi" w:cstheme="majorHAnsi"/>
        </w:rPr>
        <w:t xml:space="preserve">, p. 9. </w:t>
      </w:r>
    </w:p>
  </w:endnote>
  <w:endnote w:id="36">
    <w:p w14:paraId="0DC89C51" w14:textId="34951D65" w:rsidR="006C4C60" w:rsidRPr="004D442B" w:rsidRDefault="006C4C60"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Pr="004D442B">
        <w:rPr>
          <w:rFonts w:asciiTheme="majorHAnsi" w:hAnsiTheme="majorHAnsi" w:cstheme="majorHAnsi"/>
        </w:rPr>
        <w:t xml:space="preserve"> </w:t>
      </w:r>
      <w:r w:rsidR="00F81B05" w:rsidRPr="004D442B">
        <w:rPr>
          <w:rFonts w:asciiTheme="majorHAnsi" w:hAnsiTheme="majorHAnsi" w:cstheme="majorHAnsi"/>
        </w:rPr>
        <w:t xml:space="preserve">See: </w:t>
      </w:r>
      <w:hyperlink r:id="rId36" w:history="1">
        <w:r w:rsidR="00F81B05" w:rsidRPr="004D442B">
          <w:rPr>
            <w:rStyle w:val="Hyperlink"/>
            <w:rFonts w:asciiTheme="majorHAnsi" w:hAnsiTheme="majorHAnsi" w:cstheme="majorHAnsi"/>
          </w:rPr>
          <w:t>https://idpc.net/blog/2020/06/the-war-on-drugs-is-built-on-racism-it-s-time-to-decolonise-drug-policies</w:t>
        </w:r>
      </w:hyperlink>
      <w:r w:rsidRPr="004D442B">
        <w:rPr>
          <w:rFonts w:asciiTheme="majorHAnsi" w:hAnsiTheme="majorHAnsi" w:cstheme="majorHAnsi"/>
        </w:rPr>
        <w:t xml:space="preserve"> </w:t>
      </w:r>
    </w:p>
  </w:endnote>
  <w:endnote w:id="37">
    <w:p w14:paraId="2F92F700" w14:textId="6C0D9EDB" w:rsidR="00BB45FF" w:rsidRPr="00497C50" w:rsidRDefault="00BB45FF" w:rsidP="00F81B05">
      <w:pPr>
        <w:pStyle w:val="EndnoteText"/>
        <w:spacing w:after="60"/>
        <w:rPr>
          <w:rFonts w:asciiTheme="majorHAnsi" w:hAnsiTheme="majorHAnsi" w:cstheme="majorHAnsi"/>
          <w:lang w:val="es-US"/>
        </w:rPr>
      </w:pPr>
      <w:r w:rsidRPr="004D442B">
        <w:rPr>
          <w:rStyle w:val="EndnoteReference"/>
          <w:rFonts w:asciiTheme="majorHAnsi" w:hAnsiTheme="majorHAnsi" w:cstheme="majorHAnsi"/>
        </w:rPr>
        <w:endnoteRef/>
      </w:r>
      <w:r w:rsidRPr="00497C50">
        <w:rPr>
          <w:rFonts w:asciiTheme="majorHAnsi" w:hAnsiTheme="majorHAnsi" w:cstheme="majorHAnsi"/>
          <w:lang w:val="es-US"/>
        </w:rPr>
        <w:t xml:space="preserve"> </w:t>
      </w:r>
      <w:r w:rsidR="00F81B05" w:rsidRPr="00497C50">
        <w:rPr>
          <w:rFonts w:asciiTheme="majorHAnsi" w:hAnsiTheme="majorHAnsi" w:cstheme="majorHAnsi"/>
          <w:lang w:val="es-US"/>
        </w:rPr>
        <w:t xml:space="preserve">See: </w:t>
      </w:r>
      <w:hyperlink r:id="rId37" w:history="1">
        <w:r w:rsidR="004D442B" w:rsidRPr="00497C50">
          <w:rPr>
            <w:rStyle w:val="Hyperlink"/>
            <w:rFonts w:asciiTheme="majorHAnsi" w:hAnsiTheme="majorHAnsi" w:cstheme="majorHAnsi"/>
            <w:lang w:val="es-US"/>
          </w:rPr>
          <w:t>https://www.refworld.org/docid/453883fa8.html</w:t>
        </w:r>
      </w:hyperlink>
      <w:r w:rsidR="004D442B" w:rsidRPr="00497C50">
        <w:rPr>
          <w:rFonts w:asciiTheme="majorHAnsi" w:hAnsiTheme="majorHAnsi" w:cstheme="majorHAnsi"/>
          <w:lang w:val="es-US"/>
        </w:rPr>
        <w:t>,</w:t>
      </w:r>
      <w:r w:rsidRPr="00497C50">
        <w:rPr>
          <w:rFonts w:asciiTheme="majorHAnsi" w:hAnsiTheme="majorHAnsi" w:cstheme="majorHAnsi"/>
          <w:lang w:val="es-US"/>
        </w:rPr>
        <w:t xml:space="preserve"> para. 1. </w:t>
      </w:r>
    </w:p>
  </w:endnote>
  <w:endnote w:id="38">
    <w:p w14:paraId="765E0CBE" w14:textId="398C480F" w:rsidR="00BB45FF" w:rsidRPr="004D442B" w:rsidRDefault="00BB45FF"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Pr="00497C50">
        <w:rPr>
          <w:rFonts w:asciiTheme="majorHAnsi" w:hAnsiTheme="majorHAnsi" w:cstheme="majorHAnsi"/>
          <w:lang w:val="es-US"/>
        </w:rPr>
        <w:t xml:space="preserve"> </w:t>
      </w:r>
      <w:r w:rsidR="004D442B" w:rsidRPr="00497C50">
        <w:rPr>
          <w:rFonts w:asciiTheme="majorHAnsi" w:hAnsiTheme="majorHAnsi" w:cstheme="majorHAnsi"/>
          <w:lang w:val="es-US"/>
        </w:rPr>
        <w:t xml:space="preserve">See: </w:t>
      </w:r>
      <w:hyperlink r:id="rId38" w:history="1">
        <w:r w:rsidR="004D442B" w:rsidRPr="00497C50">
          <w:rPr>
            <w:rStyle w:val="Hyperlink"/>
            <w:rFonts w:asciiTheme="majorHAnsi" w:hAnsiTheme="majorHAnsi" w:cstheme="majorHAnsi"/>
            <w:lang w:val="es-US"/>
          </w:rPr>
          <w:t>https://www.refworld.org/docid/453883fa8.html</w:t>
        </w:r>
      </w:hyperlink>
      <w:r w:rsidR="004D442B" w:rsidRPr="00497C50">
        <w:rPr>
          <w:rFonts w:asciiTheme="majorHAnsi" w:hAnsiTheme="majorHAnsi" w:cstheme="majorHAnsi"/>
          <w:lang w:val="es-US"/>
        </w:rPr>
        <w:t xml:space="preserve">, para. </w:t>
      </w:r>
      <w:r w:rsidR="004D442B" w:rsidRPr="004D442B">
        <w:rPr>
          <w:rFonts w:asciiTheme="majorHAnsi" w:hAnsiTheme="majorHAnsi" w:cstheme="majorHAnsi"/>
        </w:rPr>
        <w:t>1.</w:t>
      </w:r>
    </w:p>
  </w:endnote>
  <w:endnote w:id="39">
    <w:p w14:paraId="67EBEDA9" w14:textId="40DCE503" w:rsidR="00FA0B51" w:rsidRPr="004D442B" w:rsidRDefault="00FA0B51" w:rsidP="00F81B05">
      <w:pPr>
        <w:pStyle w:val="NormalWeb"/>
        <w:spacing w:before="0" w:beforeAutospacing="0" w:after="60" w:afterAutospacing="0"/>
        <w:rPr>
          <w:rFonts w:asciiTheme="majorHAnsi" w:eastAsia="Times New Roman" w:hAnsiTheme="majorHAnsi" w:cstheme="majorHAnsi"/>
          <w:sz w:val="20"/>
          <w:szCs w:val="20"/>
        </w:rPr>
      </w:pPr>
      <w:r w:rsidRPr="004D442B">
        <w:rPr>
          <w:rStyle w:val="EndnoteReference"/>
          <w:rFonts w:asciiTheme="majorHAnsi" w:hAnsiTheme="majorHAnsi" w:cstheme="majorHAnsi"/>
          <w:sz w:val="20"/>
          <w:szCs w:val="20"/>
        </w:rPr>
        <w:endnoteRef/>
      </w:r>
      <w:r w:rsidRPr="004D442B">
        <w:rPr>
          <w:rFonts w:asciiTheme="majorHAnsi" w:hAnsiTheme="majorHAnsi" w:cstheme="majorHAnsi"/>
          <w:sz w:val="20"/>
          <w:szCs w:val="20"/>
        </w:rPr>
        <w:t xml:space="preserve"> For an analysis of the decision (in Spanish), see: </w:t>
      </w:r>
      <w:hyperlink r:id="rId39" w:history="1">
        <w:r w:rsidRPr="004D442B">
          <w:rPr>
            <w:rStyle w:val="Hyperlink"/>
            <w:rFonts w:asciiTheme="majorHAnsi" w:hAnsiTheme="majorHAnsi" w:cstheme="majorHAnsi"/>
            <w:sz w:val="20"/>
            <w:szCs w:val="20"/>
          </w:rPr>
          <w:t>https://www.nexos.com.mx/?p=27006</w:t>
        </w:r>
      </w:hyperlink>
      <w:r w:rsidRPr="004D442B">
        <w:rPr>
          <w:rFonts w:asciiTheme="majorHAnsi" w:hAnsiTheme="majorHAnsi" w:cstheme="majorHAnsi"/>
          <w:sz w:val="20"/>
          <w:szCs w:val="20"/>
        </w:rPr>
        <w:t xml:space="preserve"> </w:t>
      </w:r>
    </w:p>
  </w:endnote>
  <w:endnote w:id="40">
    <w:p w14:paraId="45980060" w14:textId="5F810168" w:rsidR="000B775A" w:rsidRPr="004D442B" w:rsidRDefault="000B775A"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Pr="004D442B">
        <w:rPr>
          <w:rFonts w:asciiTheme="majorHAnsi" w:hAnsiTheme="majorHAnsi" w:cstheme="majorHAnsi"/>
        </w:rPr>
        <w:t xml:space="preserve"> </w:t>
      </w:r>
      <w:r w:rsidR="004D442B" w:rsidRPr="004D442B">
        <w:rPr>
          <w:rFonts w:asciiTheme="majorHAnsi" w:hAnsiTheme="majorHAnsi" w:cstheme="majorHAnsi"/>
        </w:rPr>
        <w:t xml:space="preserve">See: </w:t>
      </w:r>
      <w:hyperlink r:id="rId40" w:history="1">
        <w:r w:rsidR="004D442B" w:rsidRPr="004D442B">
          <w:rPr>
            <w:rStyle w:val="Hyperlink"/>
            <w:rFonts w:asciiTheme="majorHAnsi" w:hAnsiTheme="majorHAnsi" w:cstheme="majorHAnsi"/>
          </w:rPr>
          <w:t>http://www.saflii.org/za/cases/ZACC/2018/30.html</w:t>
        </w:r>
      </w:hyperlink>
      <w:r w:rsidRPr="004D442B">
        <w:rPr>
          <w:rFonts w:asciiTheme="majorHAnsi" w:hAnsiTheme="majorHAnsi" w:cstheme="majorHAnsi"/>
        </w:rPr>
        <w:t xml:space="preserve"> </w:t>
      </w:r>
    </w:p>
  </w:endnote>
  <w:endnote w:id="41">
    <w:p w14:paraId="0D984CA6" w14:textId="00796842" w:rsidR="00625E50" w:rsidRPr="004D442B" w:rsidRDefault="00625E50" w:rsidP="00F81B05">
      <w:pPr>
        <w:pStyle w:val="EndnoteText"/>
        <w:spacing w:after="60"/>
        <w:rPr>
          <w:rFonts w:asciiTheme="majorHAnsi" w:hAnsiTheme="majorHAnsi" w:cstheme="majorHAnsi"/>
        </w:rPr>
      </w:pPr>
      <w:r w:rsidRPr="004D442B">
        <w:rPr>
          <w:rStyle w:val="EndnoteReference"/>
          <w:rFonts w:asciiTheme="majorHAnsi" w:hAnsiTheme="majorHAnsi" w:cstheme="majorHAnsi"/>
        </w:rPr>
        <w:endnoteRef/>
      </w:r>
      <w:r w:rsidRPr="004D442B">
        <w:rPr>
          <w:rFonts w:asciiTheme="majorHAnsi" w:hAnsiTheme="majorHAnsi" w:cstheme="majorHAnsi"/>
        </w:rPr>
        <w:t xml:space="preserve"> </w:t>
      </w:r>
      <w:r w:rsidR="004D442B" w:rsidRPr="004D442B">
        <w:rPr>
          <w:rFonts w:asciiTheme="majorHAnsi" w:hAnsiTheme="majorHAnsi" w:cstheme="majorHAnsi"/>
        </w:rPr>
        <w:t xml:space="preserve">See: </w:t>
      </w:r>
      <w:hyperlink r:id="rId41" w:history="1">
        <w:r w:rsidR="004D442B" w:rsidRPr="004D442B">
          <w:rPr>
            <w:rStyle w:val="Hyperlink"/>
            <w:rFonts w:asciiTheme="majorHAnsi" w:hAnsiTheme="majorHAnsi" w:cstheme="majorHAnsi"/>
          </w:rPr>
          <w:t>https://kn.vlex.com/vid/ras-sankofa-maccabbee-v-840672112</w:t>
        </w:r>
      </w:hyperlink>
      <w:r w:rsidRPr="004D442B">
        <w:rPr>
          <w:rFonts w:asciiTheme="majorHAnsi" w:hAnsiTheme="majorHAnsi" w:cstheme="majorHAnsi"/>
        </w:rPr>
        <w:t xml:space="preserve"> </w:t>
      </w:r>
    </w:p>
  </w:endnote>
  <w:endnote w:id="42">
    <w:p w14:paraId="1B77B0F4" w14:textId="4266FA79" w:rsidR="00562CBC" w:rsidRDefault="00562CBC" w:rsidP="00F81B05">
      <w:pPr>
        <w:pStyle w:val="EndnoteText"/>
        <w:spacing w:after="60"/>
      </w:pPr>
      <w:r w:rsidRPr="004D442B">
        <w:rPr>
          <w:rStyle w:val="EndnoteReference"/>
          <w:rFonts w:asciiTheme="majorHAnsi" w:hAnsiTheme="majorHAnsi" w:cstheme="majorHAnsi"/>
        </w:rPr>
        <w:endnoteRef/>
      </w:r>
      <w:r w:rsidRPr="004D442B">
        <w:rPr>
          <w:rFonts w:asciiTheme="majorHAnsi" w:hAnsiTheme="majorHAnsi" w:cstheme="majorHAnsi"/>
        </w:rPr>
        <w:t xml:space="preserve"> Dangerous Drugs (Amendment) Act 2015, Section 7D, Subsection 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759929"/>
      <w:docPartObj>
        <w:docPartGallery w:val="Page Numbers (Bottom of Page)"/>
        <w:docPartUnique/>
      </w:docPartObj>
    </w:sdtPr>
    <w:sdtEndPr>
      <w:rPr>
        <w:noProof/>
        <w:sz w:val="20"/>
        <w:szCs w:val="20"/>
      </w:rPr>
    </w:sdtEndPr>
    <w:sdtContent>
      <w:p w14:paraId="1FE818EA" w14:textId="63983ACB" w:rsidR="0040794D" w:rsidRPr="0040794D" w:rsidRDefault="0040794D">
        <w:pPr>
          <w:pStyle w:val="Footer"/>
          <w:jc w:val="right"/>
          <w:rPr>
            <w:sz w:val="20"/>
            <w:szCs w:val="20"/>
          </w:rPr>
        </w:pPr>
        <w:r w:rsidRPr="0040794D">
          <w:rPr>
            <w:sz w:val="20"/>
            <w:szCs w:val="20"/>
          </w:rPr>
          <w:fldChar w:fldCharType="begin"/>
        </w:r>
        <w:r w:rsidRPr="0040794D">
          <w:rPr>
            <w:sz w:val="20"/>
            <w:szCs w:val="20"/>
          </w:rPr>
          <w:instrText xml:space="preserve"> PAGE   \* MERGEFORMAT </w:instrText>
        </w:r>
        <w:r w:rsidRPr="0040794D">
          <w:rPr>
            <w:sz w:val="20"/>
            <w:szCs w:val="20"/>
          </w:rPr>
          <w:fldChar w:fldCharType="separate"/>
        </w:r>
        <w:r w:rsidRPr="0040794D">
          <w:rPr>
            <w:noProof/>
            <w:sz w:val="20"/>
            <w:szCs w:val="20"/>
          </w:rPr>
          <w:t>2</w:t>
        </w:r>
        <w:r w:rsidRPr="0040794D">
          <w:rPr>
            <w:noProof/>
            <w:sz w:val="20"/>
            <w:szCs w:val="20"/>
          </w:rPr>
          <w:fldChar w:fldCharType="end"/>
        </w:r>
      </w:p>
    </w:sdtContent>
  </w:sdt>
  <w:p w14:paraId="71D80592" w14:textId="77777777" w:rsidR="00E20BF8" w:rsidRDefault="00E20BF8">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72815" w14:textId="77777777" w:rsidR="004E0497" w:rsidRDefault="004E0497">
      <w:r>
        <w:separator/>
      </w:r>
    </w:p>
  </w:footnote>
  <w:footnote w:type="continuationSeparator" w:id="0">
    <w:p w14:paraId="54E89C25" w14:textId="77777777" w:rsidR="004E0497" w:rsidRDefault="004E0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F49C" w14:textId="77777777" w:rsidR="00E20BF8" w:rsidRDefault="00E20BF8">
    <w:pPr>
      <w:pBdr>
        <w:top w:val="nil"/>
        <w:left w:val="nil"/>
        <w:bottom w:val="nil"/>
        <w:right w:val="nil"/>
        <w:between w:val="nil"/>
      </w:pBdr>
      <w:tabs>
        <w:tab w:val="center" w:pos="4513"/>
        <w:tab w:val="right" w:pos="9026"/>
      </w:tabs>
      <w:jc w:val="right"/>
      <w:rPr>
        <w:i/>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E256" w14:textId="72F789BF" w:rsidR="00A667FB" w:rsidRDefault="00A667FB">
    <w:pPr>
      <w:pBdr>
        <w:top w:val="nil"/>
        <w:left w:val="nil"/>
        <w:bottom w:val="nil"/>
        <w:right w:val="nil"/>
        <w:between w:val="nil"/>
      </w:pBdr>
      <w:tabs>
        <w:tab w:val="center" w:pos="4513"/>
        <w:tab w:val="right" w:pos="9026"/>
      </w:tabs>
      <w:jc w:val="right"/>
      <w:rPr>
        <w:i/>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EE3"/>
    <w:multiLevelType w:val="hybridMultilevel"/>
    <w:tmpl w:val="C84A5CB2"/>
    <w:lvl w:ilvl="0" w:tplc="6D085B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C0AA4"/>
    <w:multiLevelType w:val="hybridMultilevel"/>
    <w:tmpl w:val="35EC128A"/>
    <w:lvl w:ilvl="0" w:tplc="D8EA2F1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36658"/>
    <w:multiLevelType w:val="hybridMultilevel"/>
    <w:tmpl w:val="C228101E"/>
    <w:lvl w:ilvl="0" w:tplc="B6627942">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E6AD5"/>
    <w:multiLevelType w:val="multilevel"/>
    <w:tmpl w:val="8176F3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1A2016"/>
    <w:multiLevelType w:val="hybridMultilevel"/>
    <w:tmpl w:val="D61C673A"/>
    <w:lvl w:ilvl="0" w:tplc="939C64A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A50F55"/>
    <w:multiLevelType w:val="hybridMultilevel"/>
    <w:tmpl w:val="F858C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A9067E"/>
    <w:multiLevelType w:val="hybridMultilevel"/>
    <w:tmpl w:val="6860B5AE"/>
    <w:lvl w:ilvl="0" w:tplc="F4F4E854">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0AE314B"/>
    <w:multiLevelType w:val="multilevel"/>
    <w:tmpl w:val="759C58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B537E0"/>
    <w:multiLevelType w:val="hybridMultilevel"/>
    <w:tmpl w:val="8D2088B2"/>
    <w:lvl w:ilvl="0" w:tplc="D8EA2F1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266311"/>
    <w:multiLevelType w:val="hybridMultilevel"/>
    <w:tmpl w:val="C240B6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4F8E4A93"/>
    <w:multiLevelType w:val="hybridMultilevel"/>
    <w:tmpl w:val="729EB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B76DAE"/>
    <w:multiLevelType w:val="hybridMultilevel"/>
    <w:tmpl w:val="E4A06F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9D80F0F"/>
    <w:multiLevelType w:val="multilevel"/>
    <w:tmpl w:val="EDEA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31441A"/>
    <w:multiLevelType w:val="multilevel"/>
    <w:tmpl w:val="CAA6B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D37B5C"/>
    <w:multiLevelType w:val="hybridMultilevel"/>
    <w:tmpl w:val="FF180460"/>
    <w:lvl w:ilvl="0" w:tplc="29EE17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AE5E43"/>
    <w:multiLevelType w:val="multilevel"/>
    <w:tmpl w:val="118EF79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6E2B323E"/>
    <w:multiLevelType w:val="multilevel"/>
    <w:tmpl w:val="55922F36"/>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7D8079CC"/>
    <w:multiLevelType w:val="multilevel"/>
    <w:tmpl w:val="CCF684A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6"/>
  </w:num>
  <w:num w:numId="2">
    <w:abstractNumId w:val="13"/>
  </w:num>
  <w:num w:numId="3">
    <w:abstractNumId w:val="15"/>
  </w:num>
  <w:num w:numId="4">
    <w:abstractNumId w:val="7"/>
  </w:num>
  <w:num w:numId="5">
    <w:abstractNumId w:val="3"/>
  </w:num>
  <w:num w:numId="6">
    <w:abstractNumId w:val="17"/>
  </w:num>
  <w:num w:numId="7">
    <w:abstractNumId w:val="14"/>
  </w:num>
  <w:num w:numId="8">
    <w:abstractNumId w:val="0"/>
  </w:num>
  <w:num w:numId="9">
    <w:abstractNumId w:val="1"/>
  </w:num>
  <w:num w:numId="10">
    <w:abstractNumId w:val="8"/>
  </w:num>
  <w:num w:numId="11">
    <w:abstractNumId w:val="2"/>
  </w:num>
  <w:num w:numId="12">
    <w:abstractNumId w:val="6"/>
  </w:num>
  <w:num w:numId="13">
    <w:abstractNumId w:val="11"/>
  </w:num>
  <w:num w:numId="14">
    <w:abstractNumId w:val="10"/>
  </w:num>
  <w:num w:numId="15">
    <w:abstractNumId w:val="4"/>
  </w:num>
  <w:num w:numId="16">
    <w:abstractNumId w:val="5"/>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5BB"/>
    <w:rsid w:val="0001644E"/>
    <w:rsid w:val="00035228"/>
    <w:rsid w:val="000366A0"/>
    <w:rsid w:val="0004107F"/>
    <w:rsid w:val="00055438"/>
    <w:rsid w:val="000557ED"/>
    <w:rsid w:val="00064DD1"/>
    <w:rsid w:val="00064F8A"/>
    <w:rsid w:val="00083BD4"/>
    <w:rsid w:val="00090498"/>
    <w:rsid w:val="000B73DD"/>
    <w:rsid w:val="000B775A"/>
    <w:rsid w:val="000C41B2"/>
    <w:rsid w:val="000C7260"/>
    <w:rsid w:val="000D4C71"/>
    <w:rsid w:val="000D7A41"/>
    <w:rsid w:val="000E3E4C"/>
    <w:rsid w:val="000E3FD8"/>
    <w:rsid w:val="000E451C"/>
    <w:rsid w:val="0010109C"/>
    <w:rsid w:val="00107991"/>
    <w:rsid w:val="001131F8"/>
    <w:rsid w:val="00113675"/>
    <w:rsid w:val="00116372"/>
    <w:rsid w:val="00126799"/>
    <w:rsid w:val="00135671"/>
    <w:rsid w:val="0014611B"/>
    <w:rsid w:val="001463D9"/>
    <w:rsid w:val="00152015"/>
    <w:rsid w:val="00156784"/>
    <w:rsid w:val="001615BB"/>
    <w:rsid w:val="00165F85"/>
    <w:rsid w:val="001736D1"/>
    <w:rsid w:val="00173F1E"/>
    <w:rsid w:val="0018067C"/>
    <w:rsid w:val="001A77E5"/>
    <w:rsid w:val="001B0FD9"/>
    <w:rsid w:val="001B7A9C"/>
    <w:rsid w:val="001C04C6"/>
    <w:rsid w:val="001E58AA"/>
    <w:rsid w:val="001F188B"/>
    <w:rsid w:val="001F56A3"/>
    <w:rsid w:val="00212B4F"/>
    <w:rsid w:val="00235F5B"/>
    <w:rsid w:val="00236AE7"/>
    <w:rsid w:val="00253022"/>
    <w:rsid w:val="00257FD2"/>
    <w:rsid w:val="00263E5B"/>
    <w:rsid w:val="002704BC"/>
    <w:rsid w:val="0028179A"/>
    <w:rsid w:val="002840D9"/>
    <w:rsid w:val="00285988"/>
    <w:rsid w:val="0029184B"/>
    <w:rsid w:val="002B4AD0"/>
    <w:rsid w:val="002D17C4"/>
    <w:rsid w:val="002D632A"/>
    <w:rsid w:val="002D70A4"/>
    <w:rsid w:val="0031092A"/>
    <w:rsid w:val="00334117"/>
    <w:rsid w:val="00336FBD"/>
    <w:rsid w:val="0034097B"/>
    <w:rsid w:val="003442A6"/>
    <w:rsid w:val="00347109"/>
    <w:rsid w:val="003551C6"/>
    <w:rsid w:val="0035687C"/>
    <w:rsid w:val="003605ED"/>
    <w:rsid w:val="0037112C"/>
    <w:rsid w:val="00376E00"/>
    <w:rsid w:val="003857C0"/>
    <w:rsid w:val="003B0964"/>
    <w:rsid w:val="003C7789"/>
    <w:rsid w:val="003D02F5"/>
    <w:rsid w:val="003D2C85"/>
    <w:rsid w:val="003D3E30"/>
    <w:rsid w:val="003F59B5"/>
    <w:rsid w:val="0040794D"/>
    <w:rsid w:val="00413D17"/>
    <w:rsid w:val="00427B55"/>
    <w:rsid w:val="004329B7"/>
    <w:rsid w:val="004343CD"/>
    <w:rsid w:val="00437ACF"/>
    <w:rsid w:val="00466278"/>
    <w:rsid w:val="00470440"/>
    <w:rsid w:val="00470AA8"/>
    <w:rsid w:val="00484074"/>
    <w:rsid w:val="00487C8D"/>
    <w:rsid w:val="00497C50"/>
    <w:rsid w:val="004B0464"/>
    <w:rsid w:val="004C35BB"/>
    <w:rsid w:val="004D029C"/>
    <w:rsid w:val="004D0AF7"/>
    <w:rsid w:val="004D3567"/>
    <w:rsid w:val="004D3BC6"/>
    <w:rsid w:val="004D442B"/>
    <w:rsid w:val="004E0497"/>
    <w:rsid w:val="004E337A"/>
    <w:rsid w:val="00501AE7"/>
    <w:rsid w:val="005038AD"/>
    <w:rsid w:val="00511D5A"/>
    <w:rsid w:val="005232F2"/>
    <w:rsid w:val="0052641A"/>
    <w:rsid w:val="0055029C"/>
    <w:rsid w:val="00561830"/>
    <w:rsid w:val="00562CBC"/>
    <w:rsid w:val="00573157"/>
    <w:rsid w:val="005770DA"/>
    <w:rsid w:val="005819F4"/>
    <w:rsid w:val="00581ACC"/>
    <w:rsid w:val="005A1581"/>
    <w:rsid w:val="005B4971"/>
    <w:rsid w:val="005B4FF0"/>
    <w:rsid w:val="005B65E9"/>
    <w:rsid w:val="005D02B6"/>
    <w:rsid w:val="005D153E"/>
    <w:rsid w:val="005D18F1"/>
    <w:rsid w:val="005D7352"/>
    <w:rsid w:val="005E4F65"/>
    <w:rsid w:val="005E5404"/>
    <w:rsid w:val="005E7632"/>
    <w:rsid w:val="005F62C5"/>
    <w:rsid w:val="005F7A9C"/>
    <w:rsid w:val="00601152"/>
    <w:rsid w:val="00602180"/>
    <w:rsid w:val="00625E50"/>
    <w:rsid w:val="006376B3"/>
    <w:rsid w:val="00644541"/>
    <w:rsid w:val="0065276C"/>
    <w:rsid w:val="00662DA1"/>
    <w:rsid w:val="0067274E"/>
    <w:rsid w:val="00676B97"/>
    <w:rsid w:val="006912F3"/>
    <w:rsid w:val="006C4C60"/>
    <w:rsid w:val="006C4CAC"/>
    <w:rsid w:val="006D6F02"/>
    <w:rsid w:val="006E596D"/>
    <w:rsid w:val="006F218F"/>
    <w:rsid w:val="006F4277"/>
    <w:rsid w:val="006F69A5"/>
    <w:rsid w:val="007011A1"/>
    <w:rsid w:val="0071639B"/>
    <w:rsid w:val="007169C9"/>
    <w:rsid w:val="007178A6"/>
    <w:rsid w:val="007213E0"/>
    <w:rsid w:val="007344AE"/>
    <w:rsid w:val="00735823"/>
    <w:rsid w:val="00735BF1"/>
    <w:rsid w:val="00745167"/>
    <w:rsid w:val="007547A8"/>
    <w:rsid w:val="00757AF4"/>
    <w:rsid w:val="00761BAC"/>
    <w:rsid w:val="00781601"/>
    <w:rsid w:val="00790264"/>
    <w:rsid w:val="007A20E1"/>
    <w:rsid w:val="007B7109"/>
    <w:rsid w:val="007C1586"/>
    <w:rsid w:val="007E4BAB"/>
    <w:rsid w:val="00802880"/>
    <w:rsid w:val="00821F70"/>
    <w:rsid w:val="00824B4A"/>
    <w:rsid w:val="008250DC"/>
    <w:rsid w:val="008301E0"/>
    <w:rsid w:val="00830318"/>
    <w:rsid w:val="00830882"/>
    <w:rsid w:val="00831140"/>
    <w:rsid w:val="00846816"/>
    <w:rsid w:val="00852E59"/>
    <w:rsid w:val="0086222E"/>
    <w:rsid w:val="00865660"/>
    <w:rsid w:val="00875E7F"/>
    <w:rsid w:val="008B6B12"/>
    <w:rsid w:val="008C5C97"/>
    <w:rsid w:val="008E5BB2"/>
    <w:rsid w:val="008E5F84"/>
    <w:rsid w:val="008F3FE7"/>
    <w:rsid w:val="008F7792"/>
    <w:rsid w:val="00902F96"/>
    <w:rsid w:val="00912253"/>
    <w:rsid w:val="00921782"/>
    <w:rsid w:val="00922437"/>
    <w:rsid w:val="00930C99"/>
    <w:rsid w:val="009450A0"/>
    <w:rsid w:val="00967595"/>
    <w:rsid w:val="00976B58"/>
    <w:rsid w:val="00980B63"/>
    <w:rsid w:val="00992C8A"/>
    <w:rsid w:val="009A0D64"/>
    <w:rsid w:val="009B2924"/>
    <w:rsid w:val="009C0DDE"/>
    <w:rsid w:val="009C74ED"/>
    <w:rsid w:val="009D59EC"/>
    <w:rsid w:val="00A06EC3"/>
    <w:rsid w:val="00A2411E"/>
    <w:rsid w:val="00A260D9"/>
    <w:rsid w:val="00A31CAD"/>
    <w:rsid w:val="00A46BFB"/>
    <w:rsid w:val="00A52255"/>
    <w:rsid w:val="00A57D08"/>
    <w:rsid w:val="00A667FB"/>
    <w:rsid w:val="00A67E18"/>
    <w:rsid w:val="00A74147"/>
    <w:rsid w:val="00A82F47"/>
    <w:rsid w:val="00A900B4"/>
    <w:rsid w:val="00A930C9"/>
    <w:rsid w:val="00A971F2"/>
    <w:rsid w:val="00AB052E"/>
    <w:rsid w:val="00AE300A"/>
    <w:rsid w:val="00AE45E7"/>
    <w:rsid w:val="00AF479C"/>
    <w:rsid w:val="00AF59B4"/>
    <w:rsid w:val="00AF73F3"/>
    <w:rsid w:val="00AF7437"/>
    <w:rsid w:val="00B111AA"/>
    <w:rsid w:val="00B120D8"/>
    <w:rsid w:val="00B24043"/>
    <w:rsid w:val="00B67FA0"/>
    <w:rsid w:val="00B709ED"/>
    <w:rsid w:val="00B808B4"/>
    <w:rsid w:val="00B8296C"/>
    <w:rsid w:val="00B91B7E"/>
    <w:rsid w:val="00B9288D"/>
    <w:rsid w:val="00B93DD6"/>
    <w:rsid w:val="00B949D2"/>
    <w:rsid w:val="00BA105D"/>
    <w:rsid w:val="00BA2E0E"/>
    <w:rsid w:val="00BB1F57"/>
    <w:rsid w:val="00BB45FF"/>
    <w:rsid w:val="00BB7BDD"/>
    <w:rsid w:val="00BC151B"/>
    <w:rsid w:val="00BC188D"/>
    <w:rsid w:val="00BD3A5F"/>
    <w:rsid w:val="00BD4C9D"/>
    <w:rsid w:val="00BD5ED9"/>
    <w:rsid w:val="00C018E8"/>
    <w:rsid w:val="00C05CE2"/>
    <w:rsid w:val="00C06C5F"/>
    <w:rsid w:val="00C100FB"/>
    <w:rsid w:val="00C13F3B"/>
    <w:rsid w:val="00C141D9"/>
    <w:rsid w:val="00C14F13"/>
    <w:rsid w:val="00C16E4A"/>
    <w:rsid w:val="00C4071F"/>
    <w:rsid w:val="00C43904"/>
    <w:rsid w:val="00C43BE8"/>
    <w:rsid w:val="00C47D70"/>
    <w:rsid w:val="00C61980"/>
    <w:rsid w:val="00C62E97"/>
    <w:rsid w:val="00C6629C"/>
    <w:rsid w:val="00C91A2D"/>
    <w:rsid w:val="00C94491"/>
    <w:rsid w:val="00CA5F4F"/>
    <w:rsid w:val="00CB5F6F"/>
    <w:rsid w:val="00CC3880"/>
    <w:rsid w:val="00CC50E8"/>
    <w:rsid w:val="00CD049E"/>
    <w:rsid w:val="00CD586C"/>
    <w:rsid w:val="00CF1BC2"/>
    <w:rsid w:val="00CF5AFB"/>
    <w:rsid w:val="00D011D9"/>
    <w:rsid w:val="00D06085"/>
    <w:rsid w:val="00D13ED4"/>
    <w:rsid w:val="00D23020"/>
    <w:rsid w:val="00D24797"/>
    <w:rsid w:val="00D30D22"/>
    <w:rsid w:val="00D41842"/>
    <w:rsid w:val="00D44351"/>
    <w:rsid w:val="00D46794"/>
    <w:rsid w:val="00D53A64"/>
    <w:rsid w:val="00D66F98"/>
    <w:rsid w:val="00D70CAA"/>
    <w:rsid w:val="00D828B3"/>
    <w:rsid w:val="00D83873"/>
    <w:rsid w:val="00D845CE"/>
    <w:rsid w:val="00D845E3"/>
    <w:rsid w:val="00D8738A"/>
    <w:rsid w:val="00DA00AB"/>
    <w:rsid w:val="00DA4E0A"/>
    <w:rsid w:val="00DD4751"/>
    <w:rsid w:val="00DE22DF"/>
    <w:rsid w:val="00DE3659"/>
    <w:rsid w:val="00DE6766"/>
    <w:rsid w:val="00DE77EE"/>
    <w:rsid w:val="00DF36BB"/>
    <w:rsid w:val="00E0148D"/>
    <w:rsid w:val="00E110B6"/>
    <w:rsid w:val="00E20BF8"/>
    <w:rsid w:val="00E21886"/>
    <w:rsid w:val="00E23A88"/>
    <w:rsid w:val="00E375C5"/>
    <w:rsid w:val="00E41985"/>
    <w:rsid w:val="00E4514A"/>
    <w:rsid w:val="00E527F9"/>
    <w:rsid w:val="00E5749D"/>
    <w:rsid w:val="00E60045"/>
    <w:rsid w:val="00E646E1"/>
    <w:rsid w:val="00E90913"/>
    <w:rsid w:val="00EA0C99"/>
    <w:rsid w:val="00EA2B7E"/>
    <w:rsid w:val="00EB0909"/>
    <w:rsid w:val="00EB73C9"/>
    <w:rsid w:val="00EC2584"/>
    <w:rsid w:val="00ED57CB"/>
    <w:rsid w:val="00EE109E"/>
    <w:rsid w:val="00EF0D74"/>
    <w:rsid w:val="00EF470A"/>
    <w:rsid w:val="00EF788D"/>
    <w:rsid w:val="00F1172D"/>
    <w:rsid w:val="00F13614"/>
    <w:rsid w:val="00F36689"/>
    <w:rsid w:val="00F40625"/>
    <w:rsid w:val="00F60305"/>
    <w:rsid w:val="00F604F6"/>
    <w:rsid w:val="00F62546"/>
    <w:rsid w:val="00F779C5"/>
    <w:rsid w:val="00F81B05"/>
    <w:rsid w:val="00F95176"/>
    <w:rsid w:val="00F95E4E"/>
    <w:rsid w:val="00F96028"/>
    <w:rsid w:val="00FA0B51"/>
    <w:rsid w:val="00FB112A"/>
    <w:rsid w:val="00FD0A9D"/>
    <w:rsid w:val="00FE60A4"/>
    <w:rsid w:val="00FF7556"/>
    <w:rsid w:val="00FF7826"/>
    <w:rsid w:val="00FF7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D2891F"/>
  <w15:docId w15:val="{9D074D46-0E62-48C4-8E02-9F1C7E0D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D22"/>
    <w:pPr>
      <w:widowControl/>
    </w:pPr>
  </w:style>
  <w:style w:type="paragraph" w:styleId="Heading1">
    <w:name w:val="heading 1"/>
    <w:basedOn w:val="Normal"/>
    <w:next w:val="Normal"/>
    <w:uiPriority w:val="9"/>
    <w:qFormat/>
    <w:pPr>
      <w:spacing w:before="100" w:after="100"/>
      <w:outlineLvl w:val="0"/>
    </w:pPr>
    <w:rPr>
      <w:b/>
      <w:sz w:val="48"/>
      <w:szCs w:val="48"/>
    </w:rPr>
  </w:style>
  <w:style w:type="paragraph" w:styleId="Heading2">
    <w:name w:val="heading 2"/>
    <w:basedOn w:val="Normal"/>
    <w:next w:val="Normal"/>
    <w:uiPriority w:val="9"/>
    <w:semiHidden/>
    <w:unhideWhenUsed/>
    <w:qFormat/>
    <w:pPr>
      <w:keepNext/>
      <w:keepLines/>
      <w:widowControl w:val="0"/>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val="0"/>
      <w:spacing w:before="480" w:after="120"/>
    </w:pPr>
    <w:rPr>
      <w:b/>
      <w:sz w:val="72"/>
      <w:szCs w:val="72"/>
    </w:rPr>
  </w:style>
  <w:style w:type="paragraph" w:styleId="Subtitle">
    <w:name w:val="Subtitle"/>
    <w:basedOn w:val="Normal"/>
    <w:next w:val="Normal"/>
    <w:uiPriority w:val="11"/>
    <w:qFormat/>
    <w:pPr>
      <w:keepNext/>
      <w:keepLines/>
      <w:widowControl w:val="0"/>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70CAA"/>
    <w:pPr>
      <w:widowControl w:val="0"/>
      <w:tabs>
        <w:tab w:val="center" w:pos="4513"/>
        <w:tab w:val="right" w:pos="9026"/>
      </w:tabs>
    </w:pPr>
  </w:style>
  <w:style w:type="character" w:customStyle="1" w:styleId="HeaderChar">
    <w:name w:val="Header Char"/>
    <w:basedOn w:val="DefaultParagraphFont"/>
    <w:link w:val="Header"/>
    <w:uiPriority w:val="99"/>
    <w:rsid w:val="00D70CAA"/>
  </w:style>
  <w:style w:type="paragraph" w:styleId="Footer">
    <w:name w:val="footer"/>
    <w:basedOn w:val="Normal"/>
    <w:link w:val="FooterChar"/>
    <w:uiPriority w:val="99"/>
    <w:unhideWhenUsed/>
    <w:rsid w:val="00D70CAA"/>
    <w:pPr>
      <w:widowControl w:val="0"/>
      <w:tabs>
        <w:tab w:val="center" w:pos="4513"/>
        <w:tab w:val="right" w:pos="9026"/>
      </w:tabs>
    </w:pPr>
  </w:style>
  <w:style w:type="character" w:customStyle="1" w:styleId="FooterChar">
    <w:name w:val="Footer Char"/>
    <w:basedOn w:val="DefaultParagraphFont"/>
    <w:link w:val="Footer"/>
    <w:uiPriority w:val="99"/>
    <w:rsid w:val="00D70CAA"/>
  </w:style>
  <w:style w:type="paragraph" w:styleId="FootnoteText">
    <w:name w:val="footnote text"/>
    <w:basedOn w:val="Normal"/>
    <w:link w:val="FootnoteTextChar"/>
    <w:uiPriority w:val="99"/>
    <w:unhideWhenUsed/>
    <w:rsid w:val="00D30D22"/>
    <w:pPr>
      <w:widowControl w:val="0"/>
    </w:pPr>
    <w:rPr>
      <w:sz w:val="20"/>
      <w:szCs w:val="20"/>
    </w:rPr>
  </w:style>
  <w:style w:type="character" w:customStyle="1" w:styleId="FootnoteTextChar">
    <w:name w:val="Footnote Text Char"/>
    <w:basedOn w:val="DefaultParagraphFont"/>
    <w:link w:val="FootnoteText"/>
    <w:uiPriority w:val="99"/>
    <w:rsid w:val="00D30D22"/>
    <w:rPr>
      <w:sz w:val="20"/>
      <w:szCs w:val="20"/>
    </w:rPr>
  </w:style>
  <w:style w:type="paragraph" w:styleId="EndnoteText">
    <w:name w:val="endnote text"/>
    <w:basedOn w:val="Normal"/>
    <w:link w:val="EndnoteTextChar"/>
    <w:uiPriority w:val="99"/>
    <w:unhideWhenUsed/>
    <w:rsid w:val="00D30D22"/>
    <w:pPr>
      <w:widowControl w:val="0"/>
    </w:pPr>
    <w:rPr>
      <w:sz w:val="20"/>
      <w:szCs w:val="20"/>
    </w:rPr>
  </w:style>
  <w:style w:type="character" w:customStyle="1" w:styleId="EndnoteTextChar">
    <w:name w:val="Endnote Text Char"/>
    <w:basedOn w:val="DefaultParagraphFont"/>
    <w:link w:val="EndnoteText"/>
    <w:uiPriority w:val="99"/>
    <w:rsid w:val="00D30D22"/>
    <w:rPr>
      <w:sz w:val="20"/>
      <w:szCs w:val="20"/>
    </w:rPr>
  </w:style>
  <w:style w:type="character" w:styleId="FootnoteReference">
    <w:name w:val="footnote reference"/>
    <w:basedOn w:val="DefaultParagraphFont"/>
    <w:uiPriority w:val="99"/>
    <w:semiHidden/>
    <w:unhideWhenUsed/>
    <w:rsid w:val="00D30D22"/>
    <w:rPr>
      <w:vertAlign w:val="superscript"/>
    </w:rPr>
  </w:style>
  <w:style w:type="character" w:styleId="EndnoteReference">
    <w:name w:val="endnote reference"/>
    <w:basedOn w:val="DefaultParagraphFont"/>
    <w:uiPriority w:val="99"/>
    <w:unhideWhenUsed/>
    <w:rsid w:val="00D30D22"/>
    <w:rPr>
      <w:vertAlign w:val="superscript"/>
    </w:rPr>
  </w:style>
  <w:style w:type="character" w:styleId="Hyperlink">
    <w:name w:val="Hyperlink"/>
    <w:basedOn w:val="DefaultParagraphFont"/>
    <w:uiPriority w:val="99"/>
    <w:unhideWhenUsed/>
    <w:rsid w:val="00D845E3"/>
    <w:rPr>
      <w:color w:val="0000FF"/>
      <w:u w:val="single"/>
    </w:rPr>
  </w:style>
  <w:style w:type="character" w:styleId="UnresolvedMention">
    <w:name w:val="Unresolved Mention"/>
    <w:basedOn w:val="DefaultParagraphFont"/>
    <w:uiPriority w:val="99"/>
    <w:semiHidden/>
    <w:unhideWhenUsed/>
    <w:rsid w:val="00D845E3"/>
    <w:rPr>
      <w:color w:val="605E5C"/>
      <w:shd w:val="clear" w:color="auto" w:fill="E1DFDD"/>
    </w:rPr>
  </w:style>
  <w:style w:type="paragraph" w:styleId="BalloonText">
    <w:name w:val="Balloon Text"/>
    <w:basedOn w:val="Normal"/>
    <w:link w:val="BalloonTextChar"/>
    <w:uiPriority w:val="99"/>
    <w:semiHidden/>
    <w:unhideWhenUsed/>
    <w:rsid w:val="0055029C"/>
    <w:rPr>
      <w:sz w:val="18"/>
      <w:szCs w:val="18"/>
    </w:rPr>
  </w:style>
  <w:style w:type="character" w:customStyle="1" w:styleId="BalloonTextChar">
    <w:name w:val="Balloon Text Char"/>
    <w:basedOn w:val="DefaultParagraphFont"/>
    <w:link w:val="BalloonText"/>
    <w:uiPriority w:val="99"/>
    <w:semiHidden/>
    <w:rsid w:val="0055029C"/>
    <w:rPr>
      <w:sz w:val="18"/>
      <w:szCs w:val="18"/>
    </w:rPr>
  </w:style>
  <w:style w:type="paragraph" w:styleId="ListParagraph">
    <w:name w:val="List Paragraph"/>
    <w:basedOn w:val="Normal"/>
    <w:uiPriority w:val="34"/>
    <w:qFormat/>
    <w:rsid w:val="00470440"/>
    <w:pPr>
      <w:ind w:left="720"/>
      <w:contextualSpacing/>
    </w:pPr>
  </w:style>
  <w:style w:type="character" w:customStyle="1" w:styleId="normaltextrun">
    <w:name w:val="normaltextrun"/>
    <w:basedOn w:val="DefaultParagraphFont"/>
    <w:rsid w:val="00C94491"/>
  </w:style>
  <w:style w:type="character" w:customStyle="1" w:styleId="superscript">
    <w:name w:val="superscript"/>
    <w:basedOn w:val="DefaultParagraphFont"/>
    <w:rsid w:val="00C94491"/>
  </w:style>
  <w:style w:type="character" w:styleId="FollowedHyperlink">
    <w:name w:val="FollowedHyperlink"/>
    <w:basedOn w:val="DefaultParagraphFont"/>
    <w:uiPriority w:val="99"/>
    <w:semiHidden/>
    <w:unhideWhenUsed/>
    <w:rsid w:val="00D13ED4"/>
    <w:rPr>
      <w:color w:val="800080" w:themeColor="followedHyperlink"/>
      <w:u w:val="single"/>
    </w:rPr>
  </w:style>
  <w:style w:type="character" w:styleId="CommentReference">
    <w:name w:val="annotation reference"/>
    <w:basedOn w:val="DefaultParagraphFont"/>
    <w:uiPriority w:val="99"/>
    <w:semiHidden/>
    <w:unhideWhenUsed/>
    <w:rsid w:val="00902F96"/>
    <w:rPr>
      <w:sz w:val="16"/>
      <w:szCs w:val="16"/>
    </w:rPr>
  </w:style>
  <w:style w:type="paragraph" w:styleId="CommentText">
    <w:name w:val="annotation text"/>
    <w:basedOn w:val="Normal"/>
    <w:link w:val="CommentTextChar"/>
    <w:uiPriority w:val="99"/>
    <w:semiHidden/>
    <w:unhideWhenUsed/>
    <w:rsid w:val="00902F96"/>
    <w:rPr>
      <w:sz w:val="20"/>
      <w:szCs w:val="20"/>
    </w:rPr>
  </w:style>
  <w:style w:type="character" w:customStyle="1" w:styleId="CommentTextChar">
    <w:name w:val="Comment Text Char"/>
    <w:basedOn w:val="DefaultParagraphFont"/>
    <w:link w:val="CommentText"/>
    <w:uiPriority w:val="99"/>
    <w:semiHidden/>
    <w:rsid w:val="00902F96"/>
    <w:rPr>
      <w:sz w:val="20"/>
      <w:szCs w:val="20"/>
    </w:rPr>
  </w:style>
  <w:style w:type="paragraph" w:styleId="CommentSubject">
    <w:name w:val="annotation subject"/>
    <w:basedOn w:val="CommentText"/>
    <w:next w:val="CommentText"/>
    <w:link w:val="CommentSubjectChar"/>
    <w:uiPriority w:val="99"/>
    <w:semiHidden/>
    <w:unhideWhenUsed/>
    <w:rsid w:val="00902F96"/>
    <w:rPr>
      <w:b/>
      <w:bCs/>
    </w:rPr>
  </w:style>
  <w:style w:type="character" w:customStyle="1" w:styleId="CommentSubjectChar">
    <w:name w:val="Comment Subject Char"/>
    <w:basedOn w:val="CommentTextChar"/>
    <w:link w:val="CommentSubject"/>
    <w:uiPriority w:val="99"/>
    <w:semiHidden/>
    <w:rsid w:val="00902F96"/>
    <w:rPr>
      <w:b/>
      <w:bCs/>
      <w:sz w:val="20"/>
      <w:szCs w:val="20"/>
    </w:rPr>
  </w:style>
  <w:style w:type="paragraph" w:styleId="NormalWeb">
    <w:name w:val="Normal (Web)"/>
    <w:basedOn w:val="Normal"/>
    <w:uiPriority w:val="99"/>
    <w:unhideWhenUsed/>
    <w:rsid w:val="00DA00AB"/>
    <w:pPr>
      <w:spacing w:before="100" w:beforeAutospacing="1" w:after="100" w:afterAutospacing="1"/>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641">
      <w:bodyDiv w:val="1"/>
      <w:marLeft w:val="0"/>
      <w:marRight w:val="0"/>
      <w:marTop w:val="0"/>
      <w:marBottom w:val="0"/>
      <w:divBdr>
        <w:top w:val="none" w:sz="0" w:space="0" w:color="auto"/>
        <w:left w:val="none" w:sz="0" w:space="0" w:color="auto"/>
        <w:bottom w:val="none" w:sz="0" w:space="0" w:color="auto"/>
        <w:right w:val="none" w:sz="0" w:space="0" w:color="auto"/>
      </w:divBdr>
    </w:div>
    <w:div w:id="130635838">
      <w:bodyDiv w:val="1"/>
      <w:marLeft w:val="0"/>
      <w:marRight w:val="0"/>
      <w:marTop w:val="0"/>
      <w:marBottom w:val="0"/>
      <w:divBdr>
        <w:top w:val="none" w:sz="0" w:space="0" w:color="auto"/>
        <w:left w:val="none" w:sz="0" w:space="0" w:color="auto"/>
        <w:bottom w:val="none" w:sz="0" w:space="0" w:color="auto"/>
        <w:right w:val="none" w:sz="0" w:space="0" w:color="auto"/>
      </w:divBdr>
    </w:div>
    <w:div w:id="474419302">
      <w:bodyDiv w:val="1"/>
      <w:marLeft w:val="0"/>
      <w:marRight w:val="0"/>
      <w:marTop w:val="0"/>
      <w:marBottom w:val="0"/>
      <w:divBdr>
        <w:top w:val="none" w:sz="0" w:space="0" w:color="auto"/>
        <w:left w:val="none" w:sz="0" w:space="0" w:color="auto"/>
        <w:bottom w:val="none" w:sz="0" w:space="0" w:color="auto"/>
        <w:right w:val="none" w:sz="0" w:space="0" w:color="auto"/>
      </w:divBdr>
    </w:div>
    <w:div w:id="494760958">
      <w:bodyDiv w:val="1"/>
      <w:marLeft w:val="0"/>
      <w:marRight w:val="0"/>
      <w:marTop w:val="0"/>
      <w:marBottom w:val="0"/>
      <w:divBdr>
        <w:top w:val="none" w:sz="0" w:space="0" w:color="auto"/>
        <w:left w:val="none" w:sz="0" w:space="0" w:color="auto"/>
        <w:bottom w:val="none" w:sz="0" w:space="0" w:color="auto"/>
        <w:right w:val="none" w:sz="0" w:space="0" w:color="auto"/>
      </w:divBdr>
    </w:div>
    <w:div w:id="658584535">
      <w:bodyDiv w:val="1"/>
      <w:marLeft w:val="0"/>
      <w:marRight w:val="0"/>
      <w:marTop w:val="0"/>
      <w:marBottom w:val="0"/>
      <w:divBdr>
        <w:top w:val="none" w:sz="0" w:space="0" w:color="auto"/>
        <w:left w:val="none" w:sz="0" w:space="0" w:color="auto"/>
        <w:bottom w:val="none" w:sz="0" w:space="0" w:color="auto"/>
        <w:right w:val="none" w:sz="0" w:space="0" w:color="auto"/>
      </w:divBdr>
    </w:div>
    <w:div w:id="671418792">
      <w:bodyDiv w:val="1"/>
      <w:marLeft w:val="0"/>
      <w:marRight w:val="0"/>
      <w:marTop w:val="0"/>
      <w:marBottom w:val="0"/>
      <w:divBdr>
        <w:top w:val="none" w:sz="0" w:space="0" w:color="auto"/>
        <w:left w:val="none" w:sz="0" w:space="0" w:color="auto"/>
        <w:bottom w:val="none" w:sz="0" w:space="0" w:color="auto"/>
        <w:right w:val="none" w:sz="0" w:space="0" w:color="auto"/>
      </w:divBdr>
    </w:div>
    <w:div w:id="816534572">
      <w:bodyDiv w:val="1"/>
      <w:marLeft w:val="0"/>
      <w:marRight w:val="0"/>
      <w:marTop w:val="0"/>
      <w:marBottom w:val="0"/>
      <w:divBdr>
        <w:top w:val="none" w:sz="0" w:space="0" w:color="auto"/>
        <w:left w:val="none" w:sz="0" w:space="0" w:color="auto"/>
        <w:bottom w:val="none" w:sz="0" w:space="0" w:color="auto"/>
        <w:right w:val="none" w:sz="0" w:space="0" w:color="auto"/>
      </w:divBdr>
    </w:div>
    <w:div w:id="829172087">
      <w:bodyDiv w:val="1"/>
      <w:marLeft w:val="0"/>
      <w:marRight w:val="0"/>
      <w:marTop w:val="0"/>
      <w:marBottom w:val="0"/>
      <w:divBdr>
        <w:top w:val="none" w:sz="0" w:space="0" w:color="auto"/>
        <w:left w:val="none" w:sz="0" w:space="0" w:color="auto"/>
        <w:bottom w:val="none" w:sz="0" w:space="0" w:color="auto"/>
        <w:right w:val="none" w:sz="0" w:space="0" w:color="auto"/>
      </w:divBdr>
    </w:div>
    <w:div w:id="885265012">
      <w:bodyDiv w:val="1"/>
      <w:marLeft w:val="0"/>
      <w:marRight w:val="0"/>
      <w:marTop w:val="0"/>
      <w:marBottom w:val="0"/>
      <w:divBdr>
        <w:top w:val="none" w:sz="0" w:space="0" w:color="auto"/>
        <w:left w:val="none" w:sz="0" w:space="0" w:color="auto"/>
        <w:bottom w:val="none" w:sz="0" w:space="0" w:color="auto"/>
        <w:right w:val="none" w:sz="0" w:space="0" w:color="auto"/>
      </w:divBdr>
    </w:div>
    <w:div w:id="986973652">
      <w:bodyDiv w:val="1"/>
      <w:marLeft w:val="0"/>
      <w:marRight w:val="0"/>
      <w:marTop w:val="0"/>
      <w:marBottom w:val="0"/>
      <w:divBdr>
        <w:top w:val="none" w:sz="0" w:space="0" w:color="auto"/>
        <w:left w:val="none" w:sz="0" w:space="0" w:color="auto"/>
        <w:bottom w:val="none" w:sz="0" w:space="0" w:color="auto"/>
        <w:right w:val="none" w:sz="0" w:space="0" w:color="auto"/>
      </w:divBdr>
    </w:div>
    <w:div w:id="1077095050">
      <w:bodyDiv w:val="1"/>
      <w:marLeft w:val="0"/>
      <w:marRight w:val="0"/>
      <w:marTop w:val="0"/>
      <w:marBottom w:val="0"/>
      <w:divBdr>
        <w:top w:val="none" w:sz="0" w:space="0" w:color="auto"/>
        <w:left w:val="none" w:sz="0" w:space="0" w:color="auto"/>
        <w:bottom w:val="none" w:sz="0" w:space="0" w:color="auto"/>
        <w:right w:val="none" w:sz="0" w:space="0" w:color="auto"/>
      </w:divBdr>
    </w:div>
    <w:div w:id="1111510925">
      <w:bodyDiv w:val="1"/>
      <w:marLeft w:val="0"/>
      <w:marRight w:val="0"/>
      <w:marTop w:val="0"/>
      <w:marBottom w:val="0"/>
      <w:divBdr>
        <w:top w:val="none" w:sz="0" w:space="0" w:color="auto"/>
        <w:left w:val="none" w:sz="0" w:space="0" w:color="auto"/>
        <w:bottom w:val="none" w:sz="0" w:space="0" w:color="auto"/>
        <w:right w:val="none" w:sz="0" w:space="0" w:color="auto"/>
      </w:divBdr>
    </w:div>
    <w:div w:id="1152258820">
      <w:bodyDiv w:val="1"/>
      <w:marLeft w:val="0"/>
      <w:marRight w:val="0"/>
      <w:marTop w:val="0"/>
      <w:marBottom w:val="0"/>
      <w:divBdr>
        <w:top w:val="none" w:sz="0" w:space="0" w:color="auto"/>
        <w:left w:val="none" w:sz="0" w:space="0" w:color="auto"/>
        <w:bottom w:val="none" w:sz="0" w:space="0" w:color="auto"/>
        <w:right w:val="none" w:sz="0" w:space="0" w:color="auto"/>
      </w:divBdr>
    </w:div>
    <w:div w:id="1248687204">
      <w:bodyDiv w:val="1"/>
      <w:marLeft w:val="0"/>
      <w:marRight w:val="0"/>
      <w:marTop w:val="0"/>
      <w:marBottom w:val="0"/>
      <w:divBdr>
        <w:top w:val="none" w:sz="0" w:space="0" w:color="auto"/>
        <w:left w:val="none" w:sz="0" w:space="0" w:color="auto"/>
        <w:bottom w:val="none" w:sz="0" w:space="0" w:color="auto"/>
        <w:right w:val="none" w:sz="0" w:space="0" w:color="auto"/>
      </w:divBdr>
    </w:div>
    <w:div w:id="1291940901">
      <w:bodyDiv w:val="1"/>
      <w:marLeft w:val="0"/>
      <w:marRight w:val="0"/>
      <w:marTop w:val="0"/>
      <w:marBottom w:val="0"/>
      <w:divBdr>
        <w:top w:val="none" w:sz="0" w:space="0" w:color="auto"/>
        <w:left w:val="none" w:sz="0" w:space="0" w:color="auto"/>
        <w:bottom w:val="none" w:sz="0" w:space="0" w:color="auto"/>
        <w:right w:val="none" w:sz="0" w:space="0" w:color="auto"/>
      </w:divBdr>
    </w:div>
    <w:div w:id="1333217587">
      <w:bodyDiv w:val="1"/>
      <w:marLeft w:val="0"/>
      <w:marRight w:val="0"/>
      <w:marTop w:val="0"/>
      <w:marBottom w:val="0"/>
      <w:divBdr>
        <w:top w:val="none" w:sz="0" w:space="0" w:color="auto"/>
        <w:left w:val="none" w:sz="0" w:space="0" w:color="auto"/>
        <w:bottom w:val="none" w:sz="0" w:space="0" w:color="auto"/>
        <w:right w:val="none" w:sz="0" w:space="0" w:color="auto"/>
      </w:divBdr>
    </w:div>
    <w:div w:id="1404065617">
      <w:bodyDiv w:val="1"/>
      <w:marLeft w:val="0"/>
      <w:marRight w:val="0"/>
      <w:marTop w:val="0"/>
      <w:marBottom w:val="0"/>
      <w:divBdr>
        <w:top w:val="none" w:sz="0" w:space="0" w:color="auto"/>
        <w:left w:val="none" w:sz="0" w:space="0" w:color="auto"/>
        <w:bottom w:val="none" w:sz="0" w:space="0" w:color="auto"/>
        <w:right w:val="none" w:sz="0" w:space="0" w:color="auto"/>
      </w:divBdr>
    </w:div>
    <w:div w:id="1753775827">
      <w:bodyDiv w:val="1"/>
      <w:marLeft w:val="0"/>
      <w:marRight w:val="0"/>
      <w:marTop w:val="0"/>
      <w:marBottom w:val="0"/>
      <w:divBdr>
        <w:top w:val="none" w:sz="0" w:space="0" w:color="auto"/>
        <w:left w:val="none" w:sz="0" w:space="0" w:color="auto"/>
        <w:bottom w:val="none" w:sz="0" w:space="0" w:color="auto"/>
        <w:right w:val="none" w:sz="0" w:space="0" w:color="auto"/>
      </w:divBdr>
    </w:div>
    <w:div w:id="1790857643">
      <w:bodyDiv w:val="1"/>
      <w:marLeft w:val="0"/>
      <w:marRight w:val="0"/>
      <w:marTop w:val="0"/>
      <w:marBottom w:val="0"/>
      <w:divBdr>
        <w:top w:val="none" w:sz="0" w:space="0" w:color="auto"/>
        <w:left w:val="none" w:sz="0" w:space="0" w:color="auto"/>
        <w:bottom w:val="none" w:sz="0" w:space="0" w:color="auto"/>
        <w:right w:val="none" w:sz="0" w:space="0" w:color="auto"/>
      </w:divBdr>
    </w:div>
    <w:div w:id="1976330629">
      <w:bodyDiv w:val="1"/>
      <w:marLeft w:val="0"/>
      <w:marRight w:val="0"/>
      <w:marTop w:val="0"/>
      <w:marBottom w:val="0"/>
      <w:divBdr>
        <w:top w:val="none" w:sz="0" w:space="0" w:color="auto"/>
        <w:left w:val="none" w:sz="0" w:space="0" w:color="auto"/>
        <w:bottom w:val="none" w:sz="0" w:space="0" w:color="auto"/>
        <w:right w:val="none" w:sz="0" w:space="0" w:color="auto"/>
      </w:divBdr>
    </w:div>
    <w:div w:id="2058509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ubmed.ncbi.nlm.nih.gov/21036393/" TargetMode="External"/><Relationship Id="rId10" Type="http://schemas.openxmlformats.org/officeDocument/2006/relationships/hyperlink" Target="mailto:contact@idpc.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ubmed.ncbi.nlm.nih.gov/21036393/"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www.bbc.com/travel/story/20170307-the-intoxicating-drug-of-an-indian-god" TargetMode="External"/><Relationship Id="rId18" Type="http://schemas.openxmlformats.org/officeDocument/2006/relationships/hyperlink" Target="https://link.springer.com/book/10.1007/978-3-642-40957-8" TargetMode="External"/><Relationship Id="rId26" Type="http://schemas.openxmlformats.org/officeDocument/2006/relationships/hyperlink" Target="https://www.thelancet.com/journals/lancet/article/PIIS0140-6736(10)61462-6/fulltext" TargetMode="External"/><Relationship Id="rId39" Type="http://schemas.openxmlformats.org/officeDocument/2006/relationships/hyperlink" Target="https://www.nexos.com.mx/?p=27006" TargetMode="External"/><Relationship Id="rId21" Type="http://schemas.openxmlformats.org/officeDocument/2006/relationships/hyperlink" Target="https://psychedelicstoday.com/2018/11/17/brief-history-psychedelics-western-world/" TargetMode="External"/><Relationship Id="rId34" Type="http://schemas.openxmlformats.org/officeDocument/2006/relationships/hyperlink" Target="https://www.ncbi.nlm.nih.gov/pmc/articles/PMC4813425/" TargetMode="External"/><Relationship Id="rId7" Type="http://schemas.openxmlformats.org/officeDocument/2006/relationships/hyperlink" Target="https://www.theguardian.com/tv-and-radio/2013/dec/22/art-heroin-christiane-f" TargetMode="External"/><Relationship Id="rId2" Type="http://schemas.openxmlformats.org/officeDocument/2006/relationships/hyperlink" Target="https://link.springer.com/chapter/10.1007/978-94-007-6253-4_19" TargetMode="External"/><Relationship Id="rId16" Type="http://schemas.openxmlformats.org/officeDocument/2006/relationships/hyperlink" Target="https://link.springer.com/book/10.1007/978-3-642-40957-8" TargetMode="External"/><Relationship Id="rId20" Type="http://schemas.openxmlformats.org/officeDocument/2006/relationships/hyperlink" Target="https://www.refworld.org/docid/453883fb22.html" TargetMode="External"/><Relationship Id="rId29" Type="http://schemas.openxmlformats.org/officeDocument/2006/relationships/hyperlink" Target="https://www.talkingdrugs.org/drug-decriminalisation" TargetMode="External"/><Relationship Id="rId41" Type="http://schemas.openxmlformats.org/officeDocument/2006/relationships/hyperlink" Target="https://kn.vlex.com/vid/ras-sankofa-maccabbee-v-840672112" TargetMode="External"/><Relationship Id="rId1" Type="http://schemas.openxmlformats.org/officeDocument/2006/relationships/hyperlink" Target="https://pubmed.ncbi.nlm.nih.gov/26838469/" TargetMode="External"/><Relationship Id="rId6" Type="http://schemas.openxmlformats.org/officeDocument/2006/relationships/hyperlink" Target="https://wdr.unodc.org/wdr2020/en/drug-use-health.html" TargetMode="External"/><Relationship Id="rId11" Type="http://schemas.openxmlformats.org/officeDocument/2006/relationships/hyperlink" Target="https://link.springer.com/book/10.1007/978-3-642-40957-8" TargetMode="External"/><Relationship Id="rId24" Type="http://schemas.openxmlformats.org/officeDocument/2006/relationships/hyperlink" Target="https://pubmed.ncbi.nlm.nih.gov/26838469/" TargetMode="External"/><Relationship Id="rId32" Type="http://schemas.openxmlformats.org/officeDocument/2006/relationships/hyperlink" Target="https://www.iceers.org/ayahuasca-international-legal-status/" TargetMode="External"/><Relationship Id="rId37" Type="http://schemas.openxmlformats.org/officeDocument/2006/relationships/hyperlink" Target="https://www.refworld.org/docid/453883fa8.html" TargetMode="External"/><Relationship Id="rId40" Type="http://schemas.openxmlformats.org/officeDocument/2006/relationships/hyperlink" Target="http://www.saflii.org/za/cases/ZACC/2018/30.html" TargetMode="External"/><Relationship Id="rId5" Type="http://schemas.openxmlformats.org/officeDocument/2006/relationships/hyperlink" Target="https://link.springer.com/chapter/10.1007/978-94-007-6253-4_19" TargetMode="External"/><Relationship Id="rId15" Type="http://schemas.openxmlformats.org/officeDocument/2006/relationships/hyperlink" Target="https://erowid.org/spirit/traditions/buddhism/buddhism_tantra_article1.shtml" TargetMode="External"/><Relationship Id="rId23" Type="http://schemas.openxmlformats.org/officeDocument/2006/relationships/hyperlink" Target="https://www.refworld.org/docid/453883fb22.html" TargetMode="External"/><Relationship Id="rId28" Type="http://schemas.openxmlformats.org/officeDocument/2006/relationships/hyperlink" Target="https://www.emcdda.europa.eu/publications/topic-overviews/classification-of-controlled-drugs/html_en" TargetMode="External"/><Relationship Id="rId36" Type="http://schemas.openxmlformats.org/officeDocument/2006/relationships/hyperlink" Target="https://idpc.net/blog/2020/06/the-war-on-drugs-is-built-on-racism-it-s-time-to-decolonise-drug-policies" TargetMode="External"/><Relationship Id="rId10" Type="http://schemas.openxmlformats.org/officeDocument/2006/relationships/hyperlink" Target="https://www.refworld.org/docid/453883fb22.html" TargetMode="External"/><Relationship Id="rId19" Type="http://schemas.openxmlformats.org/officeDocument/2006/relationships/hyperlink" Target="https://www.ncbi.nlm.nih.gov/pmc/articles/PMC5473056/" TargetMode="External"/><Relationship Id="rId31" Type="http://schemas.openxmlformats.org/officeDocument/2006/relationships/hyperlink" Target="https://www.vice.com/en/article/epdv3j/colombia-is-considering-legalizing-its-massive-cocaine-industry" TargetMode="External"/><Relationship Id="rId4" Type="http://schemas.openxmlformats.org/officeDocument/2006/relationships/hyperlink" Target="https://pubmed.ncbi.nlm.nih.gov/26838469/" TargetMode="External"/><Relationship Id="rId9" Type="http://schemas.openxmlformats.org/officeDocument/2006/relationships/hyperlink" Target="https://www.nature.com/articles/s41591-021-01336-3" TargetMode="External"/><Relationship Id="rId14" Type="http://schemas.openxmlformats.org/officeDocument/2006/relationships/hyperlink" Target="https://www.cannabisculture.com/content/2019/12/09/the-ganja-culture-of-india/" TargetMode="External"/><Relationship Id="rId22" Type="http://schemas.openxmlformats.org/officeDocument/2006/relationships/hyperlink" Target="https://www.refworld.org/docid/453883fb22.html" TargetMode="External"/><Relationship Id="rId27" Type="http://schemas.openxmlformats.org/officeDocument/2006/relationships/hyperlink" Target="https://transformdrugs.org/drug-policy/models-of-regulation" TargetMode="External"/><Relationship Id="rId30" Type="http://schemas.openxmlformats.org/officeDocument/2006/relationships/hyperlink" Target="https://en.wikipedia.org/wiki/Legality_of_cannabis" TargetMode="External"/><Relationship Id="rId35" Type="http://schemas.openxmlformats.org/officeDocument/2006/relationships/hyperlink" Target="https://www.tni.org/files/download/rise_and_decline_web.pdf" TargetMode="External"/><Relationship Id="rId8" Type="http://schemas.openxmlformats.org/officeDocument/2006/relationships/hyperlink" Target="https://filtermag.org/youth-clubbing-mdma-ecstasy/" TargetMode="External"/><Relationship Id="rId3" Type="http://schemas.openxmlformats.org/officeDocument/2006/relationships/hyperlink" Target="https://pubmed.ncbi.nlm.nih.gov/26838469/" TargetMode="External"/><Relationship Id="rId12" Type="http://schemas.openxmlformats.org/officeDocument/2006/relationships/hyperlink" Target="https://verbumetecclesia.org.za/index.php/ve/article/view/199" TargetMode="External"/><Relationship Id="rId17" Type="http://schemas.openxmlformats.org/officeDocument/2006/relationships/hyperlink" Target="https://www.iceers.org/ayahuasca-legal-status/" TargetMode="External"/><Relationship Id="rId25" Type="http://schemas.openxmlformats.org/officeDocument/2006/relationships/hyperlink" Target="https://digitallibrary.un.org/record/533996" TargetMode="External"/><Relationship Id="rId33" Type="http://schemas.openxmlformats.org/officeDocument/2006/relationships/hyperlink" Target="https://pubmed.ncbi.nlm.nih.gov/21036393/" TargetMode="External"/><Relationship Id="rId38" Type="http://schemas.openxmlformats.org/officeDocument/2006/relationships/hyperlink" Target="https://www.refworld.org/docid/453883fa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A241B-4E25-6149-9C63-34C177563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3038</Words>
  <Characters>16615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dc:creator>
  <cp:keywords/>
  <dc:description/>
  <cp:lastModifiedBy>Helle</cp:lastModifiedBy>
  <cp:revision>2</cp:revision>
  <cp:lastPrinted>2020-06-15T10:26:00Z</cp:lastPrinted>
  <dcterms:created xsi:type="dcterms:W3CDTF">2022-12-15T13:18:00Z</dcterms:created>
  <dcterms:modified xsi:type="dcterms:W3CDTF">2022-12-15T13:18:00Z</dcterms:modified>
</cp:coreProperties>
</file>