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D346" w14:textId="77777777" w:rsidR="00137E33" w:rsidRDefault="00137E33" w:rsidP="005844EF">
      <w:pPr>
        <w:spacing w:after="0"/>
        <w:rPr>
          <w:rFonts w:ascii="Artifex CF Book" w:hAnsi="Artifex CF Book"/>
        </w:rPr>
      </w:pPr>
    </w:p>
    <w:p w14:paraId="38A55B1A" w14:textId="77777777" w:rsidR="003453DC" w:rsidRPr="00766B27" w:rsidRDefault="003453DC" w:rsidP="00766B27">
      <w:pPr>
        <w:spacing w:after="0"/>
        <w:jc w:val="both"/>
        <w:rPr>
          <w:rFonts w:ascii="Artifex CF" w:hAnsi="Artifex CF"/>
          <w:sz w:val="24"/>
          <w:szCs w:val="24"/>
        </w:rPr>
      </w:pPr>
    </w:p>
    <w:p w14:paraId="3E11DC51" w14:textId="22458F12" w:rsidR="004273D2" w:rsidRPr="00FF432C" w:rsidRDefault="004273D2" w:rsidP="004273D2">
      <w:pPr>
        <w:jc w:val="center"/>
        <w:rPr>
          <w:rFonts w:ascii="Artifex CF" w:hAnsi="Artifex CF"/>
          <w:b/>
          <w:u w:val="single"/>
        </w:rPr>
      </w:pPr>
      <w:r w:rsidRPr="00FF432C">
        <w:rPr>
          <w:rFonts w:ascii="Artifex CF" w:hAnsi="Artifex CF"/>
          <w:b/>
          <w:u w:val="single"/>
        </w:rPr>
        <w:t xml:space="preserve">Insumos </w:t>
      </w:r>
      <w:r>
        <w:rPr>
          <w:rFonts w:ascii="Artifex CF" w:hAnsi="Artifex CF"/>
          <w:b/>
          <w:u w:val="single"/>
        </w:rPr>
        <w:t xml:space="preserve">sobre la promoción de los derechos humanos y los objetivos de desarrollo sostenible a través de la presentación eficaz del servicio público. </w:t>
      </w:r>
    </w:p>
    <w:p w14:paraId="4E3DDACE" w14:textId="282681C0" w:rsidR="004273D2" w:rsidRPr="00FF432C" w:rsidRDefault="004273D2" w:rsidP="004273D2">
      <w:pPr>
        <w:jc w:val="center"/>
        <w:rPr>
          <w:rFonts w:ascii="Artifex CF" w:hAnsi="Artifex CF"/>
          <w:b/>
          <w:u w:val="single"/>
        </w:rPr>
      </w:pPr>
      <w:r w:rsidRPr="00FF432C">
        <w:rPr>
          <w:rFonts w:ascii="Artifex CF" w:hAnsi="Artifex CF"/>
          <w:b/>
          <w:u w:val="single"/>
        </w:rPr>
        <w:t xml:space="preserve">Octubre </w:t>
      </w:r>
      <w:r>
        <w:rPr>
          <w:rFonts w:ascii="Artifex CF" w:hAnsi="Artifex CF"/>
          <w:b/>
          <w:u w:val="single"/>
        </w:rPr>
        <w:t>20</w:t>
      </w:r>
      <w:r w:rsidRPr="00FF432C">
        <w:rPr>
          <w:rFonts w:ascii="Artifex CF" w:hAnsi="Artifex CF"/>
          <w:b/>
          <w:u w:val="single"/>
        </w:rPr>
        <w:t xml:space="preserve"> del 2023</w:t>
      </w:r>
    </w:p>
    <w:p w14:paraId="35FFE056" w14:textId="46BD2088" w:rsidR="004273D2" w:rsidRPr="0037039F" w:rsidRDefault="004273D2" w:rsidP="004273D2">
      <w:pPr>
        <w:jc w:val="both"/>
        <w:rPr>
          <w:rFonts w:ascii="Artifex CF" w:hAnsi="Artifex CF"/>
          <w:bCs/>
          <w:color w:val="FF0000"/>
          <w:sz w:val="24"/>
          <w:szCs w:val="24"/>
        </w:rPr>
      </w:pPr>
      <w:r w:rsidRPr="0037039F">
        <w:rPr>
          <w:rFonts w:ascii="Artifex CF" w:hAnsi="Artifex CF"/>
          <w:bCs/>
          <w:sz w:val="24"/>
          <w:szCs w:val="24"/>
        </w:rPr>
        <w:t xml:space="preserve">La República Dominicana ha establecido el marco constitucional para garantizar el </w:t>
      </w:r>
      <w:r w:rsidR="006124CA" w:rsidRPr="0037039F">
        <w:rPr>
          <w:rFonts w:ascii="Artifex CF" w:hAnsi="Artifex CF"/>
          <w:bCs/>
          <w:sz w:val="24"/>
          <w:szCs w:val="24"/>
        </w:rPr>
        <w:t>servicio público eficaz</w:t>
      </w:r>
      <w:r w:rsidRPr="0037039F">
        <w:rPr>
          <w:rFonts w:ascii="Artifex CF" w:hAnsi="Artifex CF"/>
          <w:bCs/>
          <w:sz w:val="24"/>
          <w:szCs w:val="24"/>
        </w:rPr>
        <w:t xml:space="preserve">.  Así en el artículo </w:t>
      </w:r>
      <w:r w:rsidR="0095130F" w:rsidRPr="0037039F">
        <w:rPr>
          <w:rFonts w:ascii="Artifex CF" w:hAnsi="Artifex CF"/>
          <w:bCs/>
          <w:sz w:val="24"/>
          <w:szCs w:val="24"/>
        </w:rPr>
        <w:t>142</w:t>
      </w:r>
      <w:r w:rsidRPr="0037039F">
        <w:rPr>
          <w:rFonts w:ascii="Artifex CF" w:hAnsi="Artifex CF"/>
          <w:bCs/>
          <w:sz w:val="24"/>
          <w:szCs w:val="24"/>
        </w:rPr>
        <w:t xml:space="preserve"> de la Constitución al </w:t>
      </w:r>
      <w:r w:rsidR="0095130F" w:rsidRPr="0037039F">
        <w:rPr>
          <w:rFonts w:ascii="Artifex CF" w:hAnsi="Artifex CF"/>
          <w:bCs/>
          <w:sz w:val="24"/>
          <w:szCs w:val="24"/>
        </w:rPr>
        <w:t xml:space="preserve">consagrar que El Estatuto de la Función Pública es un régimen de derecho público basado en el mérito y la profesionalización para una gestión eficiente y el cumplimiento de las funciones esenciales del Estado. Dicho estatuto determinará la forma de ingreso, ascenso, evaluación del desempeño, permanencia y separación del servidor público de sus funciones. </w:t>
      </w:r>
      <w:r w:rsidR="0056054C" w:rsidRPr="0037039F">
        <w:rPr>
          <w:rFonts w:ascii="Artifex CF" w:hAnsi="Artifex CF"/>
          <w:bCs/>
          <w:sz w:val="24"/>
          <w:szCs w:val="24"/>
        </w:rPr>
        <w:t xml:space="preserve">La ley determinará el régimen estatutario requerido para la profesionalización de las diferentes instituciones de la Administración Pública. </w:t>
      </w:r>
      <w:r w:rsidR="00CD1954" w:rsidRPr="0037039F">
        <w:rPr>
          <w:rFonts w:ascii="Artifex CF" w:hAnsi="Artifex CF"/>
          <w:bCs/>
          <w:sz w:val="24"/>
          <w:szCs w:val="24"/>
        </w:rPr>
        <w:t xml:space="preserve"> Además, La ley establecerá las modalidades de compensación de las y los funcionarios y empleados del Estado, de acuerdo con los criterios de mérito y características de la prestación del servicio.</w:t>
      </w:r>
    </w:p>
    <w:p w14:paraId="7E067ECE" w14:textId="55E6068E" w:rsidR="004273D2" w:rsidRPr="0037039F" w:rsidRDefault="004273D2" w:rsidP="004273D2">
      <w:pPr>
        <w:jc w:val="both"/>
        <w:rPr>
          <w:rFonts w:ascii="Artifex CF" w:eastAsia="Times New Roman" w:hAnsi="Artifex CF"/>
          <w:b/>
          <w:i/>
          <w:sz w:val="24"/>
          <w:szCs w:val="24"/>
        </w:rPr>
      </w:pPr>
      <w:r w:rsidRPr="0037039F">
        <w:rPr>
          <w:rFonts w:ascii="Artifex CF" w:hAnsi="Artifex CF"/>
          <w:sz w:val="24"/>
          <w:szCs w:val="24"/>
        </w:rPr>
        <w:t>Por ser un Estado social, democrático y derecho</w:t>
      </w:r>
      <w:r w:rsidR="00C7079D" w:rsidRPr="0037039F">
        <w:rPr>
          <w:rFonts w:ascii="Artifex CF" w:hAnsi="Artifex CF"/>
          <w:sz w:val="24"/>
          <w:szCs w:val="24"/>
        </w:rPr>
        <w:t xml:space="preserve"> </w:t>
      </w:r>
      <w:r w:rsidR="00941E42" w:rsidRPr="0037039F">
        <w:rPr>
          <w:rFonts w:ascii="Artifex CF" w:hAnsi="Artifex CF"/>
          <w:sz w:val="24"/>
          <w:szCs w:val="24"/>
        </w:rPr>
        <w:t xml:space="preserve">se </w:t>
      </w:r>
      <w:r w:rsidR="00C7079D" w:rsidRPr="0037039F">
        <w:rPr>
          <w:rFonts w:ascii="Artifex CF" w:hAnsi="Artifex CF"/>
          <w:sz w:val="24"/>
          <w:szCs w:val="24"/>
        </w:rPr>
        <w:t xml:space="preserve">constituye el máximo órgano de articulación de las relaciones sociales en función de la gobernabilidad, el desarrollo socio-económico sostenible, la reducción de la pobreza y las desigualdades existentes en el ámbito social; por tanto, los niveles de desarrollo socio-económico de las naciones más avanzadas se vinculan con la puesta en práctica de sistemas de administración pública basados en la profesionalización que resulta de la implementación de principios meritocráticos. </w:t>
      </w:r>
      <w:r w:rsidRPr="0037039F">
        <w:rPr>
          <w:rFonts w:ascii="Artifex CF" w:hAnsi="Artifex CF"/>
          <w:color w:val="FF0000"/>
          <w:sz w:val="24"/>
          <w:szCs w:val="24"/>
        </w:rPr>
        <w:t xml:space="preserve"> </w:t>
      </w:r>
    </w:p>
    <w:p w14:paraId="39EFE825" w14:textId="2BDD553A" w:rsidR="004273D2" w:rsidRPr="0037039F" w:rsidRDefault="004273D2" w:rsidP="004273D2">
      <w:pPr>
        <w:spacing w:line="276" w:lineRule="auto"/>
        <w:jc w:val="both"/>
        <w:rPr>
          <w:rFonts w:ascii="Artifex CF" w:hAnsi="Artifex CF"/>
          <w:sz w:val="24"/>
          <w:szCs w:val="24"/>
        </w:rPr>
      </w:pPr>
      <w:r w:rsidRPr="0037039F">
        <w:rPr>
          <w:rFonts w:ascii="Artifex CF" w:hAnsi="Artifex CF"/>
          <w:sz w:val="24"/>
          <w:szCs w:val="24"/>
        </w:rPr>
        <w:t xml:space="preserve">El </w:t>
      </w:r>
      <w:r w:rsidR="001D7F3A" w:rsidRPr="0037039F">
        <w:rPr>
          <w:rFonts w:ascii="Artifex CF" w:hAnsi="Artifex CF" w:cs="Open Sans"/>
          <w:color w:val="000000"/>
          <w:sz w:val="24"/>
          <w:szCs w:val="24"/>
          <w:shd w:val="clear" w:color="auto" w:fill="FFFFFF"/>
        </w:rPr>
        <w:t>Ministerio de Administración Pública (MAP) es el órgano rector del empleo público y de los distintos sistemas y regímenes previstos por la Ley de Función Pública, del fortalecimiento institucional de la Administración Pública, del desarrollo del Gobierno Electrónico y de los procesos de evaluación de la gestión institucional</w:t>
      </w:r>
      <w:r w:rsidRPr="0037039F">
        <w:rPr>
          <w:rFonts w:ascii="Artifex CF" w:hAnsi="Artifex CF"/>
          <w:sz w:val="24"/>
          <w:szCs w:val="24"/>
        </w:rPr>
        <w:t xml:space="preserve">, </w:t>
      </w:r>
      <w:r w:rsidR="00FD1F64" w:rsidRPr="0037039F">
        <w:rPr>
          <w:rFonts w:ascii="Artifex CF" w:hAnsi="Artifex CF"/>
          <w:sz w:val="24"/>
          <w:szCs w:val="24"/>
        </w:rPr>
        <w:t xml:space="preserve">que, en el contexto actual la Ley de Servicio Civil y Carrera Administrativa demanda de la incorporación en su contenido de modernos paradigmas jurídicos y administrativos de gestión de los recursos humanos, que propicien la rectificación y </w:t>
      </w:r>
      <w:r w:rsidR="00FD1F64" w:rsidRPr="0037039F">
        <w:rPr>
          <w:rFonts w:ascii="Artifex CF" w:hAnsi="Artifex CF"/>
          <w:sz w:val="24"/>
          <w:szCs w:val="24"/>
        </w:rPr>
        <w:lastRenderedPageBreak/>
        <w:t xml:space="preserve">adecuación de los conceptos y principios instituidos en su concepción original. </w:t>
      </w:r>
    </w:p>
    <w:p w14:paraId="010B5C04" w14:textId="77777777" w:rsidR="00137E33" w:rsidRPr="0037039F" w:rsidRDefault="00137E33" w:rsidP="005844EF">
      <w:pPr>
        <w:spacing w:after="0"/>
        <w:rPr>
          <w:rFonts w:ascii="Artifex CF" w:hAnsi="Artifex CF"/>
          <w:sz w:val="24"/>
          <w:szCs w:val="24"/>
        </w:rPr>
      </w:pPr>
    </w:p>
    <w:p w14:paraId="40CE1804" w14:textId="77777777" w:rsidR="00137E33" w:rsidRPr="0037039F" w:rsidRDefault="00137E33" w:rsidP="005844EF">
      <w:pPr>
        <w:spacing w:after="0"/>
        <w:rPr>
          <w:rFonts w:ascii="Artifex CF" w:hAnsi="Artifex CF"/>
          <w:sz w:val="24"/>
          <w:szCs w:val="24"/>
        </w:rPr>
      </w:pPr>
    </w:p>
    <w:p w14:paraId="4DC4060E" w14:textId="72BAF72A" w:rsidR="00137E33" w:rsidRPr="0037039F" w:rsidRDefault="00137E33" w:rsidP="005D45CF">
      <w:pPr>
        <w:spacing w:after="154" w:line="276" w:lineRule="auto"/>
        <w:ind w:right="50"/>
        <w:jc w:val="both"/>
        <w:rPr>
          <w:rFonts w:ascii="Artifex CF" w:hAnsi="Artifex CF"/>
          <w:sz w:val="24"/>
          <w:szCs w:val="24"/>
        </w:rPr>
      </w:pPr>
      <w:r w:rsidRPr="0037039F">
        <w:rPr>
          <w:rFonts w:ascii="Artifex CF" w:hAnsi="Artifex CF"/>
          <w:sz w:val="24"/>
          <w:szCs w:val="24"/>
        </w:rPr>
        <w:t xml:space="preserve">Asunto: </w:t>
      </w:r>
      <w:r w:rsidR="008753B8" w:rsidRPr="0037039F">
        <w:rPr>
          <w:rFonts w:ascii="Artifex CF" w:hAnsi="Artifex CF"/>
          <w:sz w:val="24"/>
          <w:szCs w:val="24"/>
        </w:rPr>
        <w:t>c</w:t>
      </w:r>
      <w:r w:rsidRPr="0037039F">
        <w:rPr>
          <w:rFonts w:ascii="Artifex CF" w:hAnsi="Artifex CF"/>
          <w:sz w:val="24"/>
          <w:szCs w:val="24"/>
        </w:rPr>
        <w:t xml:space="preserve">onvocatoria de aportaciones — Resolución 52/8 del Consejo de Derechos Humanos sobre la promoción de los derechos humanos y los </w:t>
      </w:r>
      <w:r w:rsidR="00BB7F59" w:rsidRPr="0037039F">
        <w:rPr>
          <w:rFonts w:ascii="Artifex CF" w:hAnsi="Artifex CF"/>
          <w:sz w:val="24"/>
          <w:szCs w:val="24"/>
        </w:rPr>
        <w:t>o</w:t>
      </w:r>
      <w:r w:rsidRPr="0037039F">
        <w:rPr>
          <w:rFonts w:ascii="Artifex CF" w:hAnsi="Artifex CF"/>
          <w:sz w:val="24"/>
          <w:szCs w:val="24"/>
        </w:rPr>
        <w:t xml:space="preserve">bjetivos de </w:t>
      </w:r>
      <w:r w:rsidR="00BB7F59" w:rsidRPr="0037039F">
        <w:rPr>
          <w:rFonts w:ascii="Artifex CF" w:hAnsi="Artifex CF"/>
          <w:sz w:val="24"/>
          <w:szCs w:val="24"/>
        </w:rPr>
        <w:t>d</w:t>
      </w:r>
      <w:r w:rsidRPr="0037039F">
        <w:rPr>
          <w:rFonts w:ascii="Artifex CF" w:hAnsi="Artifex CF"/>
          <w:sz w:val="24"/>
          <w:szCs w:val="24"/>
        </w:rPr>
        <w:t xml:space="preserve">esarrollo </w:t>
      </w:r>
      <w:r w:rsidR="00BB7F59" w:rsidRPr="0037039F">
        <w:rPr>
          <w:rFonts w:ascii="Artifex CF" w:hAnsi="Artifex CF"/>
          <w:sz w:val="24"/>
          <w:szCs w:val="24"/>
        </w:rPr>
        <w:t>s</w:t>
      </w:r>
      <w:r w:rsidRPr="0037039F">
        <w:rPr>
          <w:rFonts w:ascii="Artifex CF" w:hAnsi="Artifex CF"/>
          <w:sz w:val="24"/>
          <w:szCs w:val="24"/>
        </w:rPr>
        <w:t>ostenible mediante la prestación de servicios públicos transparentes, responsables y eficientes</w:t>
      </w:r>
      <w:r w:rsidR="00EE29D5" w:rsidRPr="0037039F">
        <w:rPr>
          <w:rFonts w:ascii="Artifex CF" w:hAnsi="Artifex CF"/>
          <w:sz w:val="24"/>
          <w:szCs w:val="24"/>
        </w:rPr>
        <w:t>.</w:t>
      </w:r>
    </w:p>
    <w:p w14:paraId="74292F62" w14:textId="77777777" w:rsidR="00137E33" w:rsidRPr="0037039F" w:rsidRDefault="00137E33" w:rsidP="005D45CF">
      <w:pPr>
        <w:spacing w:after="187" w:line="276" w:lineRule="auto"/>
        <w:ind w:left="446" w:right="113" w:hanging="10"/>
        <w:jc w:val="both"/>
        <w:rPr>
          <w:rFonts w:ascii="Artifex CF" w:hAnsi="Artifex CF"/>
          <w:sz w:val="24"/>
          <w:szCs w:val="24"/>
        </w:rPr>
      </w:pPr>
      <w:r w:rsidRPr="0037039F">
        <w:rPr>
          <w:rFonts w:ascii="Artifex CF" w:hAnsi="Artifex CF"/>
          <w:sz w:val="24"/>
          <w:szCs w:val="24"/>
        </w:rPr>
        <w:t>l. ¿Cuáles son los principales desafíos identificados en su país/región en relación con la prestación de servicios públicos? Por favor, aborde las barreras institucionales y prácticas en su respuesta.</w:t>
      </w:r>
    </w:p>
    <w:p w14:paraId="6B0BBCCF" w14:textId="6525D380" w:rsidR="00137E33" w:rsidRPr="0037039F" w:rsidRDefault="00137E33" w:rsidP="005D45CF">
      <w:pPr>
        <w:spacing w:after="200" w:line="276" w:lineRule="auto"/>
        <w:ind w:right="91"/>
        <w:jc w:val="both"/>
        <w:rPr>
          <w:rFonts w:ascii="Artifex CF" w:hAnsi="Artifex CF"/>
          <w:sz w:val="24"/>
          <w:szCs w:val="24"/>
        </w:rPr>
      </w:pPr>
      <w:r w:rsidRPr="0037039F">
        <w:rPr>
          <w:rFonts w:ascii="Artifex CF" w:hAnsi="Artifex CF"/>
          <w:b/>
          <w:bCs/>
          <w:sz w:val="24"/>
          <w:szCs w:val="24"/>
          <w:u w:val="single" w:color="000000"/>
        </w:rPr>
        <w:t>Respuesta</w:t>
      </w:r>
      <w:r w:rsidRPr="0037039F">
        <w:rPr>
          <w:rFonts w:ascii="Artifex CF" w:hAnsi="Artifex CF"/>
          <w:sz w:val="24"/>
          <w:szCs w:val="24"/>
          <w:u w:val="single" w:color="000000"/>
        </w:rPr>
        <w:t>:</w:t>
      </w:r>
      <w:r w:rsidRPr="0037039F">
        <w:rPr>
          <w:rFonts w:ascii="Artifex CF" w:hAnsi="Artifex CF"/>
          <w:sz w:val="24"/>
          <w:szCs w:val="24"/>
        </w:rPr>
        <w:t xml:space="preserve"> </w:t>
      </w:r>
      <w:r w:rsidR="006C0B97">
        <w:rPr>
          <w:rFonts w:ascii="Artifex CF" w:hAnsi="Artifex CF"/>
          <w:sz w:val="24"/>
          <w:szCs w:val="24"/>
        </w:rPr>
        <w:t>n</w:t>
      </w:r>
      <w:r w:rsidRPr="0037039F">
        <w:rPr>
          <w:rFonts w:ascii="Artifex CF" w:hAnsi="Artifex CF"/>
          <w:sz w:val="24"/>
          <w:szCs w:val="24"/>
        </w:rPr>
        <w:t xml:space="preserve">umerosos estudios sobre el sector público dominicano han identificado varios </w:t>
      </w:r>
      <w:r w:rsidR="00294C62" w:rsidRPr="0037039F">
        <w:rPr>
          <w:rFonts w:ascii="Artifex CF" w:hAnsi="Artifex CF"/>
          <w:sz w:val="24"/>
          <w:szCs w:val="24"/>
        </w:rPr>
        <w:t>desafíos</w:t>
      </w:r>
      <w:r w:rsidRPr="0037039F">
        <w:rPr>
          <w:rFonts w:ascii="Artifex CF" w:hAnsi="Artifex CF"/>
          <w:sz w:val="24"/>
          <w:szCs w:val="24"/>
        </w:rPr>
        <w:t xml:space="preserve"> importantes para la mejora del servicio público a diferentes niveles del Gobierno y de modo no limitativo, estos se refieren los siguiente:</w:t>
      </w:r>
    </w:p>
    <w:p w14:paraId="3C5734EE" w14:textId="48137001" w:rsidR="00137E33" w:rsidRPr="0037039F" w:rsidRDefault="00137E33" w:rsidP="005D45CF">
      <w:pPr>
        <w:spacing w:after="22" w:line="276" w:lineRule="auto"/>
        <w:ind w:right="91"/>
        <w:jc w:val="both"/>
        <w:rPr>
          <w:rFonts w:ascii="Artifex CF" w:hAnsi="Artifex CF"/>
          <w:sz w:val="24"/>
          <w:szCs w:val="24"/>
        </w:rPr>
      </w:pPr>
      <w:r w:rsidRPr="0037039F">
        <w:rPr>
          <w:rFonts w:ascii="Artifex CF" w:hAnsi="Artifex CF"/>
          <w:noProof/>
          <w:sz w:val="24"/>
          <w:szCs w:val="24"/>
        </w:rPr>
        <w:drawing>
          <wp:inline distT="0" distB="0" distL="0" distR="0" wp14:anchorId="56841C3C" wp14:editId="253C2069">
            <wp:extent cx="45949" cy="49462"/>
            <wp:effectExtent l="0" t="0" r="0" b="0"/>
            <wp:docPr id="3149" name="Picture 3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" name="Picture 31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49" cy="4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0B97">
        <w:rPr>
          <w:rFonts w:ascii="Artifex CF" w:hAnsi="Artifex CF"/>
          <w:sz w:val="24"/>
          <w:szCs w:val="24"/>
        </w:rPr>
        <w:t xml:space="preserve"> </w:t>
      </w:r>
      <w:r w:rsidRPr="0037039F">
        <w:rPr>
          <w:rFonts w:ascii="Artifex CF" w:hAnsi="Artifex CF"/>
          <w:sz w:val="24"/>
          <w:szCs w:val="24"/>
        </w:rPr>
        <w:t xml:space="preserve">Compleja estructura de gobernanza de prestación de servicios públicos </w:t>
      </w:r>
      <w:r w:rsidRPr="0037039F">
        <w:rPr>
          <w:rFonts w:ascii="Artifex CF" w:hAnsi="Artifex CF"/>
          <w:noProof/>
          <w:sz w:val="24"/>
          <w:szCs w:val="24"/>
        </w:rPr>
        <w:drawing>
          <wp:inline distT="0" distB="0" distL="0" distR="0" wp14:anchorId="0EB4243B" wp14:editId="2FDE94DF">
            <wp:extent cx="49483" cy="52994"/>
            <wp:effectExtent l="0" t="0" r="0" b="0"/>
            <wp:docPr id="3150" name="Picture 3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0" name="Picture 31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83" cy="5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039F">
        <w:rPr>
          <w:rFonts w:ascii="Artifex CF" w:hAnsi="Artifex CF"/>
          <w:sz w:val="24"/>
          <w:szCs w:val="24"/>
        </w:rPr>
        <w:t xml:space="preserve"> </w:t>
      </w:r>
      <w:r w:rsidR="00DA0DAA" w:rsidRPr="0037039F">
        <w:rPr>
          <w:rFonts w:ascii="Artifex CF" w:hAnsi="Artifex CF"/>
          <w:sz w:val="24"/>
          <w:szCs w:val="24"/>
        </w:rPr>
        <w:t>E</w:t>
      </w:r>
      <w:r w:rsidRPr="0037039F">
        <w:rPr>
          <w:rFonts w:ascii="Artifex CF" w:hAnsi="Artifex CF"/>
          <w:sz w:val="24"/>
          <w:szCs w:val="24"/>
        </w:rPr>
        <w:t xml:space="preserve">scaso desarrollo, aplicación y uso de la tecnología de información y comunicaciones para el acceso, consulta y uso de los servicios públicos. </w:t>
      </w:r>
      <w:r w:rsidRPr="0037039F">
        <w:rPr>
          <w:rFonts w:ascii="Artifex CF" w:hAnsi="Artifex CF"/>
          <w:noProof/>
          <w:sz w:val="24"/>
          <w:szCs w:val="24"/>
        </w:rPr>
        <w:drawing>
          <wp:inline distT="0" distB="0" distL="0" distR="0" wp14:anchorId="0901F3A6" wp14:editId="2AECE978">
            <wp:extent cx="53018" cy="42396"/>
            <wp:effectExtent l="0" t="0" r="0" b="0"/>
            <wp:docPr id="3151" name="Picture 3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" name="Picture 315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018" cy="4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039F">
        <w:rPr>
          <w:rFonts w:ascii="Artifex CF" w:hAnsi="Artifex CF"/>
          <w:sz w:val="24"/>
          <w:szCs w:val="24"/>
        </w:rPr>
        <w:t xml:space="preserve"> </w:t>
      </w:r>
      <w:r w:rsidR="00DA0DAA" w:rsidRPr="0037039F">
        <w:rPr>
          <w:rFonts w:ascii="Artifex CF" w:hAnsi="Artifex CF"/>
          <w:sz w:val="24"/>
          <w:szCs w:val="24"/>
        </w:rPr>
        <w:t>E</w:t>
      </w:r>
      <w:r w:rsidRPr="0037039F">
        <w:rPr>
          <w:rFonts w:ascii="Artifex CF" w:hAnsi="Artifex CF"/>
          <w:sz w:val="24"/>
          <w:szCs w:val="24"/>
        </w:rPr>
        <w:t xml:space="preserve">scasa interoperabilidad en la prestación de servicios, </w:t>
      </w:r>
      <w:r w:rsidRPr="0037039F">
        <w:rPr>
          <w:rFonts w:ascii="Artifex CF" w:hAnsi="Artifex CF"/>
          <w:noProof/>
          <w:sz w:val="24"/>
          <w:szCs w:val="24"/>
        </w:rPr>
        <w:drawing>
          <wp:inline distT="0" distB="0" distL="0" distR="0" wp14:anchorId="5DC562FB" wp14:editId="78730E79">
            <wp:extent cx="45949" cy="49462"/>
            <wp:effectExtent l="0" t="0" r="0" b="0"/>
            <wp:docPr id="3152" name="Picture 3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2" name="Picture 315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949" cy="4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039F">
        <w:rPr>
          <w:rFonts w:ascii="Artifex CF" w:hAnsi="Artifex CF"/>
          <w:sz w:val="24"/>
          <w:szCs w:val="24"/>
        </w:rPr>
        <w:t xml:space="preserve"> </w:t>
      </w:r>
      <w:r w:rsidR="00DA0DAA" w:rsidRPr="0037039F">
        <w:rPr>
          <w:rFonts w:ascii="Artifex CF" w:hAnsi="Artifex CF"/>
          <w:sz w:val="24"/>
          <w:szCs w:val="24"/>
        </w:rPr>
        <w:t>P</w:t>
      </w:r>
      <w:r w:rsidRPr="0037039F">
        <w:rPr>
          <w:rFonts w:ascii="Artifex CF" w:hAnsi="Artifex CF"/>
          <w:sz w:val="24"/>
          <w:szCs w:val="24"/>
        </w:rPr>
        <w:t>rocesos y trámites administrativos complicados.</w:t>
      </w:r>
    </w:p>
    <w:p w14:paraId="78965F4E" w14:textId="46871A94" w:rsidR="00137E33" w:rsidRPr="0037039F" w:rsidRDefault="00137E33" w:rsidP="005D45CF">
      <w:pPr>
        <w:tabs>
          <w:tab w:val="center" w:pos="549"/>
          <w:tab w:val="center" w:pos="3379"/>
        </w:tabs>
        <w:spacing w:after="359" w:line="276" w:lineRule="auto"/>
        <w:jc w:val="both"/>
        <w:rPr>
          <w:rFonts w:ascii="Artifex CF" w:hAnsi="Artifex CF"/>
          <w:sz w:val="24"/>
          <w:szCs w:val="24"/>
        </w:rPr>
      </w:pPr>
      <w:r w:rsidRPr="0037039F">
        <w:rPr>
          <w:rFonts w:ascii="Artifex CF" w:hAnsi="Artifex CF"/>
          <w:noProof/>
          <w:sz w:val="24"/>
          <w:szCs w:val="24"/>
        </w:rPr>
        <w:drawing>
          <wp:inline distT="0" distB="0" distL="0" distR="0" wp14:anchorId="70FF293F" wp14:editId="07DE484E">
            <wp:extent cx="53018" cy="45929"/>
            <wp:effectExtent l="0" t="0" r="0" b="0"/>
            <wp:docPr id="3153" name="Picture 3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3" name="Picture 315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018" cy="4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0B97">
        <w:rPr>
          <w:rFonts w:ascii="Artifex CF" w:hAnsi="Artifex CF"/>
          <w:sz w:val="24"/>
          <w:szCs w:val="24"/>
        </w:rPr>
        <w:t xml:space="preserve"> </w:t>
      </w:r>
      <w:r w:rsidRPr="0037039F">
        <w:rPr>
          <w:rFonts w:ascii="Artifex CF" w:hAnsi="Artifex CF"/>
          <w:sz w:val="24"/>
          <w:szCs w:val="24"/>
        </w:rPr>
        <w:t>Limitada participación ciudadana en el diseño de servicios.</w:t>
      </w:r>
    </w:p>
    <w:p w14:paraId="3BD3332A" w14:textId="77777777" w:rsidR="00137E33" w:rsidRPr="0037039F" w:rsidRDefault="00137E33" w:rsidP="005D45CF">
      <w:pPr>
        <w:numPr>
          <w:ilvl w:val="0"/>
          <w:numId w:val="1"/>
        </w:numPr>
        <w:spacing w:after="226" w:line="276" w:lineRule="auto"/>
        <w:ind w:right="130" w:hanging="10"/>
        <w:jc w:val="both"/>
        <w:rPr>
          <w:rFonts w:ascii="Artifex CF" w:hAnsi="Artifex CF"/>
          <w:sz w:val="24"/>
          <w:szCs w:val="24"/>
        </w:rPr>
      </w:pPr>
      <w:r w:rsidRPr="0037039F">
        <w:rPr>
          <w:rFonts w:ascii="Artifex CF" w:hAnsi="Artifex CF"/>
          <w:sz w:val="24"/>
          <w:szCs w:val="24"/>
        </w:rPr>
        <w:t>¿Cuáles son los ejemplos de buenas prácticas y enfoques adoptados para superar los desafíos identificados para la prestación de servicios públicos?</w:t>
      </w:r>
    </w:p>
    <w:p w14:paraId="305EA79A" w14:textId="7F23A335" w:rsidR="00137E33" w:rsidRPr="0037039F" w:rsidRDefault="00137E33" w:rsidP="005D45CF">
      <w:pPr>
        <w:spacing w:after="235" w:line="276" w:lineRule="auto"/>
        <w:ind w:right="91"/>
        <w:jc w:val="both"/>
        <w:rPr>
          <w:rFonts w:ascii="Artifex CF" w:hAnsi="Artifex CF"/>
          <w:sz w:val="24"/>
          <w:szCs w:val="24"/>
        </w:rPr>
      </w:pPr>
      <w:r w:rsidRPr="0037039F">
        <w:rPr>
          <w:rFonts w:ascii="Artifex CF" w:hAnsi="Artifex CF"/>
          <w:b/>
          <w:bCs/>
          <w:sz w:val="24"/>
          <w:szCs w:val="24"/>
          <w:u w:val="single" w:color="000000"/>
        </w:rPr>
        <w:t>Respuesta</w:t>
      </w:r>
      <w:r w:rsidRPr="0037039F">
        <w:rPr>
          <w:rFonts w:ascii="Artifex CF" w:hAnsi="Artifex CF"/>
          <w:sz w:val="24"/>
          <w:szCs w:val="24"/>
          <w:u w:val="single" w:color="000000"/>
        </w:rPr>
        <w:t>:</w:t>
      </w:r>
      <w:r w:rsidRPr="0037039F">
        <w:rPr>
          <w:rFonts w:ascii="Artifex CF" w:hAnsi="Artifex CF"/>
          <w:sz w:val="24"/>
          <w:szCs w:val="24"/>
        </w:rPr>
        <w:t xml:space="preserve"> </w:t>
      </w:r>
      <w:r w:rsidR="006C0B97">
        <w:rPr>
          <w:rFonts w:ascii="Artifex CF" w:hAnsi="Artifex CF"/>
          <w:sz w:val="24"/>
          <w:szCs w:val="24"/>
        </w:rPr>
        <w:t>l</w:t>
      </w:r>
      <w:r w:rsidRPr="0037039F">
        <w:rPr>
          <w:rFonts w:ascii="Artifex CF" w:hAnsi="Artifex CF"/>
          <w:sz w:val="24"/>
          <w:szCs w:val="24"/>
        </w:rPr>
        <w:t xml:space="preserve">a actual administración gubernamental está ejecutando el Proyecto de Fortalecimiento del Servicio Civil de República Dominicana (DRL 1142), financiado por el Banco Interamericano de Desarrollo (BID), y que tiene como objetivos específicos el fortalecimiento de la capacidad de los recursos humanos públicos y en particular de la burocracia vinculada con la prestación de servicio y la gestión de recursos humanos; y segundo, el </w:t>
      </w:r>
      <w:r w:rsidRPr="0037039F">
        <w:rPr>
          <w:rFonts w:ascii="Artifex CF" w:hAnsi="Artifex CF"/>
          <w:sz w:val="24"/>
          <w:szCs w:val="24"/>
        </w:rPr>
        <w:lastRenderedPageBreak/>
        <w:t>desarrollo de la capacidad de adaptación de los servidores públicos a las nuevas tendencias de la transformación digital. De esta f</w:t>
      </w:r>
      <w:r w:rsidR="00776884" w:rsidRPr="0037039F">
        <w:rPr>
          <w:rFonts w:ascii="Artifex CF" w:hAnsi="Artifex CF"/>
          <w:sz w:val="24"/>
          <w:szCs w:val="24"/>
        </w:rPr>
        <w:t>or</w:t>
      </w:r>
      <w:r w:rsidRPr="0037039F">
        <w:rPr>
          <w:rFonts w:ascii="Artifex CF" w:hAnsi="Artifex CF"/>
          <w:sz w:val="24"/>
          <w:szCs w:val="24"/>
        </w:rPr>
        <w:t>ma se espera que el país cuente con una masa crítica de directivos profesionales y técnicos capaces de promover las transformaciones tecnológicas, organizacionales y de recursos humanos que requiere el sector público para prestar un mejor servicio.</w:t>
      </w:r>
    </w:p>
    <w:p w14:paraId="048D018D" w14:textId="77777777" w:rsidR="006C0B97" w:rsidRDefault="006C0B97" w:rsidP="0017319B">
      <w:pPr>
        <w:spacing w:after="200" w:line="276" w:lineRule="auto"/>
        <w:ind w:right="91"/>
        <w:jc w:val="both"/>
        <w:rPr>
          <w:rFonts w:ascii="Artifex CF" w:hAnsi="Artifex CF"/>
          <w:sz w:val="24"/>
          <w:szCs w:val="24"/>
        </w:rPr>
      </w:pPr>
    </w:p>
    <w:p w14:paraId="3A509484" w14:textId="4546AEFD" w:rsidR="00137E33" w:rsidRPr="0037039F" w:rsidRDefault="00137E33" w:rsidP="0017319B">
      <w:pPr>
        <w:spacing w:after="200" w:line="276" w:lineRule="auto"/>
        <w:ind w:right="91"/>
        <w:jc w:val="both"/>
        <w:rPr>
          <w:rFonts w:ascii="Artifex CF" w:hAnsi="Artifex CF"/>
          <w:sz w:val="24"/>
          <w:szCs w:val="24"/>
        </w:rPr>
      </w:pPr>
      <w:r w:rsidRPr="0037039F">
        <w:rPr>
          <w:rFonts w:ascii="Artifex CF" w:hAnsi="Artifex CF"/>
          <w:sz w:val="24"/>
          <w:szCs w:val="24"/>
        </w:rPr>
        <w:t xml:space="preserve">El Ministerio de Administración Pública ya concluyó la solicitud de aprobación del proyecto de inversión pública de Apoyo a la Implementación del Plan General de Reforma y Modernización de la Administración Pública (180302), el Apoyo a la Implementación del Plan General de Reforma y Modernización de la Administración Pública (180302), y los mismos se centran en factores vinculados a </w:t>
      </w:r>
      <w:r w:rsidRPr="0037039F">
        <w:rPr>
          <w:rFonts w:ascii="Artifex CF" w:hAnsi="Artifex CF"/>
          <w:noProof/>
          <w:sz w:val="24"/>
          <w:szCs w:val="24"/>
        </w:rPr>
        <w:drawing>
          <wp:inline distT="0" distB="0" distL="0" distR="0" wp14:anchorId="758899E5" wp14:editId="1484E3ED">
            <wp:extent cx="3535" cy="3533"/>
            <wp:effectExtent l="0" t="0" r="0" b="0"/>
            <wp:docPr id="5189" name="Picture 5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9" name="Picture 518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039F">
        <w:rPr>
          <w:rFonts w:ascii="Artifex CF" w:hAnsi="Artifex CF"/>
          <w:sz w:val="24"/>
          <w:szCs w:val="24"/>
        </w:rPr>
        <w:t>la habilitación de un entorno propicio para la transformación de los servicios públicos/trámites, la transparencia y coordinación entre agencias, la modernización e innovación en la prestación de servicios y el desarrollo de capacidades de funcionarios públicos y usuarios de los servicios públicos y trámites administrativos; así como, mecanismo y fortalecimiento normativo para facilitar la participación ciudadana en las diferentes etapas de la prestación de servicios públicos seleccionados.</w:t>
      </w:r>
    </w:p>
    <w:p w14:paraId="405E5010" w14:textId="77777777" w:rsidR="00137E33" w:rsidRPr="0037039F" w:rsidRDefault="00137E33" w:rsidP="005D45CF">
      <w:pPr>
        <w:numPr>
          <w:ilvl w:val="0"/>
          <w:numId w:val="1"/>
        </w:numPr>
        <w:spacing w:after="187" w:line="276" w:lineRule="auto"/>
        <w:ind w:right="130" w:hanging="10"/>
        <w:jc w:val="both"/>
        <w:rPr>
          <w:rFonts w:ascii="Artifex CF" w:hAnsi="Artifex CF"/>
          <w:sz w:val="24"/>
          <w:szCs w:val="24"/>
        </w:rPr>
      </w:pPr>
      <w:r w:rsidRPr="0037039F">
        <w:rPr>
          <w:rFonts w:ascii="Artifex CF" w:hAnsi="Artifex CF"/>
          <w:sz w:val="24"/>
          <w:szCs w:val="24"/>
        </w:rPr>
        <w:t>¿En qué medida influye la corrupción en la exclusión de personas y hogares del acceso a los servicios públicos? ¿Cómo afecta la corrupción a la prestación de servicios públicos a grupos de población en su país?</w:t>
      </w:r>
    </w:p>
    <w:p w14:paraId="7D3253EB" w14:textId="033C7B1D" w:rsidR="00137E33" w:rsidRPr="0037039F" w:rsidRDefault="00137E33" w:rsidP="0017319B">
      <w:pPr>
        <w:spacing w:after="229" w:line="276" w:lineRule="auto"/>
        <w:ind w:right="91"/>
        <w:jc w:val="both"/>
        <w:rPr>
          <w:rFonts w:ascii="Artifex CF" w:hAnsi="Artifex CF"/>
          <w:sz w:val="24"/>
          <w:szCs w:val="24"/>
        </w:rPr>
      </w:pPr>
      <w:r w:rsidRPr="0037039F">
        <w:rPr>
          <w:rFonts w:ascii="Artifex CF" w:hAnsi="Artifex CF"/>
          <w:b/>
          <w:bCs/>
          <w:sz w:val="24"/>
          <w:szCs w:val="24"/>
          <w:u w:val="single" w:color="000000"/>
        </w:rPr>
        <w:t>Respuesta</w:t>
      </w:r>
      <w:r w:rsidRPr="0037039F">
        <w:rPr>
          <w:rFonts w:ascii="Artifex CF" w:hAnsi="Artifex CF"/>
          <w:sz w:val="24"/>
          <w:szCs w:val="24"/>
        </w:rPr>
        <w:t xml:space="preserve">: </w:t>
      </w:r>
      <w:r w:rsidR="00A1402B" w:rsidRPr="0037039F">
        <w:rPr>
          <w:rFonts w:ascii="Artifex CF" w:hAnsi="Artifex CF"/>
          <w:sz w:val="24"/>
          <w:szCs w:val="24"/>
        </w:rPr>
        <w:t>l</w:t>
      </w:r>
      <w:r w:rsidRPr="0037039F">
        <w:rPr>
          <w:rFonts w:ascii="Artifex CF" w:hAnsi="Artifex CF"/>
          <w:sz w:val="24"/>
          <w:szCs w:val="24"/>
        </w:rPr>
        <w:t xml:space="preserve">a experiencia de países en la región de Latinoamérica y otras, indica que el fenómeno de la corrupción impone un costo de transacción innecesario e improductivo a los ciudadanos y contribuyentes y por otro lado, también crea situaciones de discriminación entre todos los ciudadanos que tienen iguales derechos de acceso y uso de servicios públicos. En adición a esto, también crea un ambiente de desconfianza en los servicios y en las entidades gubernamentales responsables de los mismo. Por </w:t>
      </w:r>
      <w:r w:rsidRPr="0037039F">
        <w:rPr>
          <w:rFonts w:ascii="Artifex CF" w:hAnsi="Artifex CF"/>
          <w:sz w:val="24"/>
          <w:szCs w:val="24"/>
        </w:rPr>
        <w:lastRenderedPageBreak/>
        <w:t>consiguiente, algunos servicios nacionales podrían ser afectados por factores similares a los señalados; pero en este momento, no disponemos de una cuantificación del efecto diferenciado de las prácticas de corrupción en los diferentes grupos de población.</w:t>
      </w:r>
    </w:p>
    <w:p w14:paraId="0ECA63F9" w14:textId="77777777" w:rsidR="00137E33" w:rsidRPr="0037039F" w:rsidRDefault="00137E33" w:rsidP="005D45CF">
      <w:pPr>
        <w:numPr>
          <w:ilvl w:val="0"/>
          <w:numId w:val="1"/>
        </w:numPr>
        <w:spacing w:after="250" w:line="276" w:lineRule="auto"/>
        <w:ind w:right="130" w:hanging="10"/>
        <w:jc w:val="both"/>
        <w:rPr>
          <w:rFonts w:ascii="Artifex CF" w:hAnsi="Artifex CF"/>
          <w:sz w:val="24"/>
          <w:szCs w:val="24"/>
        </w:rPr>
      </w:pPr>
      <w:r w:rsidRPr="0037039F">
        <w:rPr>
          <w:rFonts w:ascii="Artifex CF" w:hAnsi="Artifex CF"/>
          <w:sz w:val="24"/>
          <w:szCs w:val="24"/>
        </w:rPr>
        <w:t>¿Qué porcentaje de personas y hogares elegibles no solicitan ni se benefician de los servicios públicos en su país (no aprovechan)? ¿Cuáles son las barreras que les impiden acceder a los servicios públicos a los que tienen derecho? ¿Cómo se puede reducir la falta de contratación?</w:t>
      </w:r>
    </w:p>
    <w:p w14:paraId="0569F5D7" w14:textId="24DC6240" w:rsidR="00137E33" w:rsidRPr="0037039F" w:rsidRDefault="00137E33" w:rsidP="005D45CF">
      <w:pPr>
        <w:spacing w:after="200" w:line="276" w:lineRule="auto"/>
        <w:ind w:right="91"/>
        <w:jc w:val="both"/>
        <w:rPr>
          <w:rFonts w:ascii="Artifex CF" w:hAnsi="Artifex CF"/>
          <w:sz w:val="24"/>
          <w:szCs w:val="24"/>
        </w:rPr>
      </w:pPr>
      <w:r w:rsidRPr="0037039F">
        <w:rPr>
          <w:rFonts w:ascii="Artifex CF" w:hAnsi="Artifex CF"/>
          <w:b/>
          <w:bCs/>
          <w:sz w:val="24"/>
          <w:szCs w:val="24"/>
          <w:u w:val="single"/>
        </w:rPr>
        <w:t>Respuesta</w:t>
      </w:r>
      <w:r w:rsidRPr="0037039F">
        <w:rPr>
          <w:rFonts w:ascii="Artifex CF" w:hAnsi="Artifex CF"/>
          <w:sz w:val="24"/>
          <w:szCs w:val="24"/>
        </w:rPr>
        <w:t xml:space="preserve">: </w:t>
      </w:r>
      <w:r w:rsidR="00FC37D3" w:rsidRPr="0037039F">
        <w:rPr>
          <w:rFonts w:ascii="Artifex CF" w:hAnsi="Artifex CF"/>
          <w:sz w:val="24"/>
          <w:szCs w:val="24"/>
        </w:rPr>
        <w:t>s</w:t>
      </w:r>
      <w:r w:rsidRPr="0037039F">
        <w:rPr>
          <w:rFonts w:ascii="Artifex CF" w:hAnsi="Artifex CF"/>
          <w:sz w:val="24"/>
          <w:szCs w:val="24"/>
        </w:rPr>
        <w:t>egún datos obtenidos en el año 2018, las instituciones públicas de servicios recibieron un total de 12,687,270 solicitudes, relativas a 1,873 trámites (servicios); de ellas, 10,910,788 provinieron de los ciudadanos (personas físicas), demandando 840 trámites (servicios); mientras que, 1,776,482 solicitudes provinieron de personas jurídicas (empresas), demandando 1,033 trámites (servicios).</w:t>
      </w:r>
    </w:p>
    <w:p w14:paraId="4D08FD4A" w14:textId="7D52BA2A" w:rsidR="00137E33" w:rsidRPr="0037039F" w:rsidRDefault="00137E33" w:rsidP="005D45CF">
      <w:pPr>
        <w:spacing w:after="271" w:line="276" w:lineRule="auto"/>
        <w:ind w:right="91"/>
        <w:jc w:val="both"/>
        <w:rPr>
          <w:rFonts w:ascii="Artifex CF" w:hAnsi="Artifex CF"/>
          <w:sz w:val="24"/>
          <w:szCs w:val="24"/>
        </w:rPr>
      </w:pPr>
      <w:r w:rsidRPr="0037039F">
        <w:rPr>
          <w:rFonts w:ascii="Artifex CF" w:hAnsi="Artifex CF"/>
          <w:sz w:val="24"/>
          <w:szCs w:val="24"/>
        </w:rPr>
        <w:t xml:space="preserve">En </w:t>
      </w:r>
      <w:r w:rsidR="00EF2590" w:rsidRPr="0037039F">
        <w:rPr>
          <w:rFonts w:ascii="Artifex CF" w:hAnsi="Artifex CF"/>
          <w:sz w:val="24"/>
          <w:szCs w:val="24"/>
        </w:rPr>
        <w:t>e</w:t>
      </w:r>
      <w:r w:rsidRPr="0037039F">
        <w:rPr>
          <w:rFonts w:ascii="Artifex CF" w:hAnsi="Artifex CF"/>
          <w:sz w:val="24"/>
          <w:szCs w:val="24"/>
        </w:rPr>
        <w:t xml:space="preserve">l estudio de opinión Latino barómetro 2021, se reporta que al tratar de determinar por primera vez la percepción de justicia en el acceso a la salud, la educación y la justicia en la República Dominicana, los consultados indicaron percibir un nivel de injusticia en el acceso del 42% para los servicios de educación, 55% a los servicios de salud y 75% a los de justicia, respectivamente. Estos datos son percepciones sociales y pueden ofrecer idea de la brecha de acceso percibida, cuya meta de mejora se incluye en el indicador 16.6.2 de los </w:t>
      </w:r>
      <w:r w:rsidR="000555C5" w:rsidRPr="0037039F">
        <w:rPr>
          <w:rFonts w:ascii="Artifex CF" w:hAnsi="Artifex CF"/>
          <w:sz w:val="24"/>
          <w:szCs w:val="24"/>
        </w:rPr>
        <w:t>o</w:t>
      </w:r>
      <w:r w:rsidRPr="0037039F">
        <w:rPr>
          <w:rFonts w:ascii="Artifex CF" w:hAnsi="Artifex CF"/>
          <w:sz w:val="24"/>
          <w:szCs w:val="24"/>
        </w:rPr>
        <w:t xml:space="preserve">bjetivos de </w:t>
      </w:r>
      <w:r w:rsidR="000555C5" w:rsidRPr="0037039F">
        <w:rPr>
          <w:rFonts w:ascii="Artifex CF" w:hAnsi="Artifex CF"/>
          <w:sz w:val="24"/>
          <w:szCs w:val="24"/>
        </w:rPr>
        <w:t>d</w:t>
      </w:r>
      <w:r w:rsidRPr="0037039F">
        <w:rPr>
          <w:rFonts w:ascii="Artifex CF" w:hAnsi="Artifex CF"/>
          <w:sz w:val="24"/>
          <w:szCs w:val="24"/>
        </w:rPr>
        <w:t xml:space="preserve">esarrollo </w:t>
      </w:r>
      <w:r w:rsidR="000555C5" w:rsidRPr="0037039F">
        <w:rPr>
          <w:rFonts w:ascii="Artifex CF" w:hAnsi="Artifex CF"/>
          <w:sz w:val="24"/>
          <w:szCs w:val="24"/>
        </w:rPr>
        <w:t>s</w:t>
      </w:r>
      <w:r w:rsidRPr="0037039F">
        <w:rPr>
          <w:rFonts w:ascii="Artifex CF" w:hAnsi="Artifex CF"/>
          <w:sz w:val="24"/>
          <w:szCs w:val="24"/>
        </w:rPr>
        <w:t>ostenibles de las Naciones Unidas.</w:t>
      </w:r>
    </w:p>
    <w:p w14:paraId="6CE9E4F5" w14:textId="77777777" w:rsidR="00137E33" w:rsidRPr="0037039F" w:rsidRDefault="00137E33" w:rsidP="005D45CF">
      <w:pPr>
        <w:numPr>
          <w:ilvl w:val="0"/>
          <w:numId w:val="1"/>
        </w:numPr>
        <w:spacing w:after="154" w:line="276" w:lineRule="auto"/>
        <w:ind w:right="130" w:hanging="10"/>
        <w:jc w:val="both"/>
        <w:rPr>
          <w:rFonts w:ascii="Artifex CF" w:hAnsi="Artifex CF"/>
          <w:sz w:val="24"/>
          <w:szCs w:val="24"/>
        </w:rPr>
      </w:pPr>
      <w:r w:rsidRPr="0037039F">
        <w:rPr>
          <w:rFonts w:ascii="Artifex CF" w:hAnsi="Artifex CF"/>
          <w:sz w:val="24"/>
          <w:szCs w:val="24"/>
        </w:rPr>
        <w:t>Sírvanse referirse a los desafíos y buenas prácticas de la prestación de servicios públicos a personas pertenecientes a grupos en situaciones de vulnerabilidad y marginación, incluidas las personas que viven en la pobreza, las mujeres y las niñas; niños y jóvenes; minorías étnicas, nacionales y lingüísticas; Personas con discapacidades; gente indígena; migrantes; y personas mayores.</w:t>
      </w:r>
    </w:p>
    <w:p w14:paraId="64018C7A" w14:textId="3DA6CA24" w:rsidR="00137E33" w:rsidRPr="0037039F" w:rsidRDefault="00137E33" w:rsidP="005D45CF">
      <w:pPr>
        <w:spacing w:after="228" w:line="276" w:lineRule="auto"/>
        <w:ind w:right="91"/>
        <w:jc w:val="both"/>
        <w:rPr>
          <w:rFonts w:ascii="Artifex CF" w:hAnsi="Artifex CF"/>
          <w:sz w:val="24"/>
          <w:szCs w:val="24"/>
        </w:rPr>
      </w:pPr>
      <w:r w:rsidRPr="0037039F">
        <w:rPr>
          <w:rFonts w:ascii="Artifex CF" w:hAnsi="Artifex CF"/>
          <w:b/>
          <w:bCs/>
          <w:sz w:val="24"/>
          <w:szCs w:val="24"/>
          <w:u w:val="single" w:color="000000"/>
        </w:rPr>
        <w:lastRenderedPageBreak/>
        <w:t>Respuesta</w:t>
      </w:r>
      <w:r w:rsidRPr="0037039F">
        <w:rPr>
          <w:rFonts w:ascii="Artifex CF" w:hAnsi="Artifex CF"/>
          <w:sz w:val="24"/>
          <w:szCs w:val="24"/>
        </w:rPr>
        <w:t xml:space="preserve">: el mayor desafío es promover y lograr un gran cambio cultural en los sectores públicos y privados del país, para ofrecer oportunidades de información, consulta, acceso y participación activa a estos grupos vulnerables en el ciclo de provisión, retroalimentación y mejora de los servicios públicos, El segundo </w:t>
      </w:r>
      <w:r w:rsidR="00DE2BCB" w:rsidRPr="0037039F">
        <w:rPr>
          <w:rFonts w:ascii="Artifex CF" w:hAnsi="Artifex CF"/>
          <w:sz w:val="24"/>
          <w:szCs w:val="24"/>
        </w:rPr>
        <w:t>desafío</w:t>
      </w:r>
      <w:r w:rsidRPr="0037039F">
        <w:rPr>
          <w:rFonts w:ascii="Artifex CF" w:hAnsi="Artifex CF"/>
          <w:sz w:val="24"/>
          <w:szCs w:val="24"/>
        </w:rPr>
        <w:t xml:space="preserve"> de importancia es la difusión y aplicación masiva de las tecnologías de información y comunicaciones para digitalizar los servicios públicos, lo que facilitaría que las personas vulnerables, sin necesidad de desplazamiento o sin disponer las facultades auditivas y visual puedan ingresar y usar las herramientas tecnológicas necesarias para recibir servicios gubernamentales. Un tercer desafío es fortalecer las capacidades e incentivos para los que servidores públicos ingresen plenamente a la transformación digital y apoyen el aumento de la cobertura y eficiencia en la entrega de los servicios públicos.</w:t>
      </w:r>
    </w:p>
    <w:p w14:paraId="2A771FBB" w14:textId="77777777" w:rsidR="00137E33" w:rsidRPr="0037039F" w:rsidRDefault="00137E33" w:rsidP="005D45CF">
      <w:pPr>
        <w:numPr>
          <w:ilvl w:val="0"/>
          <w:numId w:val="1"/>
        </w:numPr>
        <w:spacing w:after="210" w:line="276" w:lineRule="auto"/>
        <w:ind w:right="130" w:hanging="10"/>
        <w:jc w:val="both"/>
        <w:rPr>
          <w:rFonts w:ascii="Artifex CF" w:hAnsi="Artifex CF"/>
          <w:sz w:val="24"/>
          <w:szCs w:val="24"/>
        </w:rPr>
      </w:pPr>
      <w:r w:rsidRPr="0037039F">
        <w:rPr>
          <w:rFonts w:ascii="Artifex CF" w:hAnsi="Artifex CF"/>
          <w:sz w:val="24"/>
          <w:szCs w:val="24"/>
        </w:rPr>
        <w:t>¿Están digitalizados los servicios públicos en su país? Proporcione detalles que incluyan desafíos y buenas prácticas en la digitalización de los servicios públicos que garanticen la transparencia, la rendición de cuentas y la eficiencia en la prestación de servicios públicos.</w:t>
      </w:r>
    </w:p>
    <w:p w14:paraId="370902A1" w14:textId="77777777" w:rsidR="00137E33" w:rsidRPr="0037039F" w:rsidRDefault="00137E33" w:rsidP="005D45CF">
      <w:pPr>
        <w:spacing w:after="218" w:line="276" w:lineRule="auto"/>
        <w:ind w:right="113"/>
        <w:jc w:val="both"/>
        <w:rPr>
          <w:rFonts w:ascii="Artifex CF" w:hAnsi="Artifex CF"/>
          <w:sz w:val="24"/>
          <w:szCs w:val="24"/>
        </w:rPr>
      </w:pPr>
      <w:r w:rsidRPr="0037039F">
        <w:rPr>
          <w:rFonts w:ascii="Artifex CF" w:hAnsi="Artifex CF"/>
          <w:b/>
          <w:bCs/>
          <w:sz w:val="24"/>
          <w:szCs w:val="24"/>
          <w:u w:val="single" w:color="000000"/>
        </w:rPr>
        <w:t>Respuesta</w:t>
      </w:r>
      <w:r w:rsidRPr="0037039F">
        <w:rPr>
          <w:rFonts w:ascii="Artifex CF" w:hAnsi="Artifex CF"/>
          <w:sz w:val="24"/>
          <w:szCs w:val="24"/>
        </w:rPr>
        <w:t>: próximamente, se tendrá un gran proyecto de digitalización de servicios públicos que ya se mencionó en la respuesta a la pregunta número dos y actualmente, son muy pocos los servicios públicos que se ofrecen totalmente digitalizados debido a las limitaciones señaladas en las respuestas a las preguntas anteriores,</w:t>
      </w:r>
    </w:p>
    <w:p w14:paraId="6FB6AF14" w14:textId="77777777" w:rsidR="00137E33" w:rsidRPr="0037039F" w:rsidRDefault="00137E33" w:rsidP="005D45CF">
      <w:pPr>
        <w:numPr>
          <w:ilvl w:val="0"/>
          <w:numId w:val="1"/>
        </w:numPr>
        <w:spacing w:after="154" w:line="276" w:lineRule="auto"/>
        <w:ind w:right="130" w:hanging="10"/>
        <w:jc w:val="both"/>
        <w:rPr>
          <w:rFonts w:ascii="Artifex CF" w:hAnsi="Artifex CF"/>
          <w:sz w:val="24"/>
          <w:szCs w:val="24"/>
        </w:rPr>
      </w:pPr>
      <w:r w:rsidRPr="0037039F">
        <w:rPr>
          <w:rFonts w:ascii="Artifex CF" w:hAnsi="Artifex CF"/>
          <w:sz w:val="24"/>
          <w:szCs w:val="24"/>
        </w:rPr>
        <w:t>¿Cómo se regula y monitorea la participación de actores privados en la prestación de servicios públicos en su país/región? Comparta desafíos y buenas prácticas.</w:t>
      </w:r>
    </w:p>
    <w:p w14:paraId="4E67953D" w14:textId="730C873A" w:rsidR="00137E33" w:rsidRPr="0037039F" w:rsidRDefault="00137E33" w:rsidP="005D45CF">
      <w:pPr>
        <w:spacing w:after="187" w:line="276" w:lineRule="auto"/>
        <w:ind w:right="113"/>
        <w:jc w:val="both"/>
        <w:rPr>
          <w:rFonts w:ascii="Artifex CF" w:hAnsi="Artifex CF"/>
          <w:sz w:val="24"/>
          <w:szCs w:val="24"/>
        </w:rPr>
      </w:pPr>
      <w:r w:rsidRPr="0037039F">
        <w:rPr>
          <w:rFonts w:ascii="Artifex CF" w:hAnsi="Artifex CF"/>
          <w:b/>
          <w:bCs/>
          <w:sz w:val="24"/>
          <w:szCs w:val="24"/>
          <w:u w:val="single" w:color="000000"/>
        </w:rPr>
        <w:t>Respuesta</w:t>
      </w:r>
      <w:r w:rsidRPr="0037039F">
        <w:rPr>
          <w:rFonts w:ascii="Artifex CF" w:hAnsi="Artifex CF"/>
          <w:sz w:val="24"/>
          <w:szCs w:val="24"/>
        </w:rPr>
        <w:t xml:space="preserve">: </w:t>
      </w:r>
      <w:r w:rsidR="009D3854" w:rsidRPr="0037039F">
        <w:rPr>
          <w:rFonts w:ascii="Artifex CF" w:hAnsi="Artifex CF"/>
          <w:sz w:val="24"/>
          <w:szCs w:val="24"/>
        </w:rPr>
        <w:t>l</w:t>
      </w:r>
      <w:r w:rsidRPr="0037039F">
        <w:rPr>
          <w:rFonts w:ascii="Artifex CF" w:hAnsi="Artifex CF"/>
          <w:sz w:val="24"/>
          <w:szCs w:val="24"/>
        </w:rPr>
        <w:t xml:space="preserve">a participación es muy fragmentada y se produce a nivel de instituciones prestadoras de servicios, pero no con un marco estándar común para todo el sector público ni tampoco con aplicaciones de tecnologías uniformes y de buenas prácticas entre todas las institucione ni con un marco normativo que permita hacer la supervisión y el seguimiento de los resultados de dicha </w:t>
      </w:r>
      <w:r w:rsidRPr="0037039F">
        <w:rPr>
          <w:rFonts w:ascii="Artifex CF" w:hAnsi="Artifex CF"/>
          <w:sz w:val="24"/>
          <w:szCs w:val="24"/>
        </w:rPr>
        <w:lastRenderedPageBreak/>
        <w:t>participación, siendo todo esto los principales desafíos a enfrentar.</w:t>
      </w:r>
    </w:p>
    <w:p w14:paraId="76D5327A" w14:textId="77777777" w:rsidR="00137E33" w:rsidRPr="0037039F" w:rsidRDefault="00137E33" w:rsidP="005D45CF">
      <w:pPr>
        <w:numPr>
          <w:ilvl w:val="0"/>
          <w:numId w:val="1"/>
        </w:numPr>
        <w:spacing w:after="192" w:line="276" w:lineRule="auto"/>
        <w:ind w:right="130" w:hanging="10"/>
        <w:jc w:val="both"/>
        <w:rPr>
          <w:rFonts w:ascii="Artifex CF" w:hAnsi="Artifex CF"/>
          <w:sz w:val="24"/>
          <w:szCs w:val="24"/>
        </w:rPr>
      </w:pPr>
      <w:r w:rsidRPr="0037039F">
        <w:rPr>
          <w:rFonts w:ascii="Artifex CF" w:hAnsi="Artifex CF"/>
          <w:sz w:val="24"/>
          <w:szCs w:val="24"/>
        </w:rPr>
        <w:t>Describa las políticas económicas, legislación, prácticas o estrategias prometedoras y procesos nacionales, regionales o locales dirigidos a: aumentar el gasto social, a través de los presupuestos nacionales y locales, para la prestación de servicios públicos;</w:t>
      </w:r>
    </w:p>
    <w:p w14:paraId="6BFE730B" w14:textId="77777777" w:rsidR="00137E33" w:rsidRPr="0037039F" w:rsidRDefault="00137E33" w:rsidP="005D45CF">
      <w:pPr>
        <w:spacing w:after="230" w:line="276" w:lineRule="auto"/>
        <w:ind w:right="113"/>
        <w:jc w:val="both"/>
        <w:rPr>
          <w:rFonts w:ascii="Artifex CF" w:hAnsi="Artifex CF"/>
          <w:sz w:val="24"/>
          <w:szCs w:val="24"/>
        </w:rPr>
      </w:pPr>
      <w:r w:rsidRPr="0037039F">
        <w:rPr>
          <w:rFonts w:ascii="Artifex CF" w:hAnsi="Artifex CF"/>
          <w:b/>
          <w:bCs/>
          <w:sz w:val="24"/>
          <w:szCs w:val="24"/>
          <w:u w:val="single" w:color="000000"/>
        </w:rPr>
        <w:t>Respuesta</w:t>
      </w:r>
      <w:r w:rsidRPr="0037039F">
        <w:rPr>
          <w:rFonts w:ascii="Artifex CF" w:hAnsi="Artifex CF"/>
          <w:sz w:val="24"/>
          <w:szCs w:val="24"/>
        </w:rPr>
        <w:t>: las experiencias más destacadas son el presupuesto dedicado al sector educación de 4% del PIB desde hace varios años atrás y el apoyo creciente de gastos en los programas sociales.</w:t>
      </w:r>
    </w:p>
    <w:p w14:paraId="1B906F99" w14:textId="77777777" w:rsidR="00137E33" w:rsidRPr="0037039F" w:rsidRDefault="00137E33" w:rsidP="005D45CF">
      <w:pPr>
        <w:numPr>
          <w:ilvl w:val="0"/>
          <w:numId w:val="1"/>
        </w:numPr>
        <w:spacing w:after="225" w:line="276" w:lineRule="auto"/>
        <w:ind w:right="130" w:hanging="10"/>
        <w:jc w:val="both"/>
        <w:rPr>
          <w:rFonts w:ascii="Artifex CF" w:hAnsi="Artifex CF"/>
          <w:sz w:val="24"/>
          <w:szCs w:val="24"/>
        </w:rPr>
      </w:pPr>
      <w:r w:rsidRPr="0037039F">
        <w:rPr>
          <w:rFonts w:ascii="Artifex CF" w:hAnsi="Artifex CF"/>
          <w:sz w:val="24"/>
          <w:szCs w:val="24"/>
        </w:rPr>
        <w:t>Abordar la discriminación estructural en la prestación de servicios públicos; maximizar los recursos disponibles para la prestación de servicios públicos; prevenir la corrupción y los flujos financieros ilícitos asociados en la prestación de servicios públicos; reasignar el gasto público para la prestación de servicios públicos.</w:t>
      </w:r>
    </w:p>
    <w:p w14:paraId="5BB60D4A" w14:textId="3D7DAC4C" w:rsidR="00137E33" w:rsidRPr="0037039F" w:rsidRDefault="00137E33" w:rsidP="008A34AC">
      <w:pPr>
        <w:spacing w:after="28" w:line="276" w:lineRule="auto"/>
        <w:ind w:right="113"/>
        <w:jc w:val="both"/>
        <w:rPr>
          <w:rFonts w:ascii="Artifex CF" w:hAnsi="Artifex CF"/>
          <w:sz w:val="24"/>
          <w:szCs w:val="24"/>
        </w:rPr>
      </w:pPr>
      <w:r w:rsidRPr="0037039F">
        <w:rPr>
          <w:rFonts w:ascii="Artifex CF" w:hAnsi="Artifex CF"/>
          <w:b/>
          <w:bCs/>
          <w:sz w:val="24"/>
          <w:szCs w:val="24"/>
          <w:u w:val="single" w:color="000000"/>
        </w:rPr>
        <w:t>Respuestas</w:t>
      </w:r>
      <w:r w:rsidRPr="0037039F">
        <w:rPr>
          <w:rFonts w:ascii="Artifex CF" w:hAnsi="Artifex CF"/>
          <w:sz w:val="24"/>
          <w:szCs w:val="24"/>
        </w:rPr>
        <w:t xml:space="preserve">: el Proyecto de Apoyo a la Implementación del Plan General De Reforma </w:t>
      </w:r>
      <w:r w:rsidR="008A34AC" w:rsidRPr="0037039F">
        <w:rPr>
          <w:rFonts w:ascii="Artifex CF" w:hAnsi="Artifex CF"/>
          <w:sz w:val="24"/>
          <w:szCs w:val="24"/>
        </w:rPr>
        <w:t>y Modernización</w:t>
      </w:r>
      <w:r w:rsidRPr="0037039F">
        <w:rPr>
          <w:rFonts w:ascii="Artifex CF" w:hAnsi="Artifex CF"/>
          <w:sz w:val="24"/>
          <w:szCs w:val="24"/>
        </w:rPr>
        <w:t xml:space="preserve"> de La Administración Pública (180302), financiado por el</w:t>
      </w:r>
      <w:r w:rsidR="008A34AC" w:rsidRPr="0037039F">
        <w:rPr>
          <w:rFonts w:ascii="Artifex CF" w:hAnsi="Artifex CF"/>
          <w:sz w:val="24"/>
          <w:szCs w:val="24"/>
        </w:rPr>
        <w:t xml:space="preserve"> </w:t>
      </w:r>
      <w:r w:rsidRPr="0037039F">
        <w:rPr>
          <w:rFonts w:ascii="Artifex CF" w:hAnsi="Artifex CF"/>
          <w:sz w:val="24"/>
          <w:szCs w:val="24"/>
        </w:rPr>
        <w:t>Banco Mundial</w:t>
      </w:r>
      <w:r w:rsidR="00C065B3" w:rsidRPr="0037039F">
        <w:rPr>
          <w:rFonts w:ascii="Artifex CF" w:hAnsi="Artifex CF"/>
          <w:sz w:val="24"/>
          <w:szCs w:val="24"/>
        </w:rPr>
        <w:t xml:space="preserve">, </w:t>
      </w:r>
      <w:r w:rsidR="00C065B3" w:rsidRPr="0037039F">
        <w:rPr>
          <w:rFonts w:ascii="Artifex CF" w:hAnsi="Artifex CF" w:cs="Arial"/>
          <w:sz w:val="24"/>
          <w:szCs w:val="24"/>
          <w:shd w:val="clear" w:color="auto" w:fill="FFFFFF"/>
        </w:rPr>
        <w:t xml:space="preserve">tiene el propósito    de    sentar    las    bases    para    el    fortalecimiento    de    la institucionalidad   dominicana   y   asegurar   que   ella   se   ajuste   a   los </w:t>
      </w:r>
      <w:r w:rsidR="00D623FC" w:rsidRPr="0037039F">
        <w:rPr>
          <w:rFonts w:ascii="Artifex CF" w:hAnsi="Artifex CF" w:cs="Arial"/>
          <w:sz w:val="24"/>
          <w:szCs w:val="24"/>
          <w:shd w:val="clear" w:color="auto" w:fill="FFFFFF"/>
        </w:rPr>
        <w:t xml:space="preserve">estándares </w:t>
      </w:r>
      <w:r w:rsidR="00AA753E" w:rsidRPr="0037039F">
        <w:rPr>
          <w:rFonts w:ascii="Artifex CF" w:hAnsi="Artifex CF" w:cs="Arial"/>
          <w:sz w:val="24"/>
          <w:szCs w:val="24"/>
          <w:shd w:val="clear" w:color="auto" w:fill="FFFFFF"/>
        </w:rPr>
        <w:t>regionales más avanzados, para que los actores sociales y</w:t>
      </w:r>
      <w:r w:rsidR="00C065B3" w:rsidRPr="0037039F">
        <w:rPr>
          <w:rFonts w:ascii="Artifex CF" w:hAnsi="Artifex CF" w:cs="Arial"/>
          <w:sz w:val="24"/>
          <w:szCs w:val="24"/>
          <w:shd w:val="clear" w:color="auto" w:fill="FFFFFF"/>
        </w:rPr>
        <w:t xml:space="preserve"> </w:t>
      </w:r>
      <w:r w:rsidR="00AA753E" w:rsidRPr="0037039F">
        <w:rPr>
          <w:rFonts w:ascii="Artifex CF" w:hAnsi="Artifex CF" w:cs="Arial"/>
          <w:sz w:val="24"/>
          <w:szCs w:val="24"/>
          <w:shd w:val="clear" w:color="auto" w:fill="FFFFFF"/>
        </w:rPr>
        <w:t>económicos puedan</w:t>
      </w:r>
      <w:r w:rsidR="00C065B3" w:rsidRPr="0037039F">
        <w:rPr>
          <w:rFonts w:ascii="Artifex CF" w:hAnsi="Artifex CF" w:cs="Arial"/>
          <w:sz w:val="24"/>
          <w:szCs w:val="24"/>
          <w:shd w:val="clear" w:color="auto" w:fill="FFFFFF"/>
        </w:rPr>
        <w:t xml:space="preserve"> </w:t>
      </w:r>
      <w:r w:rsidR="00AA753E" w:rsidRPr="0037039F">
        <w:rPr>
          <w:rFonts w:ascii="Artifex CF" w:hAnsi="Artifex CF" w:cs="Arial"/>
          <w:sz w:val="24"/>
          <w:szCs w:val="24"/>
          <w:shd w:val="clear" w:color="auto" w:fill="FFFFFF"/>
        </w:rPr>
        <w:t>programar y actuar en un escenario predecible y</w:t>
      </w:r>
      <w:r w:rsidR="00C065B3" w:rsidRPr="0037039F">
        <w:rPr>
          <w:rFonts w:ascii="Artifex CF" w:hAnsi="Artifex CF" w:cs="Arial"/>
          <w:sz w:val="24"/>
          <w:szCs w:val="24"/>
          <w:shd w:val="clear" w:color="auto" w:fill="FFFFFF"/>
        </w:rPr>
        <w:t xml:space="preserve"> para que el ciudadano dominicano pueda recuperar la confianza en su </w:t>
      </w:r>
      <w:r w:rsidR="00D623FC" w:rsidRPr="0037039F">
        <w:rPr>
          <w:rFonts w:ascii="Artifex CF" w:hAnsi="Artifex CF" w:cs="Arial"/>
          <w:sz w:val="24"/>
          <w:szCs w:val="24"/>
          <w:shd w:val="clear" w:color="auto" w:fill="FFFFFF"/>
        </w:rPr>
        <w:t>ad</w:t>
      </w:r>
      <w:r w:rsidR="00C065B3" w:rsidRPr="0037039F">
        <w:rPr>
          <w:rFonts w:ascii="Artifex CF" w:hAnsi="Artifex CF" w:cs="Arial"/>
          <w:sz w:val="24"/>
          <w:szCs w:val="24"/>
          <w:shd w:val="clear" w:color="auto" w:fill="FFFFFF"/>
        </w:rPr>
        <w:t>ministración</w:t>
      </w:r>
      <w:r w:rsidR="00D623FC" w:rsidRPr="0037039F">
        <w:rPr>
          <w:rFonts w:ascii="Artifex CF" w:hAnsi="Artifex CF" w:cs="Arial"/>
          <w:sz w:val="24"/>
          <w:szCs w:val="24"/>
          <w:shd w:val="clear" w:color="auto" w:fill="FFFFFF"/>
        </w:rPr>
        <w:t>.</w:t>
      </w:r>
    </w:p>
    <w:p w14:paraId="48A61C5D" w14:textId="6EF2A978" w:rsidR="00AA753E" w:rsidRPr="0037039F" w:rsidRDefault="00AA753E" w:rsidP="008A34AC">
      <w:pPr>
        <w:spacing w:after="187" w:line="276" w:lineRule="auto"/>
        <w:ind w:right="113"/>
        <w:jc w:val="both"/>
        <w:rPr>
          <w:rFonts w:ascii="Artifex CF" w:hAnsi="Artifex CF"/>
          <w:sz w:val="24"/>
          <w:szCs w:val="24"/>
        </w:rPr>
      </w:pPr>
      <w:r w:rsidRPr="0037039F">
        <w:rPr>
          <w:rFonts w:ascii="Artifex CF" w:hAnsi="Artifex CF" w:cs="Arial"/>
          <w:sz w:val="24"/>
          <w:szCs w:val="24"/>
          <w:shd w:val="clear" w:color="auto" w:fill="FFFFFF"/>
        </w:rPr>
        <w:t xml:space="preserve">La institucionalidad es lo que garantiza derechos a la ciudadanía, horizonte   a   los emprendedores, seguridad   jurídica a los actores económicos, en fin, la institucionalidad sana es el escenario propicio para que todos los motores del desarrollo se activen </w:t>
      </w:r>
      <w:r w:rsidR="005A112F" w:rsidRPr="0037039F">
        <w:rPr>
          <w:rFonts w:ascii="Artifex CF" w:hAnsi="Artifex CF" w:cs="Arial"/>
          <w:sz w:val="24"/>
          <w:szCs w:val="24"/>
          <w:shd w:val="clear" w:color="auto" w:fill="FFFFFF"/>
        </w:rPr>
        <w:t>y creen</w:t>
      </w:r>
      <w:r w:rsidRPr="0037039F">
        <w:rPr>
          <w:rFonts w:ascii="Artifex CF" w:hAnsi="Artifex CF" w:cs="Arial"/>
          <w:sz w:val="24"/>
          <w:szCs w:val="24"/>
          <w:shd w:val="clear" w:color="auto" w:fill="FFFFFF"/>
        </w:rPr>
        <w:t xml:space="preserve"> </w:t>
      </w:r>
      <w:r w:rsidR="00A11BDA" w:rsidRPr="0037039F">
        <w:rPr>
          <w:rFonts w:ascii="Artifex CF" w:hAnsi="Artifex CF" w:cs="Arial"/>
          <w:sz w:val="24"/>
          <w:szCs w:val="24"/>
          <w:shd w:val="clear" w:color="auto" w:fill="FFFFFF"/>
        </w:rPr>
        <w:t>las condiciones</w:t>
      </w:r>
      <w:r w:rsidRPr="0037039F">
        <w:rPr>
          <w:rFonts w:ascii="Artifex CF" w:hAnsi="Artifex CF" w:cs="Arial"/>
          <w:sz w:val="24"/>
          <w:szCs w:val="24"/>
          <w:shd w:val="clear" w:color="auto" w:fill="FFFFFF"/>
        </w:rPr>
        <w:t xml:space="preserve"> para una vida digna</w:t>
      </w:r>
      <w:r w:rsidR="002B5D6B" w:rsidRPr="0037039F">
        <w:rPr>
          <w:rFonts w:ascii="Artifex CF" w:hAnsi="Artifex CF" w:cs="Arial"/>
          <w:sz w:val="24"/>
          <w:szCs w:val="24"/>
          <w:shd w:val="clear" w:color="auto" w:fill="FFFFFF"/>
        </w:rPr>
        <w:t>.</w:t>
      </w:r>
    </w:p>
    <w:p w14:paraId="6F0E6CE5" w14:textId="27CF3E74" w:rsidR="00137E33" w:rsidRPr="0037039F" w:rsidRDefault="00137E33" w:rsidP="005D45CF">
      <w:pPr>
        <w:spacing w:after="0" w:line="276" w:lineRule="auto"/>
        <w:jc w:val="both"/>
        <w:rPr>
          <w:rFonts w:ascii="Artifex CF" w:hAnsi="Artifex CF"/>
          <w:sz w:val="24"/>
          <w:szCs w:val="24"/>
        </w:rPr>
      </w:pPr>
    </w:p>
    <w:sectPr w:rsidR="00137E33" w:rsidRPr="0037039F">
      <w:headerReference w:type="default" r:id="rId17"/>
      <w:footerReference w:type="default" r:id="rId18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30171" w14:textId="77777777" w:rsidR="00B269B4" w:rsidRDefault="00B269B4">
      <w:pPr>
        <w:spacing w:line="240" w:lineRule="auto"/>
      </w:pPr>
      <w:r>
        <w:separator/>
      </w:r>
    </w:p>
  </w:endnote>
  <w:endnote w:type="continuationSeparator" w:id="0">
    <w:p w14:paraId="27BB60EB" w14:textId="77777777" w:rsidR="00B269B4" w:rsidRDefault="00B269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tifex CF Book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Artifex CF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63CB" w14:textId="77777777" w:rsidR="0018361E" w:rsidRDefault="0018361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15B8855B" w14:textId="3299A937" w:rsidR="00B359B0" w:rsidRDefault="00B35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3889" w14:textId="77777777" w:rsidR="00B269B4" w:rsidRDefault="00B269B4">
      <w:pPr>
        <w:spacing w:after="0" w:line="240" w:lineRule="auto"/>
      </w:pPr>
      <w:r>
        <w:separator/>
      </w:r>
    </w:p>
  </w:footnote>
  <w:footnote w:type="continuationSeparator" w:id="0">
    <w:p w14:paraId="7D9E0F49" w14:textId="77777777" w:rsidR="00B269B4" w:rsidRDefault="00B26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7555" w14:textId="77777777" w:rsidR="00B359B0" w:rsidRDefault="00AB32E7">
    <w:pPr>
      <w:pStyle w:val="Header"/>
      <w:tabs>
        <w:tab w:val="clear" w:pos="4680"/>
        <w:tab w:val="clear" w:pos="9360"/>
        <w:tab w:val="left" w:pos="1200"/>
      </w:tabs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B1F2C72" wp14:editId="55F900C2">
          <wp:simplePos x="0" y="0"/>
          <wp:positionH relativeFrom="column">
            <wp:posOffset>-1132840</wp:posOffset>
          </wp:positionH>
          <wp:positionV relativeFrom="paragraph">
            <wp:posOffset>-723900</wp:posOffset>
          </wp:positionV>
          <wp:extent cx="8312150" cy="195580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0" cy="195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E7408"/>
    <w:multiLevelType w:val="hybridMultilevel"/>
    <w:tmpl w:val="544EBAC2"/>
    <w:lvl w:ilvl="0" w:tplc="3B769ECE">
      <w:start w:val="8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9CC616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F2F47A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6E4E8A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0A7B16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F6E85A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54283A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5C27E8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20328A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10FDE"/>
    <w:multiLevelType w:val="hybridMultilevel"/>
    <w:tmpl w:val="0B18E674"/>
    <w:lvl w:ilvl="0" w:tplc="C9262D30">
      <w:start w:val="1"/>
      <w:numFmt w:val="upperRoman"/>
      <w:lvlText w:val="%1."/>
      <w:lvlJc w:val="left"/>
      <w:pPr>
        <w:ind w:left="333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B432B"/>
    <w:multiLevelType w:val="hybridMultilevel"/>
    <w:tmpl w:val="11DEC3EC"/>
    <w:lvl w:ilvl="0" w:tplc="D13A2A1E">
      <w:start w:val="2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FA816E">
      <w:start w:val="1"/>
      <w:numFmt w:val="lowerLetter"/>
      <w:lvlText w:val="%2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E26664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D077A6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046C24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D8E2F6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EC0EEE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4847F2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488CB6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0D7BA8"/>
    <w:multiLevelType w:val="hybridMultilevel"/>
    <w:tmpl w:val="F220493A"/>
    <w:lvl w:ilvl="0" w:tplc="AFBC6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D747C"/>
    <w:multiLevelType w:val="hybridMultilevel"/>
    <w:tmpl w:val="81CCDF0E"/>
    <w:lvl w:ilvl="0" w:tplc="A9942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670662">
    <w:abstractNumId w:val="2"/>
  </w:num>
  <w:num w:numId="2" w16cid:durableId="1531340615">
    <w:abstractNumId w:val="0"/>
  </w:num>
  <w:num w:numId="3" w16cid:durableId="1844472564">
    <w:abstractNumId w:val="4"/>
  </w:num>
  <w:num w:numId="4" w16cid:durableId="1261135867">
    <w:abstractNumId w:val="3"/>
  </w:num>
  <w:num w:numId="5" w16cid:durableId="175304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748"/>
    <w:rsid w:val="000036B0"/>
    <w:rsid w:val="00004989"/>
    <w:rsid w:val="00017FB4"/>
    <w:rsid w:val="00020FBD"/>
    <w:rsid w:val="00023AA9"/>
    <w:rsid w:val="000241F8"/>
    <w:rsid w:val="000309C5"/>
    <w:rsid w:val="00036781"/>
    <w:rsid w:val="00040C04"/>
    <w:rsid w:val="00051A07"/>
    <w:rsid w:val="000536F4"/>
    <w:rsid w:val="00054AD0"/>
    <w:rsid w:val="000555C5"/>
    <w:rsid w:val="00060C28"/>
    <w:rsid w:val="00067ED3"/>
    <w:rsid w:val="000743E1"/>
    <w:rsid w:val="00074EF0"/>
    <w:rsid w:val="00077D6C"/>
    <w:rsid w:val="00081E65"/>
    <w:rsid w:val="00083707"/>
    <w:rsid w:val="00083A69"/>
    <w:rsid w:val="00085283"/>
    <w:rsid w:val="00087620"/>
    <w:rsid w:val="000926D8"/>
    <w:rsid w:val="00092952"/>
    <w:rsid w:val="00095AE4"/>
    <w:rsid w:val="000A5288"/>
    <w:rsid w:val="000B124C"/>
    <w:rsid w:val="000B2163"/>
    <w:rsid w:val="000C1D94"/>
    <w:rsid w:val="000C24ED"/>
    <w:rsid w:val="000C7563"/>
    <w:rsid w:val="000D0520"/>
    <w:rsid w:val="000E7316"/>
    <w:rsid w:val="00101D54"/>
    <w:rsid w:val="001066A3"/>
    <w:rsid w:val="001101C6"/>
    <w:rsid w:val="00111A73"/>
    <w:rsid w:val="001144FD"/>
    <w:rsid w:val="0012014F"/>
    <w:rsid w:val="001220F8"/>
    <w:rsid w:val="00130689"/>
    <w:rsid w:val="00131C18"/>
    <w:rsid w:val="001328C9"/>
    <w:rsid w:val="001335E8"/>
    <w:rsid w:val="00134824"/>
    <w:rsid w:val="00135FC8"/>
    <w:rsid w:val="00137E33"/>
    <w:rsid w:val="00142C20"/>
    <w:rsid w:val="0014377D"/>
    <w:rsid w:val="0014569C"/>
    <w:rsid w:val="00154097"/>
    <w:rsid w:val="00162A46"/>
    <w:rsid w:val="00170942"/>
    <w:rsid w:val="00171DA5"/>
    <w:rsid w:val="0017319B"/>
    <w:rsid w:val="001758E6"/>
    <w:rsid w:val="00182063"/>
    <w:rsid w:val="00183316"/>
    <w:rsid w:val="0018361E"/>
    <w:rsid w:val="00183E2B"/>
    <w:rsid w:val="00184353"/>
    <w:rsid w:val="001844D7"/>
    <w:rsid w:val="0018471D"/>
    <w:rsid w:val="00193EF1"/>
    <w:rsid w:val="001966C5"/>
    <w:rsid w:val="00196CA1"/>
    <w:rsid w:val="001A0D6C"/>
    <w:rsid w:val="001A113E"/>
    <w:rsid w:val="001A372C"/>
    <w:rsid w:val="001C202F"/>
    <w:rsid w:val="001C4B2D"/>
    <w:rsid w:val="001D7F3A"/>
    <w:rsid w:val="001E0EE8"/>
    <w:rsid w:val="001E202F"/>
    <w:rsid w:val="001F0562"/>
    <w:rsid w:val="001F05AF"/>
    <w:rsid w:val="001F1514"/>
    <w:rsid w:val="001F2725"/>
    <w:rsid w:val="001F4AAE"/>
    <w:rsid w:val="00205E87"/>
    <w:rsid w:val="00212712"/>
    <w:rsid w:val="00214C44"/>
    <w:rsid w:val="00215FB3"/>
    <w:rsid w:val="002264A5"/>
    <w:rsid w:val="00226DEF"/>
    <w:rsid w:val="00226F5B"/>
    <w:rsid w:val="0023299D"/>
    <w:rsid w:val="0023799A"/>
    <w:rsid w:val="002441E7"/>
    <w:rsid w:val="002474A1"/>
    <w:rsid w:val="002507E7"/>
    <w:rsid w:val="00255FEC"/>
    <w:rsid w:val="0025691D"/>
    <w:rsid w:val="002611E0"/>
    <w:rsid w:val="00262EF0"/>
    <w:rsid w:val="00263A22"/>
    <w:rsid w:val="002716FE"/>
    <w:rsid w:val="0028070D"/>
    <w:rsid w:val="00281C93"/>
    <w:rsid w:val="00294C62"/>
    <w:rsid w:val="002A16AF"/>
    <w:rsid w:val="002A5442"/>
    <w:rsid w:val="002A61F5"/>
    <w:rsid w:val="002B2488"/>
    <w:rsid w:val="002B3236"/>
    <w:rsid w:val="002B46DE"/>
    <w:rsid w:val="002B5D6B"/>
    <w:rsid w:val="002B6625"/>
    <w:rsid w:val="002B74A4"/>
    <w:rsid w:val="002C37E5"/>
    <w:rsid w:val="002C4F57"/>
    <w:rsid w:val="002C599D"/>
    <w:rsid w:val="002C5DAF"/>
    <w:rsid w:val="002C7795"/>
    <w:rsid w:val="002D0B71"/>
    <w:rsid w:val="002D3609"/>
    <w:rsid w:val="002E2CC3"/>
    <w:rsid w:val="002E3BCE"/>
    <w:rsid w:val="002F0CB8"/>
    <w:rsid w:val="002F4AE3"/>
    <w:rsid w:val="00310F37"/>
    <w:rsid w:val="003141D4"/>
    <w:rsid w:val="003157FE"/>
    <w:rsid w:val="00316C3F"/>
    <w:rsid w:val="00320C96"/>
    <w:rsid w:val="00325D27"/>
    <w:rsid w:val="003276DC"/>
    <w:rsid w:val="003327A9"/>
    <w:rsid w:val="0033792B"/>
    <w:rsid w:val="00340EDB"/>
    <w:rsid w:val="0034291B"/>
    <w:rsid w:val="00344BE8"/>
    <w:rsid w:val="003452DE"/>
    <w:rsid w:val="003453DC"/>
    <w:rsid w:val="0035209A"/>
    <w:rsid w:val="00352229"/>
    <w:rsid w:val="003601F3"/>
    <w:rsid w:val="00360266"/>
    <w:rsid w:val="0037039F"/>
    <w:rsid w:val="00370FAF"/>
    <w:rsid w:val="0038329B"/>
    <w:rsid w:val="00384D53"/>
    <w:rsid w:val="00390C8E"/>
    <w:rsid w:val="003914D0"/>
    <w:rsid w:val="00396589"/>
    <w:rsid w:val="003A4043"/>
    <w:rsid w:val="003A5143"/>
    <w:rsid w:val="003B1159"/>
    <w:rsid w:val="003B406A"/>
    <w:rsid w:val="003D1771"/>
    <w:rsid w:val="003D1ADD"/>
    <w:rsid w:val="003D495D"/>
    <w:rsid w:val="003D523B"/>
    <w:rsid w:val="003E0CF4"/>
    <w:rsid w:val="003E1286"/>
    <w:rsid w:val="003E6C5E"/>
    <w:rsid w:val="003F307C"/>
    <w:rsid w:val="003F3904"/>
    <w:rsid w:val="003F5BED"/>
    <w:rsid w:val="003F7F0A"/>
    <w:rsid w:val="00405E5C"/>
    <w:rsid w:val="00412650"/>
    <w:rsid w:val="004146E7"/>
    <w:rsid w:val="004273D2"/>
    <w:rsid w:val="0042780D"/>
    <w:rsid w:val="00431685"/>
    <w:rsid w:val="00440FAE"/>
    <w:rsid w:val="00444F90"/>
    <w:rsid w:val="00447D52"/>
    <w:rsid w:val="00452FD8"/>
    <w:rsid w:val="00461EE9"/>
    <w:rsid w:val="00464CF4"/>
    <w:rsid w:val="00464FBF"/>
    <w:rsid w:val="00467B77"/>
    <w:rsid w:val="00481413"/>
    <w:rsid w:val="004840A6"/>
    <w:rsid w:val="00486359"/>
    <w:rsid w:val="004867F9"/>
    <w:rsid w:val="0049774B"/>
    <w:rsid w:val="004A0C7E"/>
    <w:rsid w:val="004A5252"/>
    <w:rsid w:val="004C64B1"/>
    <w:rsid w:val="004D0831"/>
    <w:rsid w:val="004E4F25"/>
    <w:rsid w:val="004E6AC0"/>
    <w:rsid w:val="004F28B0"/>
    <w:rsid w:val="004F731F"/>
    <w:rsid w:val="00507D8F"/>
    <w:rsid w:val="00514395"/>
    <w:rsid w:val="005175C8"/>
    <w:rsid w:val="005217D2"/>
    <w:rsid w:val="00524B89"/>
    <w:rsid w:val="005376B0"/>
    <w:rsid w:val="00543465"/>
    <w:rsid w:val="00543C0B"/>
    <w:rsid w:val="0054419C"/>
    <w:rsid w:val="0055594B"/>
    <w:rsid w:val="0056054C"/>
    <w:rsid w:val="00560997"/>
    <w:rsid w:val="00563A23"/>
    <w:rsid w:val="00565528"/>
    <w:rsid w:val="00565E3E"/>
    <w:rsid w:val="00567178"/>
    <w:rsid w:val="00567735"/>
    <w:rsid w:val="00573D4A"/>
    <w:rsid w:val="00574EF5"/>
    <w:rsid w:val="00580CFF"/>
    <w:rsid w:val="00582669"/>
    <w:rsid w:val="00583CD1"/>
    <w:rsid w:val="005844EF"/>
    <w:rsid w:val="0058589D"/>
    <w:rsid w:val="0059166D"/>
    <w:rsid w:val="005A112F"/>
    <w:rsid w:val="005A2965"/>
    <w:rsid w:val="005A66AE"/>
    <w:rsid w:val="005A71FA"/>
    <w:rsid w:val="005B4467"/>
    <w:rsid w:val="005B4856"/>
    <w:rsid w:val="005B4C9F"/>
    <w:rsid w:val="005C70A6"/>
    <w:rsid w:val="005D0893"/>
    <w:rsid w:val="005D45CF"/>
    <w:rsid w:val="005D481C"/>
    <w:rsid w:val="005E3EA3"/>
    <w:rsid w:val="005E4A9C"/>
    <w:rsid w:val="005E7441"/>
    <w:rsid w:val="005F4F99"/>
    <w:rsid w:val="005F7118"/>
    <w:rsid w:val="00604980"/>
    <w:rsid w:val="00605F00"/>
    <w:rsid w:val="00607B75"/>
    <w:rsid w:val="006124CA"/>
    <w:rsid w:val="00617531"/>
    <w:rsid w:val="00617F4D"/>
    <w:rsid w:val="00621C61"/>
    <w:rsid w:val="00633102"/>
    <w:rsid w:val="006336B0"/>
    <w:rsid w:val="0065091E"/>
    <w:rsid w:val="00662F08"/>
    <w:rsid w:val="0066318D"/>
    <w:rsid w:val="006635CE"/>
    <w:rsid w:val="006667D4"/>
    <w:rsid w:val="00671EC1"/>
    <w:rsid w:val="00687F8B"/>
    <w:rsid w:val="006A07F0"/>
    <w:rsid w:val="006A1A79"/>
    <w:rsid w:val="006A433B"/>
    <w:rsid w:val="006A4867"/>
    <w:rsid w:val="006A77FB"/>
    <w:rsid w:val="006B56C8"/>
    <w:rsid w:val="006C0B97"/>
    <w:rsid w:val="006C0D67"/>
    <w:rsid w:val="006C397E"/>
    <w:rsid w:val="006D09B3"/>
    <w:rsid w:val="006D1049"/>
    <w:rsid w:val="006D3102"/>
    <w:rsid w:val="006D415F"/>
    <w:rsid w:val="006D5B57"/>
    <w:rsid w:val="006E751B"/>
    <w:rsid w:val="006F02F2"/>
    <w:rsid w:val="006F09AA"/>
    <w:rsid w:val="006F0BCA"/>
    <w:rsid w:val="006F0F5A"/>
    <w:rsid w:val="006F6EF1"/>
    <w:rsid w:val="00700193"/>
    <w:rsid w:val="00700EBE"/>
    <w:rsid w:val="007015D7"/>
    <w:rsid w:val="0070757B"/>
    <w:rsid w:val="00714E48"/>
    <w:rsid w:val="007204E7"/>
    <w:rsid w:val="00721A02"/>
    <w:rsid w:val="00722041"/>
    <w:rsid w:val="007242FE"/>
    <w:rsid w:val="00726A99"/>
    <w:rsid w:val="00730855"/>
    <w:rsid w:val="00732D3D"/>
    <w:rsid w:val="007429C8"/>
    <w:rsid w:val="00745BFF"/>
    <w:rsid w:val="00746F7C"/>
    <w:rsid w:val="00750824"/>
    <w:rsid w:val="007527D4"/>
    <w:rsid w:val="007569BF"/>
    <w:rsid w:val="00757A0E"/>
    <w:rsid w:val="00762040"/>
    <w:rsid w:val="00766B27"/>
    <w:rsid w:val="00767220"/>
    <w:rsid w:val="00767785"/>
    <w:rsid w:val="00771579"/>
    <w:rsid w:val="007718C8"/>
    <w:rsid w:val="007763C2"/>
    <w:rsid w:val="00776884"/>
    <w:rsid w:val="0078012E"/>
    <w:rsid w:val="00793C37"/>
    <w:rsid w:val="007948AD"/>
    <w:rsid w:val="007A5549"/>
    <w:rsid w:val="007B01A3"/>
    <w:rsid w:val="007B138D"/>
    <w:rsid w:val="007B3486"/>
    <w:rsid w:val="007B58B0"/>
    <w:rsid w:val="007B5BD3"/>
    <w:rsid w:val="007B674C"/>
    <w:rsid w:val="007C0E98"/>
    <w:rsid w:val="007C234C"/>
    <w:rsid w:val="007D016B"/>
    <w:rsid w:val="007D0BD7"/>
    <w:rsid w:val="007D1713"/>
    <w:rsid w:val="007D5007"/>
    <w:rsid w:val="007F19BB"/>
    <w:rsid w:val="007F7B25"/>
    <w:rsid w:val="008009E5"/>
    <w:rsid w:val="0080212D"/>
    <w:rsid w:val="00802D50"/>
    <w:rsid w:val="00804D5A"/>
    <w:rsid w:val="00826ABA"/>
    <w:rsid w:val="0083411A"/>
    <w:rsid w:val="00834D53"/>
    <w:rsid w:val="008363B6"/>
    <w:rsid w:val="00840A61"/>
    <w:rsid w:val="00844B9B"/>
    <w:rsid w:val="00850DA0"/>
    <w:rsid w:val="008570FA"/>
    <w:rsid w:val="00862736"/>
    <w:rsid w:val="00863FF6"/>
    <w:rsid w:val="008753B8"/>
    <w:rsid w:val="008828EE"/>
    <w:rsid w:val="00883C5E"/>
    <w:rsid w:val="00897507"/>
    <w:rsid w:val="00897ED9"/>
    <w:rsid w:val="008A0962"/>
    <w:rsid w:val="008A34AC"/>
    <w:rsid w:val="008A3EB1"/>
    <w:rsid w:val="008A6CDC"/>
    <w:rsid w:val="008B0D8A"/>
    <w:rsid w:val="008C05CE"/>
    <w:rsid w:val="008C26E7"/>
    <w:rsid w:val="008C4A1C"/>
    <w:rsid w:val="008C4F1C"/>
    <w:rsid w:val="008C596B"/>
    <w:rsid w:val="008C5E5A"/>
    <w:rsid w:val="008D5DC4"/>
    <w:rsid w:val="008D6DCC"/>
    <w:rsid w:val="008D75B6"/>
    <w:rsid w:val="008F4B9B"/>
    <w:rsid w:val="008F4F3E"/>
    <w:rsid w:val="00900DD3"/>
    <w:rsid w:val="0090209B"/>
    <w:rsid w:val="00902D96"/>
    <w:rsid w:val="0090791C"/>
    <w:rsid w:val="009174B7"/>
    <w:rsid w:val="009179BB"/>
    <w:rsid w:val="009239AB"/>
    <w:rsid w:val="009307D3"/>
    <w:rsid w:val="00930A73"/>
    <w:rsid w:val="00931C35"/>
    <w:rsid w:val="00932C47"/>
    <w:rsid w:val="00935045"/>
    <w:rsid w:val="0094096E"/>
    <w:rsid w:val="00941D3C"/>
    <w:rsid w:val="00941E42"/>
    <w:rsid w:val="00943829"/>
    <w:rsid w:val="0095130F"/>
    <w:rsid w:val="00952838"/>
    <w:rsid w:val="00953F18"/>
    <w:rsid w:val="00956308"/>
    <w:rsid w:val="00957000"/>
    <w:rsid w:val="00964D77"/>
    <w:rsid w:val="00971905"/>
    <w:rsid w:val="00974BDA"/>
    <w:rsid w:val="00976516"/>
    <w:rsid w:val="00981368"/>
    <w:rsid w:val="0098462A"/>
    <w:rsid w:val="0099026D"/>
    <w:rsid w:val="009919C9"/>
    <w:rsid w:val="00994AE3"/>
    <w:rsid w:val="00997A29"/>
    <w:rsid w:val="009A1F80"/>
    <w:rsid w:val="009A4C2B"/>
    <w:rsid w:val="009B4748"/>
    <w:rsid w:val="009B71D6"/>
    <w:rsid w:val="009C7B18"/>
    <w:rsid w:val="009D3854"/>
    <w:rsid w:val="009E2C09"/>
    <w:rsid w:val="009E5334"/>
    <w:rsid w:val="009E7508"/>
    <w:rsid w:val="00A05BEB"/>
    <w:rsid w:val="00A10161"/>
    <w:rsid w:val="00A11BDA"/>
    <w:rsid w:val="00A1402B"/>
    <w:rsid w:val="00A1491E"/>
    <w:rsid w:val="00A17540"/>
    <w:rsid w:val="00A268B9"/>
    <w:rsid w:val="00A275D9"/>
    <w:rsid w:val="00A40DF1"/>
    <w:rsid w:val="00A52624"/>
    <w:rsid w:val="00A5558D"/>
    <w:rsid w:val="00A63004"/>
    <w:rsid w:val="00A80BBC"/>
    <w:rsid w:val="00A91914"/>
    <w:rsid w:val="00A95CE4"/>
    <w:rsid w:val="00A95FBC"/>
    <w:rsid w:val="00AA753E"/>
    <w:rsid w:val="00AB32E7"/>
    <w:rsid w:val="00AD1FC7"/>
    <w:rsid w:val="00AD6295"/>
    <w:rsid w:val="00AE40A8"/>
    <w:rsid w:val="00AF11DE"/>
    <w:rsid w:val="00AF3D85"/>
    <w:rsid w:val="00B0081F"/>
    <w:rsid w:val="00B10F37"/>
    <w:rsid w:val="00B13923"/>
    <w:rsid w:val="00B24446"/>
    <w:rsid w:val="00B24EC5"/>
    <w:rsid w:val="00B269B4"/>
    <w:rsid w:val="00B31421"/>
    <w:rsid w:val="00B3195C"/>
    <w:rsid w:val="00B359B0"/>
    <w:rsid w:val="00B36EDF"/>
    <w:rsid w:val="00B41302"/>
    <w:rsid w:val="00B44861"/>
    <w:rsid w:val="00B468C0"/>
    <w:rsid w:val="00B53CD7"/>
    <w:rsid w:val="00B5764C"/>
    <w:rsid w:val="00B64CD9"/>
    <w:rsid w:val="00B66835"/>
    <w:rsid w:val="00B83065"/>
    <w:rsid w:val="00B963CA"/>
    <w:rsid w:val="00BA0FBC"/>
    <w:rsid w:val="00BA135A"/>
    <w:rsid w:val="00BA1E57"/>
    <w:rsid w:val="00BA7174"/>
    <w:rsid w:val="00BB1242"/>
    <w:rsid w:val="00BB49DE"/>
    <w:rsid w:val="00BB7F59"/>
    <w:rsid w:val="00BC16D5"/>
    <w:rsid w:val="00BC5042"/>
    <w:rsid w:val="00BC5177"/>
    <w:rsid w:val="00BC7AFE"/>
    <w:rsid w:val="00BC7BEA"/>
    <w:rsid w:val="00BD0367"/>
    <w:rsid w:val="00BE561D"/>
    <w:rsid w:val="00BF21B7"/>
    <w:rsid w:val="00BF44E6"/>
    <w:rsid w:val="00BF5696"/>
    <w:rsid w:val="00BF5FC8"/>
    <w:rsid w:val="00C00019"/>
    <w:rsid w:val="00C00B9C"/>
    <w:rsid w:val="00C01E72"/>
    <w:rsid w:val="00C04077"/>
    <w:rsid w:val="00C050D2"/>
    <w:rsid w:val="00C057A2"/>
    <w:rsid w:val="00C065B3"/>
    <w:rsid w:val="00C1359C"/>
    <w:rsid w:val="00C16359"/>
    <w:rsid w:val="00C16B72"/>
    <w:rsid w:val="00C205A9"/>
    <w:rsid w:val="00C239BF"/>
    <w:rsid w:val="00C371DF"/>
    <w:rsid w:val="00C45DDE"/>
    <w:rsid w:val="00C5669C"/>
    <w:rsid w:val="00C56C57"/>
    <w:rsid w:val="00C60DC0"/>
    <w:rsid w:val="00C7079D"/>
    <w:rsid w:val="00C752E4"/>
    <w:rsid w:val="00C766CC"/>
    <w:rsid w:val="00C84059"/>
    <w:rsid w:val="00C85576"/>
    <w:rsid w:val="00C87418"/>
    <w:rsid w:val="00CA14B7"/>
    <w:rsid w:val="00CA700B"/>
    <w:rsid w:val="00CB33D8"/>
    <w:rsid w:val="00CB3C72"/>
    <w:rsid w:val="00CC3D9C"/>
    <w:rsid w:val="00CC5E6C"/>
    <w:rsid w:val="00CD1362"/>
    <w:rsid w:val="00CD1954"/>
    <w:rsid w:val="00CD19C5"/>
    <w:rsid w:val="00CD3C27"/>
    <w:rsid w:val="00CE245A"/>
    <w:rsid w:val="00CE4AE3"/>
    <w:rsid w:val="00CE5C66"/>
    <w:rsid w:val="00CE71E0"/>
    <w:rsid w:val="00CF115A"/>
    <w:rsid w:val="00CF46EB"/>
    <w:rsid w:val="00CF7397"/>
    <w:rsid w:val="00D05DFE"/>
    <w:rsid w:val="00D145D5"/>
    <w:rsid w:val="00D33CAC"/>
    <w:rsid w:val="00D33DD8"/>
    <w:rsid w:val="00D36C23"/>
    <w:rsid w:val="00D44995"/>
    <w:rsid w:val="00D47C7F"/>
    <w:rsid w:val="00D623FC"/>
    <w:rsid w:val="00D67B10"/>
    <w:rsid w:val="00D74E4C"/>
    <w:rsid w:val="00D84A8F"/>
    <w:rsid w:val="00DA0DAA"/>
    <w:rsid w:val="00DA1BDD"/>
    <w:rsid w:val="00DB529D"/>
    <w:rsid w:val="00DC501A"/>
    <w:rsid w:val="00DD5BC7"/>
    <w:rsid w:val="00DE1B97"/>
    <w:rsid w:val="00DE2BCB"/>
    <w:rsid w:val="00DE41B1"/>
    <w:rsid w:val="00DE76DD"/>
    <w:rsid w:val="00DF02C9"/>
    <w:rsid w:val="00DF195A"/>
    <w:rsid w:val="00DF3369"/>
    <w:rsid w:val="00DF4EAD"/>
    <w:rsid w:val="00E014CF"/>
    <w:rsid w:val="00E0352D"/>
    <w:rsid w:val="00E03BF1"/>
    <w:rsid w:val="00E03FC5"/>
    <w:rsid w:val="00E10625"/>
    <w:rsid w:val="00E139F2"/>
    <w:rsid w:val="00E157D1"/>
    <w:rsid w:val="00E16E89"/>
    <w:rsid w:val="00E21288"/>
    <w:rsid w:val="00E24BB7"/>
    <w:rsid w:val="00E3484C"/>
    <w:rsid w:val="00E36A27"/>
    <w:rsid w:val="00E37786"/>
    <w:rsid w:val="00E37DCB"/>
    <w:rsid w:val="00E4614D"/>
    <w:rsid w:val="00E53F47"/>
    <w:rsid w:val="00E569CD"/>
    <w:rsid w:val="00E65109"/>
    <w:rsid w:val="00E66FA0"/>
    <w:rsid w:val="00E704C6"/>
    <w:rsid w:val="00E70B74"/>
    <w:rsid w:val="00E71BEF"/>
    <w:rsid w:val="00E803D3"/>
    <w:rsid w:val="00E82DA2"/>
    <w:rsid w:val="00E82FB6"/>
    <w:rsid w:val="00E86108"/>
    <w:rsid w:val="00E95F3A"/>
    <w:rsid w:val="00E95F91"/>
    <w:rsid w:val="00E97819"/>
    <w:rsid w:val="00E97CF7"/>
    <w:rsid w:val="00EB237A"/>
    <w:rsid w:val="00EB42E4"/>
    <w:rsid w:val="00EB5770"/>
    <w:rsid w:val="00EB5821"/>
    <w:rsid w:val="00EB5947"/>
    <w:rsid w:val="00EC29A5"/>
    <w:rsid w:val="00ED28DB"/>
    <w:rsid w:val="00ED59F6"/>
    <w:rsid w:val="00EE219D"/>
    <w:rsid w:val="00EE29D5"/>
    <w:rsid w:val="00EF0AA8"/>
    <w:rsid w:val="00EF2590"/>
    <w:rsid w:val="00EF2FC8"/>
    <w:rsid w:val="00EF5243"/>
    <w:rsid w:val="00EF60CD"/>
    <w:rsid w:val="00F010E1"/>
    <w:rsid w:val="00F016CE"/>
    <w:rsid w:val="00F03A9C"/>
    <w:rsid w:val="00F103B1"/>
    <w:rsid w:val="00F12556"/>
    <w:rsid w:val="00F31211"/>
    <w:rsid w:val="00F33227"/>
    <w:rsid w:val="00F33621"/>
    <w:rsid w:val="00F347FC"/>
    <w:rsid w:val="00F41DC1"/>
    <w:rsid w:val="00F428C1"/>
    <w:rsid w:val="00F4535C"/>
    <w:rsid w:val="00F52B7E"/>
    <w:rsid w:val="00F54165"/>
    <w:rsid w:val="00F5638D"/>
    <w:rsid w:val="00F6363A"/>
    <w:rsid w:val="00F63F6B"/>
    <w:rsid w:val="00F6420A"/>
    <w:rsid w:val="00F6579F"/>
    <w:rsid w:val="00F74565"/>
    <w:rsid w:val="00F86FA1"/>
    <w:rsid w:val="00F95A8B"/>
    <w:rsid w:val="00FA531B"/>
    <w:rsid w:val="00FC16FB"/>
    <w:rsid w:val="00FC37D3"/>
    <w:rsid w:val="00FC4A5C"/>
    <w:rsid w:val="00FD1F64"/>
    <w:rsid w:val="00FD3426"/>
    <w:rsid w:val="00FE5F5F"/>
    <w:rsid w:val="00FE6D11"/>
    <w:rsid w:val="00FF035C"/>
    <w:rsid w:val="00FF309C"/>
    <w:rsid w:val="00FF7DF7"/>
    <w:rsid w:val="488E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4F8AB"/>
  <w15:docId w15:val="{4088CBD8-869F-4E9C-963D-CD506A76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2E7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es-DO"/>
    </w:rPr>
  </w:style>
  <w:style w:type="character" w:customStyle="1" w:styleId="FooterChar">
    <w:name w:val="Footer Char"/>
    <w:basedOn w:val="DefaultParagraphFont"/>
    <w:link w:val="Footer"/>
    <w:uiPriority w:val="99"/>
    <w:rPr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D6C"/>
    <w:rPr>
      <w:rFonts w:ascii="Segoe UI" w:hAnsi="Segoe UI" w:cs="Segoe UI"/>
      <w:sz w:val="18"/>
      <w:szCs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310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3102"/>
    <w:rPr>
      <w:rFonts w:ascii="Consolas" w:hAnsi="Consolas"/>
      <w:lang w:eastAsia="en-US"/>
    </w:rPr>
  </w:style>
  <w:style w:type="character" w:styleId="Hyperlink">
    <w:name w:val="Hyperlink"/>
    <w:basedOn w:val="DefaultParagraphFont"/>
    <w:uiPriority w:val="99"/>
    <w:unhideWhenUsed/>
    <w:rsid w:val="007220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0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5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0b735ff6708fc8c8beb61a0e3700b1e7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6d0b6c1071bb82aac96fdd58ad4b5777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2e4527-2efa-4ade-b3d6-b2418af14986">
      <UserInfo>
        <DisplayName/>
        <AccountId xsi:nil="true"/>
        <AccountType/>
      </UserInfo>
    </SharedWithUsers>
    <Category xmlns="d42e65b2-cf21-49c1-b27d-d23f90380c0e">States</Category>
    <Doctype xmlns="d42e65b2-cf21-49c1-b27d-d23f90380c0e">input</Doctype>
    <Contributor xmlns="d42e65b2-cf21-49c1-b27d-d23f90380c0e">Dominican Republic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D6CAEB63-F38B-4CDF-A12F-2CF45354EA8C}"/>
</file>

<file path=customXml/itemProps2.xml><?xml version="1.0" encoding="utf-8"?>
<ds:datastoreItem xmlns:ds="http://schemas.openxmlformats.org/officeDocument/2006/customXml" ds:itemID="{4FC2142B-97D5-4AE4-8FD0-93B260BE6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737B4B7-E8CC-405D-A5CE-A0A7B0289BF9}">
  <ds:schemaRefs>
    <ds:schemaRef ds:uri="http://schemas.microsoft.com/office/2006/documentManagement/types"/>
    <ds:schemaRef ds:uri="http://purl.org/dc/terms/"/>
    <ds:schemaRef ds:uri="dde0ec8c-57d9-48ca-820d-2254a79dd3c3"/>
    <ds:schemaRef ds:uri="http://purl.org/dc/dcmitype/"/>
    <ds:schemaRef ds:uri="0314c119-7b3a-4a84-ba4c-ba2880b6cd3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Metivier Mena</dc:creator>
  <cp:lastModifiedBy>OHCHR</cp:lastModifiedBy>
  <cp:revision>2</cp:revision>
  <cp:lastPrinted>2023-10-05T19:04:00Z</cp:lastPrinted>
  <dcterms:created xsi:type="dcterms:W3CDTF">2024-03-18T15:08:00Z</dcterms:created>
  <dcterms:modified xsi:type="dcterms:W3CDTF">2024-03-18T15:08:00Z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  <property fmtid="{D5CDD505-2E9C-101B-9397-08002B2CF9AE}" pid="3" name="ContentTypeId">
    <vt:lpwstr>0x0101009D953D6983EF5F4EB0B6A5354F975E96</vt:lpwstr>
  </property>
  <property fmtid="{D5CDD505-2E9C-101B-9397-08002B2CF9AE}" pid="4" name="Order">
    <vt:r8>550700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