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8C0F5" w14:textId="77777777" w:rsidR="00156DEB" w:rsidRDefault="00156DEB" w:rsidP="00156DEB">
      <w:pPr>
        <w:jc w:val="center"/>
        <w:rPr>
          <w:lang w:val="en-GB"/>
        </w:rPr>
      </w:pPr>
      <w:r>
        <w:rPr>
          <w:noProof/>
          <w:lang w:val="es-ES" w:eastAsia="es-ES"/>
        </w:rPr>
        <w:drawing>
          <wp:inline distT="0" distB="0" distL="0" distR="0" wp14:anchorId="53350D21" wp14:editId="3545904B">
            <wp:extent cx="781050" cy="7334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1050" cy="733425"/>
                    </a:xfrm>
                    <a:prstGeom prst="rect">
                      <a:avLst/>
                    </a:prstGeom>
                    <a:noFill/>
                  </pic:spPr>
                </pic:pic>
              </a:graphicData>
            </a:graphic>
          </wp:inline>
        </w:drawing>
      </w:r>
    </w:p>
    <w:p w14:paraId="447F58A3" w14:textId="77777777" w:rsidR="00156DEB" w:rsidRDefault="00156DEB" w:rsidP="00156DEB">
      <w:pPr>
        <w:jc w:val="center"/>
        <w:rPr>
          <w:lang w:val="en-GB"/>
        </w:rPr>
      </w:pPr>
      <w:r w:rsidRPr="00156DEB">
        <w:rPr>
          <w:noProof/>
          <w:lang w:val="es-ES" w:eastAsia="es-ES"/>
        </w:rPr>
        <w:drawing>
          <wp:inline distT="0" distB="0" distL="0" distR="0" wp14:anchorId="48BD6DE7" wp14:editId="262E1CE6">
            <wp:extent cx="5400040" cy="704767"/>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40" cy="704767"/>
                    </a:xfrm>
                    <a:prstGeom prst="rect">
                      <a:avLst/>
                    </a:prstGeom>
                    <a:noFill/>
                    <a:ln>
                      <a:noFill/>
                    </a:ln>
                  </pic:spPr>
                </pic:pic>
              </a:graphicData>
            </a:graphic>
          </wp:inline>
        </w:drawing>
      </w:r>
    </w:p>
    <w:p w14:paraId="647832B0" w14:textId="77777777" w:rsidR="001E71EC" w:rsidRPr="00DF3359" w:rsidRDefault="00156DEB" w:rsidP="00D464A5">
      <w:pPr>
        <w:pStyle w:val="NoSpacing"/>
        <w:ind w:left="426"/>
        <w:jc w:val="center"/>
        <w:rPr>
          <w:b/>
          <w:i/>
          <w:lang w:val="en-GB"/>
        </w:rPr>
      </w:pPr>
      <w:r w:rsidRPr="00DF3359">
        <w:rPr>
          <w:b/>
          <w:i/>
          <w:lang w:val="en-GB"/>
        </w:rPr>
        <w:t>Best Practices in the Contribution of Development to the Promotion and Protection of Human Rights</w:t>
      </w:r>
      <w:r w:rsidR="000D6BA9" w:rsidRPr="00DF3359">
        <w:rPr>
          <w:b/>
          <w:i/>
          <w:lang w:val="en-GB"/>
        </w:rPr>
        <w:t xml:space="preserve"> in the context of recovery from the COVID-19 pandemic</w:t>
      </w:r>
    </w:p>
    <w:p w14:paraId="723D8318" w14:textId="77777777" w:rsidR="00DF3359" w:rsidRDefault="00DF3359" w:rsidP="00DF3359">
      <w:pPr>
        <w:pStyle w:val="NoSpacing"/>
        <w:rPr>
          <w:lang w:val="en-GB"/>
        </w:rPr>
      </w:pPr>
    </w:p>
    <w:p w14:paraId="3CDB24E8" w14:textId="77777777" w:rsidR="00E951F2" w:rsidRDefault="00E951F2" w:rsidP="00DF3359">
      <w:pPr>
        <w:pStyle w:val="NoSpacing"/>
        <w:rPr>
          <w:lang w:val="en-GB"/>
        </w:rPr>
      </w:pPr>
    </w:p>
    <w:p w14:paraId="3E23B56B" w14:textId="77777777" w:rsidR="00156DEB" w:rsidRPr="003C513E" w:rsidRDefault="00156DEB" w:rsidP="003C513E">
      <w:pPr>
        <w:pStyle w:val="ListParagraph"/>
        <w:numPr>
          <w:ilvl w:val="0"/>
          <w:numId w:val="1"/>
        </w:numPr>
        <w:jc w:val="both"/>
        <w:rPr>
          <w:b/>
          <w:lang w:val="en-GB"/>
        </w:rPr>
      </w:pPr>
      <w:r w:rsidRPr="003C513E">
        <w:rPr>
          <w:b/>
          <w:lang w:val="en-GB"/>
        </w:rPr>
        <w:t>Can you share best practices and lessons learned on policies, initiatives, mechanisms, safeguards or emergency packages that have been put in place by your government to tackle rising poverty and inequalities in the context of recovery from the COVID-19 pandemic, that helped advance human rights including the right to development?</w:t>
      </w:r>
    </w:p>
    <w:p w14:paraId="7AF39B3D" w14:textId="4A8CADC7" w:rsidR="00E951F2" w:rsidRDefault="00156DEB" w:rsidP="00E951F2">
      <w:pPr>
        <w:pStyle w:val="NoSpacing"/>
        <w:ind w:left="708"/>
        <w:jc w:val="both"/>
        <w:rPr>
          <w:lang w:val="en-GB"/>
        </w:rPr>
      </w:pPr>
      <w:r w:rsidRPr="006234B1">
        <w:rPr>
          <w:u w:val="single"/>
          <w:lang w:val="en-GB"/>
        </w:rPr>
        <w:t xml:space="preserve">Emergency Family </w:t>
      </w:r>
      <w:r w:rsidRPr="00F31A4E">
        <w:rPr>
          <w:u w:val="single"/>
          <w:lang w:val="en-GB"/>
        </w:rPr>
        <w:t>Income</w:t>
      </w:r>
      <w:r w:rsidRPr="006234B1">
        <w:rPr>
          <w:lang w:val="en-GB"/>
        </w:rPr>
        <w:t xml:space="preserve"> (IFE</w:t>
      </w:r>
      <w:r w:rsidR="003D483F">
        <w:rPr>
          <w:lang w:val="en-GB"/>
        </w:rPr>
        <w:t>, Spanish acronym</w:t>
      </w:r>
      <w:r w:rsidRPr="006234B1">
        <w:rPr>
          <w:lang w:val="en-GB"/>
        </w:rPr>
        <w:t>)</w:t>
      </w:r>
      <w:r w:rsidR="00930DA9">
        <w:rPr>
          <w:lang w:val="en-GB"/>
        </w:rPr>
        <w:t>:</w:t>
      </w:r>
      <w:r w:rsidR="00074E55">
        <w:rPr>
          <w:lang w:val="en-GB"/>
        </w:rPr>
        <w:t xml:space="preserve"> </w:t>
      </w:r>
      <w:r w:rsidR="00841973">
        <w:rPr>
          <w:lang w:val="en-GB"/>
        </w:rPr>
        <w:t xml:space="preserve">cash </w:t>
      </w:r>
      <w:r w:rsidR="00227C25">
        <w:rPr>
          <w:lang w:val="en-GB"/>
        </w:rPr>
        <w:t xml:space="preserve">transfers </w:t>
      </w:r>
      <w:r w:rsidR="00DD2EE2">
        <w:rPr>
          <w:lang w:val="en-GB"/>
        </w:rPr>
        <w:t>to</w:t>
      </w:r>
      <w:r w:rsidR="00041931">
        <w:rPr>
          <w:lang w:val="en-GB"/>
        </w:rPr>
        <w:t xml:space="preserve"> infor</w:t>
      </w:r>
      <w:r w:rsidR="00930DA9" w:rsidRPr="00930DA9">
        <w:rPr>
          <w:lang w:val="en-GB"/>
        </w:rPr>
        <w:t xml:space="preserve">mal </w:t>
      </w:r>
      <w:r w:rsidR="00DD2EE2">
        <w:rPr>
          <w:lang w:val="en-GB"/>
        </w:rPr>
        <w:t xml:space="preserve">sector </w:t>
      </w:r>
      <w:r w:rsidR="00930DA9" w:rsidRPr="00930DA9">
        <w:rPr>
          <w:lang w:val="en-GB"/>
        </w:rPr>
        <w:t xml:space="preserve">workers, the unemployed and </w:t>
      </w:r>
      <w:r w:rsidR="000627DD">
        <w:rPr>
          <w:lang w:val="en-GB"/>
        </w:rPr>
        <w:t xml:space="preserve">low-income workers registered with the </w:t>
      </w:r>
      <w:r w:rsidR="000D745A">
        <w:rPr>
          <w:lang w:val="en-GB"/>
        </w:rPr>
        <w:t>mono</w:t>
      </w:r>
      <w:r w:rsidR="000627DD">
        <w:rPr>
          <w:lang w:val="en-GB"/>
        </w:rPr>
        <w:t>-</w:t>
      </w:r>
      <w:r w:rsidR="000D745A">
        <w:rPr>
          <w:lang w:val="en-GB"/>
        </w:rPr>
        <w:t xml:space="preserve">tax </w:t>
      </w:r>
      <w:r w:rsidR="000627DD">
        <w:rPr>
          <w:lang w:val="en-GB"/>
        </w:rPr>
        <w:t>regime</w:t>
      </w:r>
      <w:r w:rsidR="000D745A">
        <w:rPr>
          <w:lang w:val="en-GB"/>
        </w:rPr>
        <w:t xml:space="preserve">. </w:t>
      </w:r>
      <w:r w:rsidR="00841973">
        <w:rPr>
          <w:lang w:val="en-GB"/>
        </w:rPr>
        <w:t>This initiative</w:t>
      </w:r>
      <w:r w:rsidR="00930DA9" w:rsidRPr="00930DA9">
        <w:rPr>
          <w:lang w:val="en-GB"/>
        </w:rPr>
        <w:t xml:space="preserve"> proved</w:t>
      </w:r>
      <w:r w:rsidR="00841973">
        <w:rPr>
          <w:lang w:val="en-GB"/>
        </w:rPr>
        <w:t xml:space="preserve"> to be</w:t>
      </w:r>
      <w:r w:rsidR="00930DA9" w:rsidRPr="00930DA9">
        <w:rPr>
          <w:lang w:val="en-GB"/>
        </w:rPr>
        <w:t xml:space="preserve"> essential to protect </w:t>
      </w:r>
      <w:r w:rsidR="00BF61D2">
        <w:rPr>
          <w:lang w:val="en-GB"/>
        </w:rPr>
        <w:t>the most vulnerable sectors of society</w:t>
      </w:r>
      <w:r w:rsidR="00930DA9" w:rsidRPr="00930DA9">
        <w:rPr>
          <w:lang w:val="en-GB"/>
        </w:rPr>
        <w:t xml:space="preserve"> and </w:t>
      </w:r>
      <w:r w:rsidR="00A55075">
        <w:rPr>
          <w:lang w:val="en-GB"/>
        </w:rPr>
        <w:t xml:space="preserve">to </w:t>
      </w:r>
      <w:r w:rsidR="00930DA9" w:rsidRPr="00930DA9">
        <w:rPr>
          <w:lang w:val="en-GB"/>
        </w:rPr>
        <w:t xml:space="preserve">prevent a dramatic </w:t>
      </w:r>
      <w:r w:rsidR="00227C25">
        <w:rPr>
          <w:lang w:val="en-GB"/>
        </w:rPr>
        <w:t>rise of</w:t>
      </w:r>
      <w:r w:rsidR="00930DA9" w:rsidRPr="00930DA9">
        <w:rPr>
          <w:lang w:val="en-GB"/>
        </w:rPr>
        <w:t xml:space="preserve"> extreme poverty</w:t>
      </w:r>
      <w:r w:rsidR="003D483F">
        <w:rPr>
          <w:lang w:val="en-GB"/>
        </w:rPr>
        <w:t xml:space="preserve">. </w:t>
      </w:r>
    </w:p>
    <w:p w14:paraId="6E977D66" w14:textId="77777777" w:rsidR="00E951F2" w:rsidRDefault="00E951F2" w:rsidP="00E951F2">
      <w:pPr>
        <w:pStyle w:val="NoSpacing"/>
        <w:ind w:left="708"/>
        <w:jc w:val="both"/>
        <w:rPr>
          <w:u w:val="single"/>
          <w:lang w:val="en-GB"/>
        </w:rPr>
      </w:pPr>
    </w:p>
    <w:p w14:paraId="44B2B734" w14:textId="77777777" w:rsidR="00156DEB" w:rsidRDefault="003D483F" w:rsidP="00E951F2">
      <w:pPr>
        <w:pStyle w:val="NoSpacing"/>
        <w:ind w:left="708"/>
        <w:jc w:val="both"/>
        <w:rPr>
          <w:lang w:val="en-GB"/>
        </w:rPr>
      </w:pPr>
      <w:r w:rsidRPr="003D483F">
        <w:rPr>
          <w:u w:val="single"/>
          <w:lang w:val="en-GB"/>
        </w:rPr>
        <w:t>Food aid</w:t>
      </w:r>
      <w:r w:rsidR="00690EF2" w:rsidRPr="00690EF2">
        <w:rPr>
          <w:lang w:val="en-GB"/>
        </w:rPr>
        <w:t>:</w:t>
      </w:r>
      <w:r w:rsidR="00A55075">
        <w:rPr>
          <w:lang w:val="en-GB"/>
        </w:rPr>
        <w:t xml:space="preserve"> </w:t>
      </w:r>
      <w:r w:rsidR="00227C25">
        <w:rPr>
          <w:lang w:val="en-GB"/>
        </w:rPr>
        <w:t xml:space="preserve">a COVID-19 </w:t>
      </w:r>
      <w:r w:rsidR="00DD2EE2">
        <w:rPr>
          <w:lang w:val="en-GB"/>
        </w:rPr>
        <w:t xml:space="preserve">emergency </w:t>
      </w:r>
      <w:r w:rsidR="00227C25">
        <w:rPr>
          <w:lang w:val="en-GB"/>
        </w:rPr>
        <w:t xml:space="preserve">measure aimed at ensuring access to food for high-risk groups. </w:t>
      </w:r>
      <w:r w:rsidR="00A55075">
        <w:rPr>
          <w:lang w:val="en-GB"/>
        </w:rPr>
        <w:t>This</w:t>
      </w:r>
      <w:r w:rsidRPr="003D483F">
        <w:rPr>
          <w:lang w:val="en-GB"/>
        </w:rPr>
        <w:t xml:space="preserve"> </w:t>
      </w:r>
      <w:r w:rsidR="008F6BCB">
        <w:rPr>
          <w:lang w:val="en-GB"/>
        </w:rPr>
        <w:t>benefit</w:t>
      </w:r>
      <w:r w:rsidRPr="003D483F">
        <w:rPr>
          <w:lang w:val="en-GB"/>
        </w:rPr>
        <w:t xml:space="preserve"> took the form of </w:t>
      </w:r>
      <w:r w:rsidR="008F6BCB">
        <w:rPr>
          <w:lang w:val="en-GB"/>
        </w:rPr>
        <w:t>a</w:t>
      </w:r>
      <w:r w:rsidR="00227C25">
        <w:rPr>
          <w:lang w:val="en-GB"/>
        </w:rPr>
        <w:t xml:space="preserve"> debit card: </w:t>
      </w:r>
      <w:r w:rsidR="00457D89">
        <w:rPr>
          <w:lang w:val="en-GB"/>
        </w:rPr>
        <w:t xml:space="preserve">the </w:t>
      </w:r>
      <w:r w:rsidR="00227C25">
        <w:rPr>
          <w:lang w:val="en-GB"/>
        </w:rPr>
        <w:t>“</w:t>
      </w:r>
      <w:r w:rsidR="00457D89">
        <w:rPr>
          <w:lang w:val="en-GB"/>
        </w:rPr>
        <w:t>f</w:t>
      </w:r>
      <w:r w:rsidR="00227C25">
        <w:rPr>
          <w:lang w:val="en-GB"/>
        </w:rPr>
        <w:t xml:space="preserve">ood </w:t>
      </w:r>
      <w:r w:rsidR="00457D89">
        <w:rPr>
          <w:lang w:val="en-GB"/>
        </w:rPr>
        <w:t>c</w:t>
      </w:r>
      <w:r w:rsidR="00227C25">
        <w:rPr>
          <w:lang w:val="en-GB"/>
        </w:rPr>
        <w:t>ard” (</w:t>
      </w:r>
      <w:r>
        <w:rPr>
          <w:lang w:val="en-GB"/>
        </w:rPr>
        <w:t>TA, Spanish acronym)</w:t>
      </w:r>
      <w:r w:rsidRPr="003D483F">
        <w:rPr>
          <w:lang w:val="en-GB"/>
        </w:rPr>
        <w:t>, one of the</w:t>
      </w:r>
      <w:r w:rsidR="008F6BCB">
        <w:rPr>
          <w:lang w:val="en-GB"/>
        </w:rPr>
        <w:t xml:space="preserve"> constitutive </w:t>
      </w:r>
      <w:r w:rsidR="00A55075">
        <w:rPr>
          <w:lang w:val="en-GB"/>
        </w:rPr>
        <w:t>elements</w:t>
      </w:r>
      <w:r w:rsidRPr="003D483F">
        <w:rPr>
          <w:lang w:val="en-GB"/>
        </w:rPr>
        <w:t xml:space="preserve"> of the</w:t>
      </w:r>
      <w:r>
        <w:rPr>
          <w:lang w:val="en-GB"/>
        </w:rPr>
        <w:t xml:space="preserve"> </w:t>
      </w:r>
      <w:r w:rsidRPr="003D483F">
        <w:rPr>
          <w:i/>
          <w:lang w:val="en-GB"/>
        </w:rPr>
        <w:t>National Plan to Eradicate Hunger</w:t>
      </w:r>
      <w:r w:rsidR="00930DA9" w:rsidRPr="003D483F">
        <w:rPr>
          <w:i/>
          <w:lang w:val="en-GB"/>
        </w:rPr>
        <w:t xml:space="preserve"> </w:t>
      </w:r>
      <w:r w:rsidR="00930DA9" w:rsidRPr="003D483F">
        <w:rPr>
          <w:lang w:val="en-GB"/>
        </w:rPr>
        <w:t>(PACH, Spanish</w:t>
      </w:r>
      <w:r>
        <w:rPr>
          <w:lang w:val="en-GB"/>
        </w:rPr>
        <w:t xml:space="preserve"> acronym</w:t>
      </w:r>
      <w:r w:rsidR="00930DA9" w:rsidRPr="003D483F">
        <w:rPr>
          <w:lang w:val="en-GB"/>
        </w:rPr>
        <w:t>).</w:t>
      </w:r>
    </w:p>
    <w:p w14:paraId="172B1731" w14:textId="77777777" w:rsidR="00AB2F80" w:rsidRPr="003D483F" w:rsidRDefault="00AB2F80" w:rsidP="00E951F2">
      <w:pPr>
        <w:pStyle w:val="NoSpacing"/>
        <w:ind w:left="708"/>
        <w:jc w:val="both"/>
        <w:rPr>
          <w:lang w:val="en-GB"/>
        </w:rPr>
      </w:pPr>
    </w:p>
    <w:p w14:paraId="6B256959" w14:textId="77777777" w:rsidR="00156DEB" w:rsidRPr="00156DEB" w:rsidRDefault="00156DEB" w:rsidP="00103841">
      <w:pPr>
        <w:ind w:left="708"/>
        <w:jc w:val="both"/>
        <w:rPr>
          <w:lang w:val="en-GB"/>
        </w:rPr>
      </w:pPr>
      <w:r w:rsidRPr="00372C76">
        <w:rPr>
          <w:u w:val="single"/>
          <w:lang w:val="en-GB"/>
        </w:rPr>
        <w:t>Conditional Cash Transfer</w:t>
      </w:r>
      <w:r w:rsidR="003E3038" w:rsidRPr="00372C76">
        <w:rPr>
          <w:u w:val="single"/>
          <w:lang w:val="en-GB"/>
        </w:rPr>
        <w:t xml:space="preserve"> Programme</w:t>
      </w:r>
      <w:r w:rsidR="00B02684" w:rsidRPr="00372C76">
        <w:rPr>
          <w:lang w:val="en-GB"/>
        </w:rPr>
        <w:t xml:space="preserve"> (CCT</w:t>
      </w:r>
      <w:r w:rsidR="003E3038" w:rsidRPr="00372C76">
        <w:rPr>
          <w:lang w:val="en-GB"/>
        </w:rPr>
        <w:t>, Spanish acronym</w:t>
      </w:r>
      <w:r w:rsidR="00B02684">
        <w:rPr>
          <w:u w:val="single"/>
          <w:lang w:val="en-GB"/>
        </w:rPr>
        <w:t>)</w:t>
      </w:r>
      <w:r w:rsidRPr="00156DEB">
        <w:rPr>
          <w:lang w:val="en-GB"/>
        </w:rPr>
        <w:t>:</w:t>
      </w:r>
      <w:r w:rsidR="008F6BCB">
        <w:rPr>
          <w:lang w:val="en-GB"/>
        </w:rPr>
        <w:t xml:space="preserve"> </w:t>
      </w:r>
      <w:r w:rsidR="003E3038">
        <w:rPr>
          <w:lang w:val="en-GB"/>
        </w:rPr>
        <w:t xml:space="preserve">cash </w:t>
      </w:r>
      <w:r w:rsidR="00227C25">
        <w:rPr>
          <w:lang w:val="en-GB"/>
        </w:rPr>
        <w:t xml:space="preserve">benefits, </w:t>
      </w:r>
      <w:r w:rsidR="00352A03">
        <w:rPr>
          <w:lang w:val="en-GB"/>
        </w:rPr>
        <w:t>such as</w:t>
      </w:r>
      <w:r w:rsidR="00DD2EE2" w:rsidRPr="00DD2EE2">
        <w:rPr>
          <w:lang w:val="en-GB"/>
        </w:rPr>
        <w:t xml:space="preserve"> the </w:t>
      </w:r>
      <w:r w:rsidR="00DD2EE2" w:rsidRPr="00DD2EE2">
        <w:rPr>
          <w:i/>
          <w:lang w:val="en-GB"/>
        </w:rPr>
        <w:t>Universal Child Allowance for Social Protection</w:t>
      </w:r>
      <w:r w:rsidR="00DD2EE2" w:rsidRPr="00DD2EE2">
        <w:rPr>
          <w:lang w:val="en-GB"/>
        </w:rPr>
        <w:t xml:space="preserve"> (AUH, Spanish acronym)</w:t>
      </w:r>
      <w:r w:rsidR="00352A03">
        <w:rPr>
          <w:lang w:val="en-GB"/>
        </w:rPr>
        <w:t>,</w:t>
      </w:r>
      <w:r w:rsidR="00DD2EE2" w:rsidRPr="00352A03">
        <w:rPr>
          <w:lang w:val="en-GB"/>
        </w:rPr>
        <w:t xml:space="preserve"> </w:t>
      </w:r>
      <w:r w:rsidR="00352A03">
        <w:rPr>
          <w:lang w:val="en-GB"/>
        </w:rPr>
        <w:t xml:space="preserve">that have been </w:t>
      </w:r>
      <w:r w:rsidR="00DD2EE2" w:rsidRPr="00DD2EE2">
        <w:rPr>
          <w:lang w:val="en-GB"/>
        </w:rPr>
        <w:t>reinforced and expanded</w:t>
      </w:r>
      <w:r w:rsidR="00DD2EE2">
        <w:rPr>
          <w:lang w:val="en-GB"/>
        </w:rPr>
        <w:t xml:space="preserve"> </w:t>
      </w:r>
      <w:r w:rsidR="00227C25">
        <w:rPr>
          <w:lang w:val="en-GB"/>
        </w:rPr>
        <w:t xml:space="preserve">to </w:t>
      </w:r>
      <w:r w:rsidR="00170E2B">
        <w:rPr>
          <w:lang w:val="en-GB"/>
        </w:rPr>
        <w:t>ensure</w:t>
      </w:r>
      <w:r w:rsidR="00432701" w:rsidRPr="00432701">
        <w:rPr>
          <w:lang w:val="en-GB"/>
        </w:rPr>
        <w:t xml:space="preserve"> a minimum income </w:t>
      </w:r>
      <w:r w:rsidR="00352A03">
        <w:rPr>
          <w:lang w:val="en-GB"/>
        </w:rPr>
        <w:t>for</w:t>
      </w:r>
      <w:r w:rsidR="00432701" w:rsidRPr="00432701">
        <w:rPr>
          <w:lang w:val="en-GB"/>
        </w:rPr>
        <w:t xml:space="preserve"> </w:t>
      </w:r>
      <w:r w:rsidR="00432701" w:rsidRPr="00BF61D2">
        <w:rPr>
          <w:lang w:val="en-GB"/>
        </w:rPr>
        <w:t>the most vulnerable families</w:t>
      </w:r>
      <w:r w:rsidR="00352A03">
        <w:rPr>
          <w:lang w:val="en-GB"/>
        </w:rPr>
        <w:t>.</w:t>
      </w:r>
      <w:r w:rsidR="00432701" w:rsidRPr="00432701">
        <w:rPr>
          <w:lang w:val="en-GB"/>
        </w:rPr>
        <w:t xml:space="preserve"> </w:t>
      </w:r>
    </w:p>
    <w:p w14:paraId="15475E2A" w14:textId="77777777" w:rsidR="00352A03" w:rsidRPr="00352A03" w:rsidRDefault="00156DEB" w:rsidP="00352A03">
      <w:pPr>
        <w:pStyle w:val="NoSpacing"/>
        <w:ind w:left="708"/>
        <w:jc w:val="both"/>
        <w:rPr>
          <w:lang w:val="en-GB"/>
        </w:rPr>
      </w:pPr>
      <w:r w:rsidRPr="006234B1">
        <w:rPr>
          <w:u w:val="single"/>
          <w:lang w:val="en-GB"/>
        </w:rPr>
        <w:t xml:space="preserve">Emergency </w:t>
      </w:r>
      <w:r w:rsidR="006863D6">
        <w:rPr>
          <w:u w:val="single"/>
          <w:lang w:val="en-GB"/>
        </w:rPr>
        <w:t xml:space="preserve">Assistance Programme to </w:t>
      </w:r>
      <w:r w:rsidR="00432701">
        <w:rPr>
          <w:u w:val="single"/>
          <w:lang w:val="en-GB"/>
        </w:rPr>
        <w:t>Labour and Production</w:t>
      </w:r>
      <w:r w:rsidRPr="00D714FD">
        <w:rPr>
          <w:lang w:val="en-GB"/>
        </w:rPr>
        <w:t xml:space="preserve"> (ATP</w:t>
      </w:r>
      <w:r w:rsidR="00D714FD" w:rsidRPr="00D714FD">
        <w:rPr>
          <w:lang w:val="en-GB"/>
        </w:rPr>
        <w:t>,</w:t>
      </w:r>
      <w:r w:rsidR="00242C7F">
        <w:rPr>
          <w:lang w:val="en-GB"/>
        </w:rPr>
        <w:t xml:space="preserve"> </w:t>
      </w:r>
      <w:r w:rsidR="00D714FD" w:rsidRPr="00D714FD">
        <w:rPr>
          <w:lang w:val="en-GB"/>
        </w:rPr>
        <w:t>Spa</w:t>
      </w:r>
      <w:r w:rsidR="00D714FD">
        <w:rPr>
          <w:lang w:val="en-GB"/>
        </w:rPr>
        <w:t>n</w:t>
      </w:r>
      <w:r w:rsidR="00D714FD" w:rsidRPr="00D714FD">
        <w:rPr>
          <w:lang w:val="en-GB"/>
        </w:rPr>
        <w:t>ish acronym</w:t>
      </w:r>
      <w:r w:rsidRPr="00352A03">
        <w:rPr>
          <w:lang w:val="en-GB"/>
        </w:rPr>
        <w:t>)</w:t>
      </w:r>
      <w:r w:rsidRPr="00156DEB">
        <w:rPr>
          <w:lang w:val="en-GB"/>
        </w:rPr>
        <w:t xml:space="preserve">: </w:t>
      </w:r>
      <w:r w:rsidR="00E951F2">
        <w:rPr>
          <w:lang w:val="en-GB"/>
        </w:rPr>
        <w:t>a</w:t>
      </w:r>
      <w:r w:rsidR="00352A03" w:rsidRPr="00352A03">
        <w:rPr>
          <w:lang w:val="en-GB"/>
        </w:rPr>
        <w:t xml:space="preserve"> government aid program</w:t>
      </w:r>
      <w:r w:rsidR="00242C7F">
        <w:rPr>
          <w:lang w:val="en-GB"/>
        </w:rPr>
        <w:t>me</w:t>
      </w:r>
      <w:r w:rsidR="00352A03" w:rsidRPr="00352A03">
        <w:rPr>
          <w:lang w:val="en-GB"/>
        </w:rPr>
        <w:t xml:space="preserve"> for the private sector to maintain </w:t>
      </w:r>
      <w:r w:rsidR="00242C7F">
        <w:rPr>
          <w:lang w:val="en-GB"/>
        </w:rPr>
        <w:t>salaries</w:t>
      </w:r>
      <w:r w:rsidR="00352A03" w:rsidRPr="00352A03">
        <w:rPr>
          <w:lang w:val="en-GB"/>
        </w:rPr>
        <w:t xml:space="preserve"> and avoid redundancies due to the contraction of productive activities</w:t>
      </w:r>
      <w:r w:rsidR="00E951F2">
        <w:rPr>
          <w:lang w:val="en-GB"/>
        </w:rPr>
        <w:t xml:space="preserve">. </w:t>
      </w:r>
    </w:p>
    <w:p w14:paraId="6DF43B36" w14:textId="77777777" w:rsidR="00352A03" w:rsidRDefault="00352A03" w:rsidP="00352A03">
      <w:pPr>
        <w:pStyle w:val="NoSpacing"/>
        <w:ind w:left="708"/>
        <w:jc w:val="both"/>
        <w:rPr>
          <w:b/>
          <w:lang w:val="en-GB"/>
        </w:rPr>
      </w:pPr>
    </w:p>
    <w:p w14:paraId="4D906B2C" w14:textId="77777777" w:rsidR="00156DEB" w:rsidRDefault="00156DEB" w:rsidP="00242C7F">
      <w:pPr>
        <w:pStyle w:val="NoSpacing"/>
        <w:numPr>
          <w:ilvl w:val="0"/>
          <w:numId w:val="3"/>
        </w:numPr>
        <w:jc w:val="both"/>
        <w:rPr>
          <w:b/>
          <w:lang w:val="en-GB"/>
        </w:rPr>
      </w:pPr>
      <w:r w:rsidRPr="003C513E">
        <w:rPr>
          <w:b/>
          <w:lang w:val="en-GB"/>
        </w:rPr>
        <w:t>Can you highlight initiatives or strategies that proved effective to protect disadvantaged groups’ rights and prevent that they be pushed further behind?</w:t>
      </w:r>
    </w:p>
    <w:p w14:paraId="386C47D5" w14:textId="77777777" w:rsidR="00E951F2" w:rsidRPr="003C513E" w:rsidRDefault="00E951F2" w:rsidP="00242C7F">
      <w:pPr>
        <w:pStyle w:val="NoSpacing"/>
        <w:jc w:val="both"/>
        <w:rPr>
          <w:b/>
          <w:lang w:val="en-GB"/>
        </w:rPr>
      </w:pPr>
    </w:p>
    <w:p w14:paraId="2D0C8FD8" w14:textId="77777777" w:rsidR="00917D93" w:rsidRPr="00917D93" w:rsidRDefault="006234B1" w:rsidP="0039365C">
      <w:pPr>
        <w:pStyle w:val="NoSpacing"/>
        <w:ind w:left="708"/>
        <w:jc w:val="both"/>
        <w:rPr>
          <w:lang w:val="en-GB"/>
        </w:rPr>
      </w:pPr>
      <w:r w:rsidRPr="00557D26">
        <w:rPr>
          <w:u w:val="single"/>
          <w:lang w:val="en-GB"/>
        </w:rPr>
        <w:t>National Digital Inclusion Plan</w:t>
      </w:r>
      <w:r w:rsidRPr="006234B1">
        <w:rPr>
          <w:lang w:val="en-GB"/>
        </w:rPr>
        <w:t>:</w:t>
      </w:r>
      <w:r w:rsidR="00795393" w:rsidRPr="00795393">
        <w:rPr>
          <w:lang w:val="en-GB"/>
        </w:rPr>
        <w:t xml:space="preserve"> </w:t>
      </w:r>
      <w:r w:rsidR="00FC4DDF" w:rsidRPr="00FC4DDF">
        <w:rPr>
          <w:lang w:val="en-GB"/>
        </w:rPr>
        <w:t xml:space="preserve">The plan was created to reduce the digital divide that had significantly increased during the pandemic </w:t>
      </w:r>
      <w:r w:rsidR="00E951F2">
        <w:rPr>
          <w:lang w:val="en-GB"/>
        </w:rPr>
        <w:t>i</w:t>
      </w:r>
      <w:r w:rsidR="00E951F2" w:rsidRPr="00E951F2">
        <w:rPr>
          <w:lang w:val="en-GB"/>
        </w:rPr>
        <w:t>n light of the requirement to access education and services remotely.</w:t>
      </w:r>
      <w:r w:rsidR="00363092" w:rsidRPr="00363092">
        <w:rPr>
          <w:lang w:val="en-GB"/>
        </w:rPr>
        <w:t xml:space="preserve"> </w:t>
      </w:r>
      <w:r w:rsidR="004E296A">
        <w:rPr>
          <w:lang w:val="en-GB"/>
        </w:rPr>
        <w:t>It</w:t>
      </w:r>
      <w:r w:rsidR="00363092" w:rsidRPr="00363092">
        <w:rPr>
          <w:lang w:val="en-GB"/>
        </w:rPr>
        <w:t xml:space="preserve"> consisted of providing low-income remote learners with technological devices (tablets and laptops).</w:t>
      </w:r>
      <w:r w:rsidR="00795393" w:rsidRPr="00795393">
        <w:rPr>
          <w:lang w:val="en-GB"/>
        </w:rPr>
        <w:t xml:space="preserve"> </w:t>
      </w:r>
      <w:r w:rsidR="004E296A">
        <w:rPr>
          <w:lang w:val="en-GB"/>
        </w:rPr>
        <w:t>Additionally</w:t>
      </w:r>
      <w:r w:rsidR="00103841">
        <w:rPr>
          <w:lang w:val="en-GB"/>
        </w:rPr>
        <w:t>, r</w:t>
      </w:r>
      <w:r w:rsidR="00795393" w:rsidRPr="00795393">
        <w:rPr>
          <w:lang w:val="en-GB"/>
        </w:rPr>
        <w:t>ural and peri-urban areas have</w:t>
      </w:r>
      <w:r w:rsidR="00917D93">
        <w:rPr>
          <w:lang w:val="en-GB"/>
        </w:rPr>
        <w:t xml:space="preserve"> also</w:t>
      </w:r>
      <w:r w:rsidR="00795393" w:rsidRPr="00795393">
        <w:rPr>
          <w:lang w:val="en-GB"/>
        </w:rPr>
        <w:t xml:space="preserve"> seen a rise in connectivity</w:t>
      </w:r>
      <w:r w:rsidR="00917D93">
        <w:rPr>
          <w:lang w:val="en-GB"/>
        </w:rPr>
        <w:t>.</w:t>
      </w:r>
      <w:r w:rsidR="0039365C">
        <w:rPr>
          <w:lang w:val="en-GB"/>
        </w:rPr>
        <w:t xml:space="preserve"> Thanks to this initiative,</w:t>
      </w:r>
      <w:r w:rsidR="0039365C" w:rsidRPr="0039365C">
        <w:rPr>
          <w:lang w:val="en-GB"/>
        </w:rPr>
        <w:t xml:space="preserve"> students from vulnerable sectors were not left behind in their education due to the lack of access to technology.</w:t>
      </w:r>
    </w:p>
    <w:p w14:paraId="55F726A9" w14:textId="77777777" w:rsidR="00917D93" w:rsidRDefault="00917D93" w:rsidP="00917D93">
      <w:pPr>
        <w:pStyle w:val="NoSpacing"/>
        <w:ind w:left="1416"/>
        <w:jc w:val="both"/>
        <w:rPr>
          <w:lang w:val="en-GB"/>
        </w:rPr>
      </w:pPr>
    </w:p>
    <w:p w14:paraId="05930F65" w14:textId="77777777" w:rsidR="00943949" w:rsidRDefault="00917D93" w:rsidP="00DA2FDD">
      <w:pPr>
        <w:pStyle w:val="NoSpacing"/>
        <w:ind w:left="708"/>
        <w:jc w:val="both"/>
        <w:rPr>
          <w:lang w:val="en-GB"/>
        </w:rPr>
      </w:pPr>
      <w:r>
        <w:rPr>
          <w:u w:val="single"/>
          <w:lang w:val="en-GB"/>
        </w:rPr>
        <w:lastRenderedPageBreak/>
        <w:t>B</w:t>
      </w:r>
      <w:r w:rsidR="00CA6172">
        <w:rPr>
          <w:u w:val="single"/>
          <w:lang w:val="en-GB"/>
        </w:rPr>
        <w:t>oost Work P</w:t>
      </w:r>
      <w:r w:rsidR="006234B1" w:rsidRPr="006234B1">
        <w:rPr>
          <w:u w:val="single"/>
          <w:lang w:val="en-GB"/>
        </w:rPr>
        <w:t>rogramme</w:t>
      </w:r>
      <w:r w:rsidR="006234B1" w:rsidRPr="00BE0D3B">
        <w:rPr>
          <w:lang w:val="en-GB"/>
        </w:rPr>
        <w:t>:</w:t>
      </w:r>
      <w:r w:rsidR="00BE0D3B" w:rsidRPr="00BE0D3B">
        <w:rPr>
          <w:lang w:val="en-GB"/>
        </w:rPr>
        <w:t xml:space="preserve"> </w:t>
      </w:r>
      <w:r w:rsidR="009A4A71">
        <w:rPr>
          <w:lang w:val="en-GB"/>
        </w:rPr>
        <w:t>a</w:t>
      </w:r>
      <w:r w:rsidR="009A4A71" w:rsidRPr="009A4A71">
        <w:rPr>
          <w:lang w:val="en-GB"/>
        </w:rPr>
        <w:t xml:space="preserve"> national </w:t>
      </w:r>
      <w:r w:rsidR="00242C7F">
        <w:rPr>
          <w:lang w:val="en-GB"/>
        </w:rPr>
        <w:t>strategy</w:t>
      </w:r>
      <w:r w:rsidR="009A4A71" w:rsidRPr="009A4A71">
        <w:rPr>
          <w:lang w:val="en-GB"/>
        </w:rPr>
        <w:t xml:space="preserve"> aimed at promoting full social-labour inclusion for vulnerable people.</w:t>
      </w:r>
      <w:r w:rsidR="00840ECC">
        <w:rPr>
          <w:lang w:val="en-GB"/>
        </w:rPr>
        <w:t xml:space="preserve"> </w:t>
      </w:r>
      <w:r w:rsidR="00840ECC" w:rsidRPr="00840ECC">
        <w:rPr>
          <w:lang w:val="en-GB"/>
        </w:rPr>
        <w:t>The emergency package include</w:t>
      </w:r>
      <w:r w:rsidR="00F30117">
        <w:rPr>
          <w:lang w:val="en-GB"/>
        </w:rPr>
        <w:t>s</w:t>
      </w:r>
      <w:r w:rsidR="00840ECC" w:rsidRPr="00840ECC">
        <w:rPr>
          <w:lang w:val="en-GB"/>
        </w:rPr>
        <w:t xml:space="preserve"> training </w:t>
      </w:r>
      <w:r w:rsidR="009A4A71">
        <w:rPr>
          <w:lang w:val="en-GB"/>
        </w:rPr>
        <w:t>for</w:t>
      </w:r>
      <w:r w:rsidR="00840ECC" w:rsidRPr="00840ECC">
        <w:rPr>
          <w:lang w:val="en-GB"/>
        </w:rPr>
        <w:t xml:space="preserve"> trades and technical skills, grants and support for productive projects and social entrepreneurship</w:t>
      </w:r>
      <w:r w:rsidR="00242C7F">
        <w:rPr>
          <w:lang w:val="en-GB"/>
        </w:rPr>
        <w:t>s</w:t>
      </w:r>
      <w:r w:rsidR="00840ECC" w:rsidRPr="00840ECC">
        <w:rPr>
          <w:lang w:val="en-GB"/>
        </w:rPr>
        <w:t>.</w:t>
      </w:r>
      <w:r w:rsidR="00943949" w:rsidRPr="00943949">
        <w:rPr>
          <w:lang w:val="en-GB"/>
        </w:rPr>
        <w:t xml:space="preserve"> </w:t>
      </w:r>
      <w:r w:rsidR="00943949">
        <w:rPr>
          <w:lang w:val="en-GB"/>
        </w:rPr>
        <w:t>Besides, c</w:t>
      </w:r>
      <w:r w:rsidR="00943949" w:rsidRPr="00943949">
        <w:rPr>
          <w:lang w:val="en-GB"/>
        </w:rPr>
        <w:t xml:space="preserve">ompanies received incentives to hire </w:t>
      </w:r>
      <w:r w:rsidR="00840ECC">
        <w:rPr>
          <w:lang w:val="en-GB"/>
        </w:rPr>
        <w:t>beneficiaries</w:t>
      </w:r>
      <w:r w:rsidR="009A4A71">
        <w:rPr>
          <w:lang w:val="en-GB"/>
        </w:rPr>
        <w:t xml:space="preserve"> of the programme.</w:t>
      </w:r>
      <w:r w:rsidR="00840ECC">
        <w:rPr>
          <w:lang w:val="en-GB"/>
        </w:rPr>
        <w:t xml:space="preserve"> </w:t>
      </w:r>
      <w:r w:rsidR="00840ECC" w:rsidRPr="00840ECC">
        <w:rPr>
          <w:lang w:val="en-GB"/>
        </w:rPr>
        <w:t xml:space="preserve">While the pandemic caused many people to lose their jobs, </w:t>
      </w:r>
      <w:r w:rsidR="00F30117">
        <w:rPr>
          <w:lang w:val="en-GB"/>
        </w:rPr>
        <w:t xml:space="preserve">this </w:t>
      </w:r>
      <w:r w:rsidR="00DA2FDD">
        <w:rPr>
          <w:lang w:val="en-GB"/>
        </w:rPr>
        <w:t xml:space="preserve">initiative </w:t>
      </w:r>
      <w:r w:rsidR="00840ECC" w:rsidRPr="00840ECC">
        <w:rPr>
          <w:lang w:val="en-GB"/>
        </w:rPr>
        <w:t>enabled them to re</w:t>
      </w:r>
      <w:r w:rsidR="00840ECC">
        <w:rPr>
          <w:lang w:val="en-GB"/>
        </w:rPr>
        <w:t>-</w:t>
      </w:r>
      <w:r w:rsidR="00840ECC" w:rsidRPr="00840ECC">
        <w:rPr>
          <w:lang w:val="en-GB"/>
        </w:rPr>
        <w:t>enter the workforce, resulting in an improvement in their economic and social situation.</w:t>
      </w:r>
    </w:p>
    <w:p w14:paraId="75C23BAD" w14:textId="77777777" w:rsidR="00DA2FDD" w:rsidRDefault="00DA2FDD" w:rsidP="00DA2FDD">
      <w:pPr>
        <w:pStyle w:val="NoSpacing"/>
        <w:ind w:left="708"/>
        <w:jc w:val="both"/>
        <w:rPr>
          <w:lang w:val="en-GB"/>
        </w:rPr>
      </w:pPr>
    </w:p>
    <w:p w14:paraId="37785F93" w14:textId="77777777" w:rsidR="00735935" w:rsidRDefault="006234B1" w:rsidP="00626BDD">
      <w:pPr>
        <w:pStyle w:val="NoSpacing"/>
        <w:ind w:left="708"/>
        <w:jc w:val="both"/>
        <w:rPr>
          <w:lang w:val="en-GB"/>
        </w:rPr>
      </w:pPr>
      <w:r w:rsidRPr="006234B1">
        <w:rPr>
          <w:u w:val="single"/>
          <w:lang w:val="en-GB"/>
        </w:rPr>
        <w:t>Law</w:t>
      </w:r>
      <w:r w:rsidR="003D1C96">
        <w:rPr>
          <w:u w:val="single"/>
          <w:lang w:val="en-GB"/>
        </w:rPr>
        <w:t xml:space="preserve"> on </w:t>
      </w:r>
      <w:r w:rsidR="002B3C7D">
        <w:rPr>
          <w:u w:val="single"/>
          <w:lang w:val="en-GB"/>
        </w:rPr>
        <w:t>t</w:t>
      </w:r>
      <w:r w:rsidR="003D1C96">
        <w:rPr>
          <w:u w:val="single"/>
          <w:lang w:val="en-GB"/>
        </w:rPr>
        <w:t>e</w:t>
      </w:r>
      <w:r w:rsidR="002B3C7D">
        <w:rPr>
          <w:u w:val="single"/>
          <w:lang w:val="en-GB"/>
        </w:rPr>
        <w:t>le</w:t>
      </w:r>
      <w:r w:rsidR="003D1C96">
        <w:rPr>
          <w:u w:val="single"/>
          <w:lang w:val="en-GB"/>
        </w:rPr>
        <w:t>work</w:t>
      </w:r>
      <w:r w:rsidRPr="006234B1">
        <w:rPr>
          <w:lang w:val="en-GB"/>
        </w:rPr>
        <w:t>:</w:t>
      </w:r>
      <w:r w:rsidR="00D071E0">
        <w:rPr>
          <w:lang w:val="en-GB"/>
        </w:rPr>
        <w:t xml:space="preserve"> </w:t>
      </w:r>
      <w:r w:rsidR="005B7262">
        <w:rPr>
          <w:lang w:val="en-GB"/>
        </w:rPr>
        <w:t xml:space="preserve">in this </w:t>
      </w:r>
      <w:r w:rsidR="00242C7F">
        <w:rPr>
          <w:lang w:val="en-GB"/>
        </w:rPr>
        <w:t xml:space="preserve">new </w:t>
      </w:r>
      <w:r w:rsidR="005B7262">
        <w:rPr>
          <w:lang w:val="en-GB"/>
        </w:rPr>
        <w:t xml:space="preserve">context, </w:t>
      </w:r>
      <w:r w:rsidR="00242C7F">
        <w:rPr>
          <w:lang w:val="en-GB"/>
        </w:rPr>
        <w:t>new legislation</w:t>
      </w:r>
      <w:r w:rsidR="00840ECC" w:rsidRPr="00840ECC">
        <w:rPr>
          <w:lang w:val="en-GB"/>
        </w:rPr>
        <w:t xml:space="preserve"> </w:t>
      </w:r>
      <w:r w:rsidR="00242C7F">
        <w:rPr>
          <w:lang w:val="en-GB"/>
        </w:rPr>
        <w:t xml:space="preserve">has </w:t>
      </w:r>
      <w:r w:rsidR="00840ECC" w:rsidRPr="00840ECC">
        <w:rPr>
          <w:lang w:val="en-GB"/>
        </w:rPr>
        <w:t>been</w:t>
      </w:r>
      <w:r w:rsidR="003713E0">
        <w:rPr>
          <w:lang w:val="en-GB"/>
        </w:rPr>
        <w:t xml:space="preserve"> introduced</w:t>
      </w:r>
      <w:r w:rsidR="00840ECC" w:rsidRPr="00840ECC">
        <w:rPr>
          <w:lang w:val="en-GB"/>
        </w:rPr>
        <w:t xml:space="preserve"> </w:t>
      </w:r>
      <w:r w:rsidR="004F7E10">
        <w:rPr>
          <w:lang w:val="en-GB"/>
        </w:rPr>
        <w:t>t</w:t>
      </w:r>
      <w:r w:rsidR="004F7E10" w:rsidRPr="004F7E10">
        <w:rPr>
          <w:lang w:val="en-GB"/>
        </w:rPr>
        <w:t xml:space="preserve">o </w:t>
      </w:r>
      <w:r w:rsidR="005B7262">
        <w:rPr>
          <w:lang w:val="en-GB"/>
        </w:rPr>
        <w:t>guarantee</w:t>
      </w:r>
      <w:r w:rsidR="004F7E10" w:rsidRPr="004F7E10">
        <w:rPr>
          <w:lang w:val="en-GB"/>
        </w:rPr>
        <w:t xml:space="preserve"> workers' rights. </w:t>
      </w:r>
      <w:r w:rsidR="00C45B58" w:rsidRPr="00C45B58">
        <w:rPr>
          <w:lang w:val="en-GB"/>
        </w:rPr>
        <w:t>Remote work is covered by Law 27,555 which governs the rights and obligations of both employees and employers. I</w:t>
      </w:r>
      <w:r w:rsidR="005B7262">
        <w:rPr>
          <w:lang w:val="en-GB"/>
        </w:rPr>
        <w:t>t</w:t>
      </w:r>
      <w:r w:rsidR="00C45B58" w:rsidRPr="00C45B58">
        <w:rPr>
          <w:lang w:val="en-GB"/>
        </w:rPr>
        <w:t xml:space="preserve"> </w:t>
      </w:r>
      <w:r w:rsidR="005B7262">
        <w:rPr>
          <w:lang w:val="en-GB"/>
        </w:rPr>
        <w:t>also guarantees that</w:t>
      </w:r>
      <w:r w:rsidR="00C45B58" w:rsidRPr="00C45B58">
        <w:rPr>
          <w:lang w:val="en-GB"/>
        </w:rPr>
        <w:t xml:space="preserve"> teleworkers</w:t>
      </w:r>
      <w:r w:rsidR="005B7262">
        <w:rPr>
          <w:lang w:val="en-GB"/>
        </w:rPr>
        <w:t>’ working</w:t>
      </w:r>
      <w:r w:rsidR="00C45B58" w:rsidRPr="00C45B58">
        <w:rPr>
          <w:lang w:val="en-GB"/>
        </w:rPr>
        <w:t xml:space="preserve"> conditions and social benefits will not be jeopard</w:t>
      </w:r>
      <w:r w:rsidR="005B7262">
        <w:rPr>
          <w:lang w:val="en-GB"/>
        </w:rPr>
        <w:t xml:space="preserve">ised. </w:t>
      </w:r>
    </w:p>
    <w:p w14:paraId="1FF74A78" w14:textId="77777777" w:rsidR="00735935" w:rsidRDefault="00735935" w:rsidP="003C513E">
      <w:pPr>
        <w:pStyle w:val="NoSpacing"/>
        <w:ind w:left="708"/>
        <w:rPr>
          <w:lang w:val="en-GB"/>
        </w:rPr>
      </w:pPr>
      <w:r w:rsidRPr="00735935">
        <w:rPr>
          <w:lang w:val="en-GB"/>
        </w:rPr>
        <w:t>Th</w:t>
      </w:r>
      <w:r w:rsidR="00242C7F">
        <w:rPr>
          <w:lang w:val="en-GB"/>
        </w:rPr>
        <w:t xml:space="preserve">e </w:t>
      </w:r>
      <w:r w:rsidR="005B60EC">
        <w:rPr>
          <w:lang w:val="en-GB"/>
        </w:rPr>
        <w:t xml:space="preserve">Law </w:t>
      </w:r>
      <w:r w:rsidRPr="00735935">
        <w:rPr>
          <w:lang w:val="en-GB"/>
        </w:rPr>
        <w:t>provide</w:t>
      </w:r>
      <w:r w:rsidR="005B60EC">
        <w:rPr>
          <w:lang w:val="en-GB"/>
        </w:rPr>
        <w:t>s</w:t>
      </w:r>
      <w:r w:rsidRPr="00735935">
        <w:rPr>
          <w:lang w:val="en-GB"/>
        </w:rPr>
        <w:t xml:space="preserve"> a </w:t>
      </w:r>
      <w:r>
        <w:rPr>
          <w:lang w:val="en-GB"/>
        </w:rPr>
        <w:t xml:space="preserve">legal </w:t>
      </w:r>
      <w:r w:rsidR="00205785">
        <w:rPr>
          <w:lang w:val="en-GB"/>
        </w:rPr>
        <w:t>f</w:t>
      </w:r>
      <w:r w:rsidRPr="00735935">
        <w:rPr>
          <w:lang w:val="en-GB"/>
        </w:rPr>
        <w:t xml:space="preserve">ramework </w:t>
      </w:r>
      <w:r w:rsidR="00205785">
        <w:rPr>
          <w:lang w:val="en-GB"/>
        </w:rPr>
        <w:t>to protect</w:t>
      </w:r>
      <w:r w:rsidRPr="00735935">
        <w:rPr>
          <w:lang w:val="en-GB"/>
        </w:rPr>
        <w:t xml:space="preserve"> remote workers and </w:t>
      </w:r>
      <w:r w:rsidR="00205785">
        <w:rPr>
          <w:lang w:val="en-GB"/>
        </w:rPr>
        <w:t>confirms</w:t>
      </w:r>
      <w:r w:rsidRPr="00735935">
        <w:rPr>
          <w:lang w:val="en-GB"/>
        </w:rPr>
        <w:t xml:space="preserve"> that the new ways of working d</w:t>
      </w:r>
      <w:r w:rsidR="005B60EC">
        <w:rPr>
          <w:lang w:val="en-GB"/>
        </w:rPr>
        <w:t>o</w:t>
      </w:r>
      <w:r w:rsidRPr="00735935">
        <w:rPr>
          <w:lang w:val="en-GB"/>
        </w:rPr>
        <w:t xml:space="preserve"> not violate their rights.</w:t>
      </w:r>
    </w:p>
    <w:p w14:paraId="6CF09CAE" w14:textId="77777777" w:rsidR="00690EF2" w:rsidRDefault="00690EF2" w:rsidP="00690EF2">
      <w:pPr>
        <w:pStyle w:val="NoSpacing"/>
        <w:ind w:left="708"/>
        <w:rPr>
          <w:u w:val="single"/>
          <w:lang w:val="en-GB"/>
        </w:rPr>
      </w:pPr>
    </w:p>
    <w:p w14:paraId="65B7BD2A" w14:textId="77777777" w:rsidR="00735935" w:rsidRDefault="00AD0A8C" w:rsidP="003C0BB4">
      <w:pPr>
        <w:pStyle w:val="NoSpacing"/>
        <w:ind w:left="708"/>
        <w:jc w:val="both"/>
        <w:rPr>
          <w:lang w:val="en-GB"/>
        </w:rPr>
      </w:pPr>
      <w:r>
        <w:rPr>
          <w:u w:val="single"/>
          <w:lang w:val="en-GB"/>
        </w:rPr>
        <w:t xml:space="preserve">Policies on </w:t>
      </w:r>
      <w:r w:rsidR="002B3C7D">
        <w:rPr>
          <w:u w:val="single"/>
          <w:lang w:val="en-GB"/>
        </w:rPr>
        <w:t>G</w:t>
      </w:r>
      <w:r w:rsidR="006234B1" w:rsidRPr="006234B1">
        <w:rPr>
          <w:u w:val="single"/>
          <w:lang w:val="en-GB"/>
        </w:rPr>
        <w:t>ender and Diversity</w:t>
      </w:r>
      <w:r w:rsidR="006234B1" w:rsidRPr="006234B1">
        <w:rPr>
          <w:lang w:val="en-GB"/>
        </w:rPr>
        <w:t xml:space="preserve">: </w:t>
      </w:r>
      <w:r w:rsidR="00F30117">
        <w:rPr>
          <w:lang w:val="en-GB"/>
        </w:rPr>
        <w:t>a scheme</w:t>
      </w:r>
      <w:r w:rsidR="004F7E10" w:rsidRPr="004F7E10">
        <w:rPr>
          <w:lang w:val="en-GB"/>
        </w:rPr>
        <w:t xml:space="preserve"> specifically</w:t>
      </w:r>
      <w:r w:rsidR="00735935">
        <w:rPr>
          <w:lang w:val="en-GB"/>
        </w:rPr>
        <w:t xml:space="preserve"> designed to</w:t>
      </w:r>
      <w:r w:rsidR="004F7E10" w:rsidRPr="004F7E10">
        <w:rPr>
          <w:lang w:val="en-GB"/>
        </w:rPr>
        <w:t xml:space="preserve"> address the protection of women's and LGBTIQ+ rights during the pandemic. </w:t>
      </w:r>
      <w:r w:rsidR="00735935" w:rsidRPr="00735935">
        <w:rPr>
          <w:lang w:val="en-GB"/>
        </w:rPr>
        <w:t>Key actions include: shelters and counselling for victims of gender-based violence; employment and training programmes for women and transsexuals; and campaigns to combat discrimination and promote gender equality.</w:t>
      </w:r>
    </w:p>
    <w:p w14:paraId="54E0DB22" w14:textId="77777777" w:rsidR="006234B1" w:rsidRDefault="00F30117" w:rsidP="00626BDD">
      <w:pPr>
        <w:ind w:left="708"/>
        <w:jc w:val="both"/>
        <w:rPr>
          <w:lang w:val="en-GB"/>
        </w:rPr>
      </w:pPr>
      <w:r>
        <w:rPr>
          <w:lang w:val="en-GB"/>
        </w:rPr>
        <w:t>A</w:t>
      </w:r>
      <w:r w:rsidRPr="00F30117">
        <w:rPr>
          <w:lang w:val="en-GB"/>
        </w:rPr>
        <w:t xml:space="preserve">ll this helped protect and promote the rights of women and LGBTIQ+ people, who </w:t>
      </w:r>
      <w:r w:rsidR="00242C7F">
        <w:rPr>
          <w:lang w:val="en-GB"/>
        </w:rPr>
        <w:t xml:space="preserve">have been </w:t>
      </w:r>
      <w:r w:rsidRPr="00F30117">
        <w:rPr>
          <w:lang w:val="en-GB"/>
        </w:rPr>
        <w:t>particularly vulnerable to discrimination and violence during the pandemic.</w:t>
      </w:r>
    </w:p>
    <w:p w14:paraId="51439040" w14:textId="77777777" w:rsidR="00156DEB" w:rsidRPr="006234B1" w:rsidRDefault="00156DEB" w:rsidP="003C513E">
      <w:pPr>
        <w:pStyle w:val="NoSpacing"/>
        <w:numPr>
          <w:ilvl w:val="0"/>
          <w:numId w:val="1"/>
        </w:numPr>
        <w:jc w:val="both"/>
        <w:rPr>
          <w:b/>
          <w:lang w:val="en-GB"/>
        </w:rPr>
      </w:pPr>
      <w:r w:rsidRPr="006234B1">
        <w:rPr>
          <w:b/>
          <w:lang w:val="en-GB"/>
        </w:rPr>
        <w:t>Could you share promising methodologies that your government used for National Development Plans to tackle rising poverty and inequalities and leave no one behind, in the context of the implementation of the 2030 Agenda?</w:t>
      </w:r>
    </w:p>
    <w:p w14:paraId="2801CC7B" w14:textId="77777777" w:rsidR="006234B1" w:rsidRDefault="006234B1" w:rsidP="00F612E1">
      <w:pPr>
        <w:pStyle w:val="NoSpacing"/>
        <w:jc w:val="both"/>
        <w:rPr>
          <w:lang w:val="en-GB"/>
        </w:rPr>
      </w:pPr>
    </w:p>
    <w:p w14:paraId="680E4D5E" w14:textId="77777777" w:rsidR="00CD73BF" w:rsidRDefault="00200CF5" w:rsidP="003C513E">
      <w:pPr>
        <w:pStyle w:val="NoSpacing"/>
        <w:ind w:left="708"/>
        <w:jc w:val="both"/>
        <w:rPr>
          <w:lang w:val="en-GB"/>
        </w:rPr>
      </w:pPr>
      <w:r>
        <w:rPr>
          <w:u w:val="single"/>
          <w:lang w:val="en-GB"/>
        </w:rPr>
        <w:t>A cross-</w:t>
      </w:r>
      <w:r w:rsidR="006234B1" w:rsidRPr="006234B1">
        <w:rPr>
          <w:u w:val="single"/>
          <w:lang w:val="en-GB"/>
        </w:rPr>
        <w:t>sector</w:t>
      </w:r>
      <w:r w:rsidR="001E6A14">
        <w:rPr>
          <w:u w:val="single"/>
          <w:lang w:val="en-GB"/>
        </w:rPr>
        <w:t>al</w:t>
      </w:r>
      <w:r w:rsidR="006234B1" w:rsidRPr="006234B1">
        <w:rPr>
          <w:u w:val="single"/>
          <w:lang w:val="en-GB"/>
        </w:rPr>
        <w:t xml:space="preserve"> and </w:t>
      </w:r>
      <w:r w:rsidR="00065816">
        <w:rPr>
          <w:u w:val="single"/>
          <w:lang w:val="en-GB"/>
        </w:rPr>
        <w:t>c</w:t>
      </w:r>
      <w:r w:rsidR="006234B1" w:rsidRPr="006234B1">
        <w:rPr>
          <w:u w:val="single"/>
          <w:lang w:val="en-GB"/>
        </w:rPr>
        <w:t xml:space="preserve">omprehensive </w:t>
      </w:r>
      <w:r w:rsidR="00065816">
        <w:rPr>
          <w:u w:val="single"/>
          <w:lang w:val="en-GB"/>
        </w:rPr>
        <w:t>a</w:t>
      </w:r>
      <w:r w:rsidR="006234B1" w:rsidRPr="006234B1">
        <w:rPr>
          <w:u w:val="single"/>
          <w:lang w:val="en-GB"/>
        </w:rPr>
        <w:t>pproach</w:t>
      </w:r>
      <w:r w:rsidR="006234B1" w:rsidRPr="006234B1">
        <w:rPr>
          <w:lang w:val="en-GB"/>
        </w:rPr>
        <w:t>:</w:t>
      </w:r>
      <w:r w:rsidR="00B2256F" w:rsidRPr="00B2256F">
        <w:rPr>
          <w:lang w:val="en-GB"/>
        </w:rPr>
        <w:t xml:space="preserve"> </w:t>
      </w:r>
      <w:r w:rsidR="00B2256F">
        <w:rPr>
          <w:lang w:val="en-GB"/>
        </w:rPr>
        <w:t>r</w:t>
      </w:r>
      <w:r w:rsidR="00B2256F" w:rsidRPr="00B2256F">
        <w:rPr>
          <w:lang w:val="en-GB"/>
        </w:rPr>
        <w:t>ecognising that poverty and inequality are complex problems requiring integrated and co</w:t>
      </w:r>
      <w:r w:rsidR="00B2256F">
        <w:rPr>
          <w:lang w:val="en-GB"/>
        </w:rPr>
        <w:t>ope</w:t>
      </w:r>
      <w:r w:rsidR="00B2256F" w:rsidRPr="00B2256F">
        <w:rPr>
          <w:lang w:val="en-GB"/>
        </w:rPr>
        <w:t>rative solutions, it proposes involving multiple sectors and actors in formulating development policies.</w:t>
      </w:r>
      <w:r w:rsidR="001E6A14">
        <w:rPr>
          <w:lang w:val="en-GB"/>
        </w:rPr>
        <w:t xml:space="preserve"> </w:t>
      </w:r>
      <w:r w:rsidR="00B2256F">
        <w:rPr>
          <w:lang w:val="en-GB"/>
        </w:rPr>
        <w:t>One</w:t>
      </w:r>
      <w:r w:rsidR="001E6A14">
        <w:rPr>
          <w:lang w:val="en-GB"/>
        </w:rPr>
        <w:t xml:space="preserve"> example of this approach is the</w:t>
      </w:r>
      <w:r w:rsidR="000E4862">
        <w:rPr>
          <w:lang w:val="en-GB"/>
        </w:rPr>
        <w:t xml:space="preserve"> </w:t>
      </w:r>
      <w:r w:rsidR="000E4862" w:rsidRPr="000E4862">
        <w:rPr>
          <w:i/>
          <w:lang w:val="en-GB"/>
        </w:rPr>
        <w:t>Argentina Against Hunger</w:t>
      </w:r>
      <w:r w:rsidR="000E4862">
        <w:rPr>
          <w:i/>
          <w:lang w:val="en-GB"/>
        </w:rPr>
        <w:t xml:space="preserve"> Plan</w:t>
      </w:r>
      <w:r w:rsidR="00065816" w:rsidRPr="00065816">
        <w:rPr>
          <w:lang w:val="en-GB"/>
        </w:rPr>
        <w:t>,</w:t>
      </w:r>
      <w:r w:rsidR="00CD73BF" w:rsidRPr="00CD73BF">
        <w:rPr>
          <w:lang w:val="en-GB"/>
        </w:rPr>
        <w:t xml:space="preserve"> which brings together the Ministries of Social Development, Health, Education and Agriculture, among others, to ensure food and nutrition security.</w:t>
      </w:r>
    </w:p>
    <w:p w14:paraId="07BB0251" w14:textId="77777777" w:rsidR="006234B1" w:rsidRPr="006234B1" w:rsidRDefault="00CD73BF" w:rsidP="003C513E">
      <w:pPr>
        <w:pStyle w:val="NoSpacing"/>
        <w:ind w:left="708"/>
        <w:jc w:val="both"/>
        <w:rPr>
          <w:lang w:val="en-GB"/>
        </w:rPr>
      </w:pPr>
      <w:r w:rsidRPr="006234B1">
        <w:rPr>
          <w:lang w:val="en-GB"/>
        </w:rPr>
        <w:t xml:space="preserve"> </w:t>
      </w:r>
    </w:p>
    <w:p w14:paraId="2C5497DF" w14:textId="77777777" w:rsidR="00610494" w:rsidRDefault="00065816" w:rsidP="003C513E">
      <w:pPr>
        <w:pStyle w:val="NoSpacing"/>
        <w:ind w:left="708"/>
        <w:jc w:val="both"/>
        <w:rPr>
          <w:lang w:val="en-GB"/>
        </w:rPr>
      </w:pPr>
      <w:r>
        <w:rPr>
          <w:u w:val="single"/>
          <w:lang w:val="en-GB"/>
        </w:rPr>
        <w:t>Public</w:t>
      </w:r>
      <w:r w:rsidR="006234B1" w:rsidRPr="006234B1">
        <w:rPr>
          <w:u w:val="single"/>
          <w:lang w:val="en-GB"/>
        </w:rPr>
        <w:t xml:space="preserve"> </w:t>
      </w:r>
      <w:r>
        <w:rPr>
          <w:u w:val="single"/>
          <w:lang w:val="en-GB"/>
        </w:rPr>
        <w:t>p</w:t>
      </w:r>
      <w:r w:rsidR="006234B1" w:rsidRPr="006234B1">
        <w:rPr>
          <w:u w:val="single"/>
          <w:lang w:val="en-GB"/>
        </w:rPr>
        <w:t xml:space="preserve">articipation and </w:t>
      </w:r>
      <w:r>
        <w:rPr>
          <w:u w:val="single"/>
          <w:lang w:val="en-GB"/>
        </w:rPr>
        <w:t>c</w:t>
      </w:r>
      <w:r w:rsidR="006234B1" w:rsidRPr="006234B1">
        <w:rPr>
          <w:u w:val="single"/>
          <w:lang w:val="en-GB"/>
        </w:rPr>
        <w:t>onsultation</w:t>
      </w:r>
      <w:r w:rsidR="006234B1" w:rsidRPr="006234B1">
        <w:rPr>
          <w:lang w:val="en-GB"/>
        </w:rPr>
        <w:t xml:space="preserve">: </w:t>
      </w:r>
      <w:r w:rsidR="00B2256F">
        <w:rPr>
          <w:lang w:val="en-GB"/>
        </w:rPr>
        <w:t>p</w:t>
      </w:r>
      <w:r w:rsidR="00610494" w:rsidRPr="00610494">
        <w:rPr>
          <w:lang w:val="en-GB"/>
        </w:rPr>
        <w:t>romoting the active participation of civil society, local communities and vulnerable groups in the design, implementation and evaluation of NDPs, ensuring that policies reflect the needs and priorities of the people concerned.</w:t>
      </w:r>
      <w:r w:rsidR="006234B1" w:rsidRPr="006234B1">
        <w:rPr>
          <w:lang w:val="en-GB"/>
        </w:rPr>
        <w:t xml:space="preserve"> </w:t>
      </w:r>
      <w:r w:rsidR="0040752E">
        <w:rPr>
          <w:lang w:val="en-GB"/>
        </w:rPr>
        <w:t>F</w:t>
      </w:r>
      <w:r w:rsidR="0040752E" w:rsidRPr="0040752E">
        <w:rPr>
          <w:lang w:val="en-GB"/>
        </w:rPr>
        <w:t xml:space="preserve">or instance, </w:t>
      </w:r>
      <w:r w:rsidR="0040752E">
        <w:rPr>
          <w:lang w:val="en-GB"/>
        </w:rPr>
        <w:t xml:space="preserve">the </w:t>
      </w:r>
      <w:r w:rsidR="0040752E" w:rsidRPr="0040752E">
        <w:rPr>
          <w:lang w:val="en-GB"/>
        </w:rPr>
        <w:t>"</w:t>
      </w:r>
      <w:r w:rsidR="0040752E" w:rsidRPr="0040752E">
        <w:rPr>
          <w:i/>
          <w:lang w:val="en-GB"/>
        </w:rPr>
        <w:t>Soci</w:t>
      </w:r>
      <w:r w:rsidR="00EE5261">
        <w:rPr>
          <w:i/>
          <w:lang w:val="en-GB"/>
        </w:rPr>
        <w:t>al</w:t>
      </w:r>
      <w:r w:rsidR="0040752E" w:rsidRPr="0040752E">
        <w:rPr>
          <w:i/>
          <w:lang w:val="en-GB"/>
        </w:rPr>
        <w:t>-Urban Integration</w:t>
      </w:r>
      <w:r w:rsidR="00EE5261">
        <w:rPr>
          <w:i/>
          <w:lang w:val="en-GB"/>
        </w:rPr>
        <w:t xml:space="preserve"> Policy</w:t>
      </w:r>
      <w:r w:rsidR="0040752E" w:rsidRPr="0040752E">
        <w:rPr>
          <w:i/>
          <w:lang w:val="en-GB"/>
        </w:rPr>
        <w:t xml:space="preserve"> </w:t>
      </w:r>
      <w:r w:rsidR="00EE5261">
        <w:rPr>
          <w:i/>
          <w:lang w:val="en-GB"/>
        </w:rPr>
        <w:t>in</w:t>
      </w:r>
      <w:r w:rsidR="0040752E" w:rsidRPr="0040752E">
        <w:rPr>
          <w:i/>
          <w:lang w:val="en-GB"/>
        </w:rPr>
        <w:t xml:space="preserve"> Popular Neighbourhoods</w:t>
      </w:r>
      <w:r w:rsidR="0040752E" w:rsidRPr="0040752E">
        <w:rPr>
          <w:lang w:val="en-GB"/>
        </w:rPr>
        <w:t>"</w:t>
      </w:r>
      <w:r w:rsidR="00EE5261">
        <w:rPr>
          <w:lang w:val="en-GB"/>
        </w:rPr>
        <w:t xml:space="preserve"> (PISU</w:t>
      </w:r>
      <w:r w:rsidR="0040752E" w:rsidRPr="0040752E">
        <w:rPr>
          <w:lang w:val="en-GB"/>
        </w:rPr>
        <w:t>,</w:t>
      </w:r>
      <w:r w:rsidR="00EE5261">
        <w:rPr>
          <w:lang w:val="en-GB"/>
        </w:rPr>
        <w:t xml:space="preserve"> Spanish acronym)</w:t>
      </w:r>
      <w:r w:rsidR="0040752E" w:rsidRPr="0040752E">
        <w:rPr>
          <w:lang w:val="en-GB"/>
        </w:rPr>
        <w:t xml:space="preserve"> which includes mechanisms for </w:t>
      </w:r>
      <w:r w:rsidR="0040752E">
        <w:rPr>
          <w:lang w:val="en-GB"/>
        </w:rPr>
        <w:t>the</w:t>
      </w:r>
      <w:r w:rsidR="0040752E" w:rsidRPr="0040752E">
        <w:rPr>
          <w:lang w:val="en-GB"/>
        </w:rPr>
        <w:t xml:space="preserve"> participato</w:t>
      </w:r>
      <w:r w:rsidR="0040752E">
        <w:rPr>
          <w:lang w:val="en-GB"/>
        </w:rPr>
        <w:t>ry</w:t>
      </w:r>
      <w:r w:rsidR="0040752E" w:rsidRPr="0040752E">
        <w:rPr>
          <w:lang w:val="en-GB"/>
        </w:rPr>
        <w:t xml:space="preserve"> planning and execution of </w:t>
      </w:r>
      <w:r w:rsidR="0040752E">
        <w:rPr>
          <w:lang w:val="en-GB"/>
        </w:rPr>
        <w:t xml:space="preserve">the </w:t>
      </w:r>
      <w:r w:rsidR="0040752E" w:rsidRPr="0040752E">
        <w:rPr>
          <w:lang w:val="en-GB"/>
        </w:rPr>
        <w:t xml:space="preserve">infrastructure work. </w:t>
      </w:r>
    </w:p>
    <w:p w14:paraId="44531390" w14:textId="77777777" w:rsidR="0040752E" w:rsidRDefault="0040752E" w:rsidP="003C513E">
      <w:pPr>
        <w:pStyle w:val="NoSpacing"/>
        <w:ind w:left="708"/>
        <w:jc w:val="both"/>
        <w:rPr>
          <w:lang w:val="en-GB"/>
        </w:rPr>
      </w:pPr>
    </w:p>
    <w:p w14:paraId="42225514" w14:textId="77777777" w:rsidR="006234B1" w:rsidRDefault="006234B1" w:rsidP="00610494">
      <w:pPr>
        <w:pStyle w:val="NoSpacing"/>
        <w:ind w:left="708"/>
        <w:jc w:val="both"/>
        <w:rPr>
          <w:lang w:val="en-GB"/>
        </w:rPr>
      </w:pPr>
      <w:r w:rsidRPr="006234B1">
        <w:rPr>
          <w:u w:val="single"/>
          <w:lang w:val="en-GB"/>
        </w:rPr>
        <w:t>Microfinance and Credit</w:t>
      </w:r>
      <w:r w:rsidRPr="00610494">
        <w:rPr>
          <w:lang w:val="en-GB"/>
        </w:rPr>
        <w:t xml:space="preserve">: </w:t>
      </w:r>
      <w:r w:rsidR="001E6A14">
        <w:rPr>
          <w:lang w:val="en-GB"/>
        </w:rPr>
        <w:t>p</w:t>
      </w:r>
      <w:r w:rsidRPr="00610494">
        <w:rPr>
          <w:lang w:val="en-GB"/>
        </w:rPr>
        <w:t>romoting access to micro</w:t>
      </w:r>
      <w:r w:rsidR="00B2256F">
        <w:rPr>
          <w:lang w:val="en-GB"/>
        </w:rPr>
        <w:t>credit</w:t>
      </w:r>
      <w:r w:rsidRPr="00610494">
        <w:rPr>
          <w:lang w:val="en-GB"/>
        </w:rPr>
        <w:t xml:space="preserve"> and financial services for entrepreneurs and small</w:t>
      </w:r>
      <w:r w:rsidR="00610494">
        <w:rPr>
          <w:lang w:val="en-GB"/>
        </w:rPr>
        <w:t>-scale</w:t>
      </w:r>
      <w:r w:rsidRPr="00610494">
        <w:rPr>
          <w:lang w:val="en-GB"/>
        </w:rPr>
        <w:t xml:space="preserve"> producers</w:t>
      </w:r>
      <w:r w:rsidRPr="006234B1">
        <w:rPr>
          <w:lang w:val="en-GB"/>
        </w:rPr>
        <w:t xml:space="preserve">. </w:t>
      </w:r>
      <w:r w:rsidR="004F17C3">
        <w:rPr>
          <w:lang w:val="en-GB"/>
        </w:rPr>
        <w:t>One</w:t>
      </w:r>
      <w:r w:rsidR="00610494" w:rsidRPr="00610494">
        <w:rPr>
          <w:lang w:val="en-GB"/>
        </w:rPr>
        <w:t xml:space="preserve"> example is </w:t>
      </w:r>
      <w:r w:rsidR="00610494">
        <w:rPr>
          <w:lang w:val="en-GB"/>
        </w:rPr>
        <w:t>the</w:t>
      </w:r>
      <w:r w:rsidR="00610494" w:rsidRPr="00610494">
        <w:rPr>
          <w:lang w:val="en-GB"/>
        </w:rPr>
        <w:t xml:space="preserve"> </w:t>
      </w:r>
      <w:r w:rsidR="004F17C3" w:rsidRPr="004F17C3">
        <w:rPr>
          <w:i/>
          <w:lang w:val="en-GB"/>
        </w:rPr>
        <w:t>Argentine</w:t>
      </w:r>
      <w:r w:rsidR="004F17C3">
        <w:rPr>
          <w:lang w:val="en-GB"/>
        </w:rPr>
        <w:t xml:space="preserve"> </w:t>
      </w:r>
      <w:r w:rsidR="00610494" w:rsidRPr="00610494">
        <w:rPr>
          <w:i/>
          <w:lang w:val="en-GB"/>
        </w:rPr>
        <w:t>Credit Programme</w:t>
      </w:r>
      <w:r w:rsidR="00610494" w:rsidRPr="00610494">
        <w:rPr>
          <w:lang w:val="en-GB"/>
        </w:rPr>
        <w:t xml:space="preserve"> (CreAr</w:t>
      </w:r>
      <w:r w:rsidR="00B2256F">
        <w:rPr>
          <w:lang w:val="en-GB"/>
        </w:rPr>
        <w:t>, Spanish acronym</w:t>
      </w:r>
      <w:r w:rsidR="00610494" w:rsidRPr="00610494">
        <w:rPr>
          <w:lang w:val="en-GB"/>
        </w:rPr>
        <w:t>), which provides financing and technical assistance to micro, small and medium-sized enterprises (MSMEs)</w:t>
      </w:r>
      <w:r w:rsidR="004F17C3">
        <w:rPr>
          <w:lang w:val="en-GB"/>
        </w:rPr>
        <w:t xml:space="preserve"> </w:t>
      </w:r>
      <w:r w:rsidR="00610494" w:rsidRPr="00610494">
        <w:rPr>
          <w:lang w:val="en-GB"/>
        </w:rPr>
        <w:t xml:space="preserve">to </w:t>
      </w:r>
      <w:r w:rsidR="00EE5261">
        <w:rPr>
          <w:lang w:val="en-GB"/>
        </w:rPr>
        <w:t>encourage</w:t>
      </w:r>
      <w:r w:rsidR="00610494" w:rsidRPr="00610494">
        <w:rPr>
          <w:lang w:val="en-GB"/>
        </w:rPr>
        <w:t xml:space="preserve"> inclusive economic development.</w:t>
      </w:r>
    </w:p>
    <w:p w14:paraId="3A26AAF8" w14:textId="77777777" w:rsidR="006234B1" w:rsidRPr="00156DEB" w:rsidRDefault="006234B1" w:rsidP="006234B1">
      <w:pPr>
        <w:pStyle w:val="NoSpacing"/>
        <w:rPr>
          <w:lang w:val="en-GB"/>
        </w:rPr>
      </w:pPr>
    </w:p>
    <w:p w14:paraId="7879C99A" w14:textId="77777777" w:rsidR="00156DEB" w:rsidRDefault="00156DEB" w:rsidP="003C513E">
      <w:pPr>
        <w:pStyle w:val="NoSpacing"/>
        <w:numPr>
          <w:ilvl w:val="0"/>
          <w:numId w:val="1"/>
        </w:numPr>
        <w:jc w:val="both"/>
        <w:rPr>
          <w:b/>
          <w:lang w:val="en-GB"/>
        </w:rPr>
      </w:pPr>
      <w:r w:rsidRPr="006234B1">
        <w:rPr>
          <w:b/>
          <w:lang w:val="en-GB"/>
        </w:rPr>
        <w:t>Can you share good practice</w:t>
      </w:r>
      <w:r w:rsidR="00041931">
        <w:rPr>
          <w:b/>
          <w:lang w:val="en-GB"/>
        </w:rPr>
        <w:t>s</w:t>
      </w:r>
      <w:r w:rsidRPr="006234B1">
        <w:rPr>
          <w:b/>
          <w:lang w:val="en-GB"/>
        </w:rPr>
        <w:t>, lessons learned and examples of national public finance and debt management frameworks, policies or laws that ring-fenced States’ legal obligations on economic, social and other rights?</w:t>
      </w:r>
    </w:p>
    <w:p w14:paraId="73380D28" w14:textId="77777777" w:rsidR="006863D6" w:rsidRPr="006234B1" w:rsidRDefault="006863D6" w:rsidP="006863D6">
      <w:pPr>
        <w:pStyle w:val="NoSpacing"/>
        <w:ind w:left="360"/>
        <w:jc w:val="both"/>
        <w:rPr>
          <w:b/>
          <w:lang w:val="en-GB"/>
        </w:rPr>
      </w:pPr>
    </w:p>
    <w:p w14:paraId="485DAD3E" w14:textId="77777777" w:rsidR="00D56D71" w:rsidRDefault="0055722E" w:rsidP="00690EF2">
      <w:pPr>
        <w:pStyle w:val="NoSpacing"/>
        <w:ind w:left="708"/>
        <w:jc w:val="both"/>
        <w:rPr>
          <w:lang w:val="en-GB"/>
        </w:rPr>
      </w:pPr>
      <w:r w:rsidRPr="0055722E">
        <w:rPr>
          <w:lang w:val="en-GB"/>
        </w:rPr>
        <w:t xml:space="preserve">As part of the </w:t>
      </w:r>
      <w:r w:rsidR="007E22F5">
        <w:rPr>
          <w:lang w:val="en-GB"/>
        </w:rPr>
        <w:t>recovery process</w:t>
      </w:r>
      <w:r w:rsidR="009272D8">
        <w:rPr>
          <w:lang w:val="en-GB"/>
        </w:rPr>
        <w:t xml:space="preserve"> after the pandemic</w:t>
      </w:r>
      <w:r w:rsidRPr="0055722E">
        <w:rPr>
          <w:lang w:val="en-GB"/>
        </w:rPr>
        <w:t xml:space="preserve">, </w:t>
      </w:r>
      <w:r w:rsidR="003E3038">
        <w:rPr>
          <w:lang w:val="en-GB"/>
        </w:rPr>
        <w:t>Argentin</w:t>
      </w:r>
      <w:r>
        <w:rPr>
          <w:lang w:val="en-GB"/>
        </w:rPr>
        <w:t>a</w:t>
      </w:r>
      <w:r w:rsidR="003E3038">
        <w:rPr>
          <w:lang w:val="en-GB"/>
        </w:rPr>
        <w:t xml:space="preserve"> </w:t>
      </w:r>
      <w:r>
        <w:rPr>
          <w:lang w:val="en-GB"/>
        </w:rPr>
        <w:t>passed</w:t>
      </w:r>
      <w:r w:rsidR="003E3038">
        <w:rPr>
          <w:lang w:val="en-GB"/>
        </w:rPr>
        <w:t xml:space="preserve"> </w:t>
      </w:r>
      <w:r w:rsidR="003E3038" w:rsidRPr="003E3038">
        <w:rPr>
          <w:i/>
          <w:lang w:val="en-GB"/>
        </w:rPr>
        <w:t>Law No. 25</w:t>
      </w:r>
      <w:r>
        <w:rPr>
          <w:i/>
          <w:lang w:val="en-GB"/>
        </w:rPr>
        <w:t>,</w:t>
      </w:r>
      <w:r w:rsidR="003E3038" w:rsidRPr="003E3038">
        <w:rPr>
          <w:i/>
          <w:lang w:val="en-GB"/>
        </w:rPr>
        <w:t xml:space="preserve">573 </w:t>
      </w:r>
      <w:r w:rsidR="006863D6" w:rsidRPr="006863D6">
        <w:rPr>
          <w:i/>
          <w:lang w:val="en-GB"/>
        </w:rPr>
        <w:t>on Vaccines to Generate Acquired Immunity against COVID-19</w:t>
      </w:r>
      <w:r w:rsidR="006863D6" w:rsidRPr="006863D6">
        <w:rPr>
          <w:lang w:val="en-GB"/>
        </w:rPr>
        <w:t xml:space="preserve">, </w:t>
      </w:r>
      <w:r w:rsidR="00696C96">
        <w:rPr>
          <w:lang w:val="en-GB"/>
        </w:rPr>
        <w:t>which</w:t>
      </w:r>
      <w:r>
        <w:rPr>
          <w:lang w:val="en-GB"/>
        </w:rPr>
        <w:t xml:space="preserve"> </w:t>
      </w:r>
      <w:r w:rsidR="006A5310">
        <w:rPr>
          <w:lang w:val="en-GB"/>
        </w:rPr>
        <w:t>should be given</w:t>
      </w:r>
      <w:r w:rsidRPr="0055722E">
        <w:rPr>
          <w:lang w:val="en-GB"/>
        </w:rPr>
        <w:t xml:space="preserve"> special attention </w:t>
      </w:r>
      <w:r w:rsidR="007914C9">
        <w:rPr>
          <w:lang w:val="en-GB"/>
        </w:rPr>
        <w:t>due to</w:t>
      </w:r>
      <w:r w:rsidR="006863D6" w:rsidRPr="006863D6">
        <w:rPr>
          <w:lang w:val="en-GB"/>
        </w:rPr>
        <w:t xml:space="preserve"> its impact on public finances and </w:t>
      </w:r>
      <w:r w:rsidR="00AB5BC8">
        <w:rPr>
          <w:lang w:val="en-GB"/>
        </w:rPr>
        <w:t xml:space="preserve">the </w:t>
      </w:r>
      <w:r w:rsidR="006863D6" w:rsidRPr="006863D6">
        <w:rPr>
          <w:lang w:val="en-GB"/>
        </w:rPr>
        <w:t>limitations o</w:t>
      </w:r>
      <w:r w:rsidR="00AB5BC8">
        <w:rPr>
          <w:lang w:val="en-GB"/>
        </w:rPr>
        <w:t>f</w:t>
      </w:r>
      <w:r w:rsidR="006863D6" w:rsidRPr="006863D6">
        <w:rPr>
          <w:lang w:val="en-GB"/>
        </w:rPr>
        <w:t xml:space="preserve"> the </w:t>
      </w:r>
      <w:r w:rsidR="003E3038">
        <w:rPr>
          <w:lang w:val="en-GB"/>
        </w:rPr>
        <w:t>State</w:t>
      </w:r>
      <w:r w:rsidR="00AB5BC8">
        <w:rPr>
          <w:lang w:val="en-GB"/>
        </w:rPr>
        <w:t>’s</w:t>
      </w:r>
      <w:r w:rsidR="003E3038">
        <w:rPr>
          <w:lang w:val="en-GB"/>
        </w:rPr>
        <w:t xml:space="preserve"> </w:t>
      </w:r>
      <w:r w:rsidR="006863D6" w:rsidRPr="006863D6">
        <w:rPr>
          <w:lang w:val="en-GB"/>
        </w:rPr>
        <w:t>responsibility in health matters.</w:t>
      </w:r>
      <w:r w:rsidR="001E7567">
        <w:rPr>
          <w:lang w:val="en-GB"/>
        </w:rPr>
        <w:t xml:space="preserve"> </w:t>
      </w:r>
      <w:r w:rsidR="007914C9">
        <w:rPr>
          <w:lang w:val="en-GB"/>
        </w:rPr>
        <w:t>The</w:t>
      </w:r>
      <w:r w:rsidR="000C390E">
        <w:rPr>
          <w:lang w:val="en-GB"/>
        </w:rPr>
        <w:t xml:space="preserve"> </w:t>
      </w:r>
      <w:r>
        <w:rPr>
          <w:lang w:val="en-GB"/>
        </w:rPr>
        <w:t>Executive</w:t>
      </w:r>
      <w:r w:rsidR="007E22F5">
        <w:rPr>
          <w:lang w:val="en-GB"/>
        </w:rPr>
        <w:t xml:space="preserve"> </w:t>
      </w:r>
      <w:r w:rsidR="000C390E" w:rsidRPr="000C390E">
        <w:rPr>
          <w:lang w:val="en-GB"/>
        </w:rPr>
        <w:t>(</w:t>
      </w:r>
      <w:r w:rsidR="00AB5BC8">
        <w:rPr>
          <w:lang w:val="en-GB"/>
        </w:rPr>
        <w:t>through</w:t>
      </w:r>
      <w:r w:rsidR="000C390E" w:rsidRPr="000C390E">
        <w:rPr>
          <w:lang w:val="en-GB"/>
        </w:rPr>
        <w:t xml:space="preserve"> </w:t>
      </w:r>
      <w:r w:rsidR="000C390E">
        <w:rPr>
          <w:lang w:val="en-GB"/>
        </w:rPr>
        <w:t>the</w:t>
      </w:r>
      <w:r w:rsidR="000C390E" w:rsidRPr="000C390E">
        <w:rPr>
          <w:lang w:val="en-GB"/>
        </w:rPr>
        <w:t xml:space="preserve"> Ministry of Health)</w:t>
      </w:r>
      <w:r w:rsidR="007E22F5">
        <w:rPr>
          <w:lang w:val="en-GB"/>
        </w:rPr>
        <w:t xml:space="preserve"> </w:t>
      </w:r>
      <w:r w:rsidR="00AB5BC8">
        <w:rPr>
          <w:lang w:val="en-GB"/>
        </w:rPr>
        <w:t>is authorised</w:t>
      </w:r>
      <w:r w:rsidR="007914C9">
        <w:rPr>
          <w:lang w:val="en-GB"/>
        </w:rPr>
        <w:t xml:space="preserve"> </w:t>
      </w:r>
      <w:r w:rsidR="000C390E">
        <w:rPr>
          <w:lang w:val="en-GB"/>
        </w:rPr>
        <w:t>t</w:t>
      </w:r>
      <w:r w:rsidR="000C390E" w:rsidRPr="000C390E">
        <w:rPr>
          <w:lang w:val="en-GB"/>
        </w:rPr>
        <w:t>o in</w:t>
      </w:r>
      <w:r>
        <w:rPr>
          <w:lang w:val="en-GB"/>
        </w:rPr>
        <w:t>clude</w:t>
      </w:r>
      <w:r w:rsidR="000C390E" w:rsidRPr="000C390E">
        <w:rPr>
          <w:lang w:val="en-GB"/>
        </w:rPr>
        <w:t xml:space="preserve"> indemni</w:t>
      </w:r>
      <w:r>
        <w:rPr>
          <w:lang w:val="en-GB"/>
        </w:rPr>
        <w:t>ty clauses</w:t>
      </w:r>
      <w:r w:rsidR="000C390E" w:rsidRPr="000C390E">
        <w:rPr>
          <w:lang w:val="en-GB"/>
        </w:rPr>
        <w:t xml:space="preserve"> in the contracts and other ancillary documents that are concluded for the </w:t>
      </w:r>
      <w:r>
        <w:rPr>
          <w:lang w:val="en-GB"/>
        </w:rPr>
        <w:t>acquisition</w:t>
      </w:r>
      <w:r w:rsidR="000C390E" w:rsidRPr="000C390E">
        <w:rPr>
          <w:lang w:val="en-GB"/>
        </w:rPr>
        <w:t xml:space="preserve"> of the vaccines (sec. 4), in accordance </w:t>
      </w:r>
      <w:r w:rsidR="007E22F5">
        <w:rPr>
          <w:lang w:val="en-GB"/>
        </w:rPr>
        <w:t>with</w:t>
      </w:r>
      <w:r w:rsidR="000C390E" w:rsidRPr="000C390E">
        <w:rPr>
          <w:lang w:val="en-GB"/>
        </w:rPr>
        <w:t xml:space="preserve"> the special purchasing procedure established by Decree No. 260/20, its amendment and Administrative Decision No. 1721/20.</w:t>
      </w:r>
      <w:r w:rsidR="00607E01" w:rsidRPr="00607E01">
        <w:rPr>
          <w:lang w:val="en-GB"/>
        </w:rPr>
        <w:t xml:space="preserve"> </w:t>
      </w:r>
      <w:r w:rsidR="00607E01">
        <w:rPr>
          <w:lang w:val="en-GB"/>
        </w:rPr>
        <w:t>I</w:t>
      </w:r>
      <w:r w:rsidR="00607E01" w:rsidRPr="00607E01">
        <w:rPr>
          <w:lang w:val="en-GB"/>
        </w:rPr>
        <w:t>ndemnity in respect of compensation and other pecuniary claims related to and in favo</w:t>
      </w:r>
      <w:r w:rsidR="00607E01">
        <w:rPr>
          <w:lang w:val="en-GB"/>
        </w:rPr>
        <w:t>u</w:t>
      </w:r>
      <w:r w:rsidR="00607E01" w:rsidRPr="00607E01">
        <w:rPr>
          <w:lang w:val="en-GB"/>
        </w:rPr>
        <w:t xml:space="preserve">r of those participating in the research, development, manufacture, provision and supply of the </w:t>
      </w:r>
      <w:r w:rsidR="00607E01">
        <w:rPr>
          <w:lang w:val="en-GB"/>
        </w:rPr>
        <w:t>v</w:t>
      </w:r>
      <w:r w:rsidR="00607E01" w:rsidRPr="00607E01">
        <w:rPr>
          <w:lang w:val="en-GB"/>
        </w:rPr>
        <w:t>accines</w:t>
      </w:r>
      <w:r w:rsidR="00607E01">
        <w:rPr>
          <w:lang w:val="en-GB"/>
        </w:rPr>
        <w:t xml:space="preserve"> is established therein</w:t>
      </w:r>
      <w:r w:rsidR="00607E01" w:rsidRPr="00607E01">
        <w:rPr>
          <w:lang w:val="en-GB"/>
        </w:rPr>
        <w:t xml:space="preserve"> (</w:t>
      </w:r>
      <w:r w:rsidR="00607E01">
        <w:rPr>
          <w:lang w:val="en-GB"/>
        </w:rPr>
        <w:t>sec</w:t>
      </w:r>
      <w:r w:rsidR="00607E01" w:rsidRPr="00607E01">
        <w:rPr>
          <w:lang w:val="en-GB"/>
        </w:rPr>
        <w:t>. 4)</w:t>
      </w:r>
      <w:r w:rsidR="00607E01">
        <w:rPr>
          <w:lang w:val="en-GB"/>
        </w:rPr>
        <w:t xml:space="preserve">, </w:t>
      </w:r>
      <w:r w:rsidR="0006197E">
        <w:rPr>
          <w:lang w:val="en-GB"/>
        </w:rPr>
        <w:t>except</w:t>
      </w:r>
      <w:r w:rsidR="00696C96" w:rsidRPr="00696C96">
        <w:rPr>
          <w:lang w:val="en-GB"/>
        </w:rPr>
        <w:t xml:space="preserve"> </w:t>
      </w:r>
      <w:r w:rsidR="00AB5BC8">
        <w:rPr>
          <w:lang w:val="en-GB"/>
        </w:rPr>
        <w:t>those</w:t>
      </w:r>
      <w:r w:rsidR="0006197E">
        <w:rPr>
          <w:lang w:val="en-GB"/>
        </w:rPr>
        <w:t xml:space="preserve"> originated by</w:t>
      </w:r>
      <w:r w:rsidR="0006197E" w:rsidRPr="0006197E">
        <w:rPr>
          <w:lang w:val="en-GB"/>
        </w:rPr>
        <w:t xml:space="preserve"> </w:t>
      </w:r>
      <w:r w:rsidR="0006197E">
        <w:rPr>
          <w:lang w:val="en-GB"/>
        </w:rPr>
        <w:t>m</w:t>
      </w:r>
      <w:r w:rsidR="00696C96" w:rsidRPr="00696C96">
        <w:rPr>
          <w:lang w:val="en-GB"/>
        </w:rPr>
        <w:t>alicious conduct on the part of the aforementioned subjects.</w:t>
      </w:r>
      <w:r w:rsidR="006E407E">
        <w:rPr>
          <w:lang w:val="en-GB"/>
        </w:rPr>
        <w:t xml:space="preserve"> </w:t>
      </w:r>
      <w:r w:rsidR="00726D36" w:rsidRPr="00726D36">
        <w:rPr>
          <w:lang w:val="en-GB"/>
        </w:rPr>
        <w:t>Furthermore, Decree No. 431/2021</w:t>
      </w:r>
      <w:r w:rsidR="00726D36">
        <w:rPr>
          <w:lang w:val="en-GB"/>
        </w:rPr>
        <w:t xml:space="preserve"> (sec. 3)</w:t>
      </w:r>
      <w:r w:rsidR="00726D36" w:rsidRPr="00726D36">
        <w:rPr>
          <w:lang w:val="en-GB"/>
        </w:rPr>
        <w:t xml:space="preserve">, </w:t>
      </w:r>
      <w:r w:rsidR="00726D36">
        <w:rPr>
          <w:lang w:val="en-GB"/>
        </w:rPr>
        <w:t>published</w:t>
      </w:r>
      <w:r w:rsidR="00726D36" w:rsidRPr="00726D36">
        <w:rPr>
          <w:lang w:val="en-GB"/>
        </w:rPr>
        <w:t xml:space="preserve"> in the Official Bulletin on 07/03/21, added section 8bis to the </w:t>
      </w:r>
      <w:r w:rsidR="0006197E">
        <w:rPr>
          <w:lang w:val="en-GB"/>
        </w:rPr>
        <w:t>abovementioned L</w:t>
      </w:r>
      <w:r w:rsidR="00726D36" w:rsidRPr="00726D36">
        <w:rPr>
          <w:lang w:val="en-GB"/>
        </w:rPr>
        <w:t>aw</w:t>
      </w:r>
      <w:r w:rsidR="00F02F0F">
        <w:rPr>
          <w:lang w:val="en-GB"/>
        </w:rPr>
        <w:t>. Th</w:t>
      </w:r>
      <w:r w:rsidR="00242C7F">
        <w:rPr>
          <w:lang w:val="en-GB"/>
        </w:rPr>
        <w:t>u</w:t>
      </w:r>
      <w:r w:rsidR="00F02F0F">
        <w:rPr>
          <w:lang w:val="en-GB"/>
        </w:rPr>
        <w:t>s</w:t>
      </w:r>
      <w:r w:rsidR="00242C7F">
        <w:rPr>
          <w:lang w:val="en-GB"/>
        </w:rPr>
        <w:t xml:space="preserve">, </w:t>
      </w:r>
      <w:r w:rsidR="00F02F0F">
        <w:rPr>
          <w:lang w:val="en-GB"/>
        </w:rPr>
        <w:t>the</w:t>
      </w:r>
      <w:r w:rsidR="00D56D71" w:rsidRPr="00D56D71">
        <w:rPr>
          <w:lang w:val="en-GB"/>
        </w:rPr>
        <w:t xml:space="preserve"> </w:t>
      </w:r>
      <w:r w:rsidR="00D56D71" w:rsidRPr="00D56D71">
        <w:rPr>
          <w:i/>
          <w:lang w:val="en-GB"/>
        </w:rPr>
        <w:t>COVID-19 Reparation Fund</w:t>
      </w:r>
      <w:r w:rsidR="00D56D71" w:rsidRPr="00D56D71">
        <w:rPr>
          <w:lang w:val="en-GB"/>
        </w:rPr>
        <w:t xml:space="preserve"> </w:t>
      </w:r>
      <w:r w:rsidR="00242C7F">
        <w:rPr>
          <w:lang w:val="en-GB"/>
        </w:rPr>
        <w:t>was created intended to</w:t>
      </w:r>
      <w:r w:rsidR="00D56D71" w:rsidRPr="00D56D71">
        <w:rPr>
          <w:lang w:val="en-GB"/>
        </w:rPr>
        <w:t xml:space="preserve"> </w:t>
      </w:r>
      <w:r w:rsidR="00F02F0F">
        <w:rPr>
          <w:lang w:val="en-GB"/>
        </w:rPr>
        <w:t xml:space="preserve">provide </w:t>
      </w:r>
      <w:r w:rsidR="00D56D71" w:rsidRPr="00D56D71">
        <w:rPr>
          <w:lang w:val="en-GB"/>
        </w:rPr>
        <w:t>compensation</w:t>
      </w:r>
      <w:r w:rsidR="002B7855">
        <w:rPr>
          <w:lang w:val="en-GB"/>
        </w:rPr>
        <w:t>, within the scope of the law,</w:t>
      </w:r>
      <w:r w:rsidR="00D56D71" w:rsidRPr="00D56D71">
        <w:rPr>
          <w:lang w:val="en-GB"/>
        </w:rPr>
        <w:t xml:space="preserve"> to individuals who have suffered physical harm as a result of using the vaccine. </w:t>
      </w:r>
    </w:p>
    <w:p w14:paraId="4CCC0B26" w14:textId="77777777" w:rsidR="007644E2" w:rsidRDefault="006E407E" w:rsidP="00D41235">
      <w:pPr>
        <w:pStyle w:val="NoSpacing"/>
        <w:ind w:left="708"/>
        <w:jc w:val="both"/>
        <w:rPr>
          <w:lang w:val="en-GB"/>
        </w:rPr>
      </w:pPr>
      <w:r w:rsidRPr="006E407E">
        <w:rPr>
          <w:lang w:val="en-GB"/>
        </w:rPr>
        <w:t>The renegotiation of the external debt also contributed to reduce the financial burden and ensure long-term fiscal sustainability.</w:t>
      </w:r>
      <w:r w:rsidR="00D41235">
        <w:rPr>
          <w:lang w:val="en-GB"/>
        </w:rPr>
        <w:t xml:space="preserve"> In</w:t>
      </w:r>
      <w:r w:rsidR="00D41235" w:rsidRPr="00D41235">
        <w:rPr>
          <w:lang w:val="en-GB"/>
        </w:rPr>
        <w:t xml:space="preserve"> 2020, Argentina re</w:t>
      </w:r>
      <w:r w:rsidR="00D41235">
        <w:rPr>
          <w:lang w:val="en-GB"/>
        </w:rPr>
        <w:t>scheduled</w:t>
      </w:r>
      <w:r w:rsidR="00D41235" w:rsidRPr="00D41235">
        <w:rPr>
          <w:lang w:val="en-GB"/>
        </w:rPr>
        <w:t xml:space="preserve"> its external debt by reducing the payments and extending the maturities, thus freeing up resources for social and economic investments.</w:t>
      </w:r>
    </w:p>
    <w:p w14:paraId="4AD492A9" w14:textId="77777777" w:rsidR="00D41235" w:rsidRPr="00D41235" w:rsidRDefault="00D41235" w:rsidP="00D41235">
      <w:pPr>
        <w:pStyle w:val="NoSpacing"/>
        <w:ind w:left="708"/>
        <w:jc w:val="both"/>
        <w:rPr>
          <w:lang w:val="en-GB"/>
        </w:rPr>
      </w:pPr>
    </w:p>
    <w:p w14:paraId="580B3FC6" w14:textId="77777777" w:rsidR="00156DEB" w:rsidRPr="00F612E1" w:rsidRDefault="00156DEB" w:rsidP="003C513E">
      <w:pPr>
        <w:pStyle w:val="NoSpacing"/>
        <w:numPr>
          <w:ilvl w:val="0"/>
          <w:numId w:val="1"/>
        </w:numPr>
        <w:jc w:val="both"/>
        <w:rPr>
          <w:b/>
          <w:lang w:val="en-GB"/>
        </w:rPr>
      </w:pPr>
      <w:r w:rsidRPr="00F612E1">
        <w:rPr>
          <w:b/>
          <w:lang w:val="en-GB"/>
        </w:rPr>
        <w:t>Do you have methodologies, indicators, or metrics on human rights or equality impact assessments that your government used in the context of debt sustainability analyses? Are there lessons learned from past and ongoing debt crisis on the risk and debt sustainability framework and how it can be reinforced for the promotion and protection of human rights?</w:t>
      </w:r>
    </w:p>
    <w:p w14:paraId="429A7BBA" w14:textId="77777777" w:rsidR="007644E2" w:rsidRDefault="007644E2" w:rsidP="00BE60C7">
      <w:pPr>
        <w:pStyle w:val="NoSpacing"/>
        <w:ind w:left="708"/>
        <w:jc w:val="both"/>
        <w:rPr>
          <w:lang w:val="en-GB"/>
        </w:rPr>
      </w:pPr>
    </w:p>
    <w:p w14:paraId="3B895E85" w14:textId="77777777" w:rsidR="00BE60C7" w:rsidRDefault="007644E2" w:rsidP="00BE60C7">
      <w:pPr>
        <w:pStyle w:val="NoSpacing"/>
        <w:ind w:left="708"/>
        <w:jc w:val="both"/>
        <w:rPr>
          <w:lang w:val="en-GB"/>
        </w:rPr>
      </w:pPr>
      <w:r w:rsidRPr="007644E2">
        <w:rPr>
          <w:lang w:val="en-GB"/>
        </w:rPr>
        <w:t>Public debt is considered sustainable if the government is able to meet all its current and future obligations without having to resort to exceptional measures or defaulting.</w:t>
      </w:r>
      <w:r w:rsidR="00A56FD4" w:rsidRPr="00A56FD4">
        <w:rPr>
          <w:vertAlign w:val="superscript"/>
          <w:lang w:val="en-GB"/>
        </w:rPr>
        <w:t>1</w:t>
      </w:r>
    </w:p>
    <w:p w14:paraId="1FFBE6E4" w14:textId="77777777" w:rsidR="00E9468C" w:rsidRPr="00E9468C" w:rsidRDefault="00E9468C" w:rsidP="00E9468C">
      <w:pPr>
        <w:pStyle w:val="NoSpacing"/>
        <w:ind w:left="708"/>
        <w:jc w:val="both"/>
        <w:rPr>
          <w:lang w:val="en-GB"/>
        </w:rPr>
      </w:pPr>
      <w:r w:rsidRPr="00E9468C">
        <w:rPr>
          <w:lang w:val="en-GB"/>
        </w:rPr>
        <w:t>According to the Argentine Congressional Budget Office</w:t>
      </w:r>
      <w:r w:rsidR="00A56FD4" w:rsidRPr="00A56FD4">
        <w:rPr>
          <w:vertAlign w:val="superscript"/>
          <w:lang w:val="en-GB"/>
        </w:rPr>
        <w:t>2</w:t>
      </w:r>
      <w:r w:rsidRPr="00E9468C">
        <w:rPr>
          <w:lang w:val="en-GB"/>
        </w:rPr>
        <w:t xml:space="preserve">, </w:t>
      </w:r>
      <w:r>
        <w:rPr>
          <w:lang w:val="en-GB"/>
        </w:rPr>
        <w:t>a</w:t>
      </w:r>
      <w:r w:rsidRPr="00E9468C">
        <w:rPr>
          <w:lang w:val="en-GB"/>
        </w:rPr>
        <w:t>s of January 31, 2024, the debt stock in pesos amounted to ARS91,591.133 billion and the debt stock in foreign currency amounted to the equivalent of USD267.99 billion.</w:t>
      </w:r>
      <w:r>
        <w:rPr>
          <w:lang w:val="en-GB"/>
        </w:rPr>
        <w:t xml:space="preserve"> </w:t>
      </w:r>
      <w:r w:rsidRPr="00E9468C">
        <w:rPr>
          <w:lang w:val="en-GB"/>
        </w:rPr>
        <w:t>This implied an increase of ARS7,719.312 billion and USD3.509 billion, respectively, compared to year-end 2023.</w:t>
      </w:r>
    </w:p>
    <w:p w14:paraId="1DD572C0" w14:textId="77777777" w:rsidR="001E7567" w:rsidRDefault="00E9468C" w:rsidP="008A32B3">
      <w:pPr>
        <w:pStyle w:val="NoSpacing"/>
        <w:ind w:left="708"/>
        <w:jc w:val="both"/>
        <w:rPr>
          <w:lang w:val="en-GB"/>
        </w:rPr>
      </w:pPr>
      <w:r w:rsidRPr="00E9468C">
        <w:rPr>
          <w:lang w:val="en-GB"/>
        </w:rPr>
        <w:t>The Treasury obtained financing in pesos for ARS3,315.767 billion, mainly through auctions of CER-adjustable securities, and financing in foreign currency for the equivalent of USD14.363 billion.</w:t>
      </w:r>
      <w:r>
        <w:rPr>
          <w:lang w:val="en-GB"/>
        </w:rPr>
        <w:t xml:space="preserve"> </w:t>
      </w:r>
      <w:r w:rsidRPr="00E9468C">
        <w:rPr>
          <w:lang w:val="en-GB"/>
        </w:rPr>
        <w:t>Of these, USD9.644 billion were placements of Treasury bills to the BCRA for the renewal of similar instruments.</w:t>
      </w:r>
      <w:r>
        <w:rPr>
          <w:lang w:val="en-GB"/>
        </w:rPr>
        <w:t xml:space="preserve"> </w:t>
      </w:r>
      <w:r w:rsidRPr="00E9468C">
        <w:rPr>
          <w:lang w:val="en-GB"/>
        </w:rPr>
        <w:t>The IMF disbursed the equivalent of USD4.7 billion (SDR3.5 billion), enabled by the approval of the seventh review of the Extended Fund Facility (EFF).</w:t>
      </w:r>
      <w:r>
        <w:rPr>
          <w:lang w:val="en-GB"/>
        </w:rPr>
        <w:t xml:space="preserve"> </w:t>
      </w:r>
      <w:r w:rsidRPr="00E9468C">
        <w:rPr>
          <w:lang w:val="en-GB"/>
        </w:rPr>
        <w:t xml:space="preserve">Debt maturities in domestic </w:t>
      </w:r>
    </w:p>
    <w:p w14:paraId="209FF2E3" w14:textId="77777777" w:rsidR="002902BC" w:rsidRDefault="002902BC" w:rsidP="008A32B3">
      <w:pPr>
        <w:pStyle w:val="NoSpacing"/>
        <w:ind w:left="708"/>
        <w:jc w:val="both"/>
        <w:rPr>
          <w:lang w:val="en-GB"/>
        </w:rPr>
      </w:pPr>
    </w:p>
    <w:p w14:paraId="3335BEB7" w14:textId="77777777" w:rsidR="00E951F2" w:rsidRDefault="00E951F2" w:rsidP="008A32B3">
      <w:pPr>
        <w:pStyle w:val="NoSpacing"/>
        <w:ind w:left="708"/>
        <w:jc w:val="both"/>
        <w:rPr>
          <w:lang w:val="en-GB"/>
        </w:rPr>
      </w:pPr>
    </w:p>
    <w:p w14:paraId="2FE23A90" w14:textId="77777777" w:rsidR="001E7567" w:rsidRDefault="001E7567" w:rsidP="008A32B3">
      <w:pPr>
        <w:pStyle w:val="NoSpacing"/>
        <w:ind w:left="708"/>
        <w:jc w:val="both"/>
        <w:rPr>
          <w:lang w:val="en-GB"/>
        </w:rPr>
      </w:pPr>
      <w:r>
        <w:rPr>
          <w:lang w:val="en-GB"/>
        </w:rPr>
        <w:t>-------------------------------------------------------------------------------------</w:t>
      </w:r>
    </w:p>
    <w:p w14:paraId="14ED761D" w14:textId="77777777" w:rsidR="001E7567" w:rsidRPr="001E7567" w:rsidRDefault="001E7567" w:rsidP="001E7567">
      <w:pPr>
        <w:pStyle w:val="NoSpacing"/>
        <w:ind w:left="708"/>
        <w:rPr>
          <w:sz w:val="18"/>
          <w:szCs w:val="18"/>
          <w:lang w:val="en-GB"/>
        </w:rPr>
      </w:pPr>
      <w:r w:rsidRPr="001E7567">
        <w:rPr>
          <w:sz w:val="18"/>
          <w:szCs w:val="18"/>
          <w:vertAlign w:val="superscript"/>
          <w:lang w:val="en-GB"/>
        </w:rPr>
        <w:t>1</w:t>
      </w:r>
      <w:r w:rsidRPr="001E7567">
        <w:rPr>
          <w:sz w:val="18"/>
          <w:szCs w:val="18"/>
          <w:lang w:val="en-GB"/>
        </w:rPr>
        <w:t xml:space="preserve"> What is debt sustainability? Available at: </w:t>
      </w:r>
      <w:hyperlink r:id="rId9" w:history="1">
        <w:r w:rsidRPr="001E7567">
          <w:rPr>
            <w:rStyle w:val="Hyperlink"/>
            <w:sz w:val="18"/>
            <w:szCs w:val="18"/>
            <w:lang w:val="en-GB"/>
          </w:rPr>
          <w:t>https://www.imf.org/external/pubs/ft/fandd/spa/2020/09/pdf/que-es-sustainability- deuda-essential.pdf</w:t>
        </w:r>
      </w:hyperlink>
      <w:r w:rsidRPr="001E7567">
        <w:rPr>
          <w:sz w:val="18"/>
          <w:szCs w:val="18"/>
          <w:lang w:val="en-GB"/>
        </w:rPr>
        <w:t xml:space="preserve"> </w:t>
      </w:r>
    </w:p>
    <w:p w14:paraId="74D8FB2B" w14:textId="77777777" w:rsidR="001E7567" w:rsidRPr="001E7567" w:rsidRDefault="001E7567" w:rsidP="001E7567">
      <w:pPr>
        <w:pStyle w:val="NoSpacing"/>
        <w:ind w:left="708"/>
        <w:rPr>
          <w:sz w:val="18"/>
          <w:szCs w:val="18"/>
          <w:lang w:val="en-GB"/>
        </w:rPr>
      </w:pPr>
      <w:r w:rsidRPr="001E7567">
        <w:rPr>
          <w:sz w:val="18"/>
          <w:szCs w:val="18"/>
          <w:lang w:val="en-GB"/>
        </w:rPr>
        <w:t xml:space="preserve"> </w:t>
      </w:r>
      <w:r w:rsidRPr="001E7567">
        <w:rPr>
          <w:sz w:val="18"/>
          <w:szCs w:val="18"/>
          <w:vertAlign w:val="superscript"/>
          <w:lang w:val="en-GB"/>
        </w:rPr>
        <w:t>2</w:t>
      </w:r>
      <w:r w:rsidRPr="001E7567">
        <w:rPr>
          <w:sz w:val="18"/>
          <w:szCs w:val="18"/>
          <w:lang w:val="en-GB"/>
        </w:rPr>
        <w:t xml:space="preserve"> Congress Budget Office (OPC, Spanish acronym). Available at: </w:t>
      </w:r>
      <w:hyperlink r:id="rId10" w:anchor=":~:text=Al%2031%20de%20enero20%de,implic%C3%B3%20un%20un%increment%de%20%de%247.719" w:history="1">
        <w:r w:rsidR="002902BC" w:rsidRPr="003932A3">
          <w:rPr>
            <w:rStyle w:val="Hyperlink"/>
            <w:sz w:val="18"/>
            <w:szCs w:val="18"/>
            <w:lang w:val="en-GB"/>
          </w:rPr>
          <w:t>https://www.opc.gobar/operacions-deuda-publica/operacions-deuda-publica-enero-2024/#:~:text=Al%2031%20de%20enero20%de,implic%C3%B3%20un%20un%increment%de%20%de%247.719</w:t>
        </w:r>
      </w:hyperlink>
      <w:r w:rsidRPr="001E7567">
        <w:rPr>
          <w:sz w:val="18"/>
          <w:szCs w:val="18"/>
          <w:lang w:val="en-GB"/>
        </w:rPr>
        <w:t xml:space="preserve">. </w:t>
      </w:r>
    </w:p>
    <w:p w14:paraId="43288925" w14:textId="77777777" w:rsidR="001E7567" w:rsidRDefault="001E7567" w:rsidP="001E7567">
      <w:pPr>
        <w:pStyle w:val="NoSpacing"/>
        <w:ind w:left="708"/>
        <w:rPr>
          <w:sz w:val="18"/>
          <w:szCs w:val="18"/>
          <w:lang w:val="en-GB"/>
        </w:rPr>
      </w:pPr>
      <w:r w:rsidRPr="001E7567">
        <w:rPr>
          <w:sz w:val="18"/>
          <w:szCs w:val="18"/>
          <w:lang w:val="en-GB"/>
        </w:rPr>
        <w:t xml:space="preserve"> </w:t>
      </w:r>
    </w:p>
    <w:p w14:paraId="05223945" w14:textId="77777777" w:rsidR="00E951F2" w:rsidRDefault="00E951F2" w:rsidP="001E7567">
      <w:pPr>
        <w:pStyle w:val="NoSpacing"/>
        <w:ind w:left="708"/>
        <w:rPr>
          <w:sz w:val="18"/>
          <w:szCs w:val="18"/>
          <w:lang w:val="en-GB"/>
        </w:rPr>
      </w:pPr>
    </w:p>
    <w:p w14:paraId="0CFBC3F7" w14:textId="77777777" w:rsidR="00DF3359" w:rsidRPr="001E7567" w:rsidRDefault="00DF3359" w:rsidP="001E7567">
      <w:pPr>
        <w:pStyle w:val="NoSpacing"/>
        <w:ind w:left="708"/>
        <w:rPr>
          <w:sz w:val="18"/>
          <w:szCs w:val="18"/>
          <w:lang w:val="en-GB"/>
        </w:rPr>
      </w:pPr>
    </w:p>
    <w:p w14:paraId="3199A18A" w14:textId="77777777" w:rsidR="008A32B3" w:rsidRPr="008A32B3" w:rsidRDefault="00E9468C" w:rsidP="008A32B3">
      <w:pPr>
        <w:pStyle w:val="NoSpacing"/>
        <w:ind w:left="708"/>
        <w:jc w:val="both"/>
        <w:rPr>
          <w:lang w:val="en-GB"/>
        </w:rPr>
      </w:pPr>
      <w:r w:rsidRPr="00E9468C">
        <w:rPr>
          <w:lang w:val="en-GB"/>
        </w:rPr>
        <w:lastRenderedPageBreak/>
        <w:t>currency for the February to June 2024 term are estimated at ARS36,539.643 billion and those in foreign currency at USD6.874 billion, of which the largest amount is payable to the IMF for the equivalent of USD3.534 billion.</w:t>
      </w:r>
      <w:r w:rsidR="00041931">
        <w:rPr>
          <w:lang w:val="en-GB"/>
        </w:rPr>
        <w:t xml:space="preserve"> </w:t>
      </w:r>
      <w:r w:rsidR="006A5310">
        <w:rPr>
          <w:lang w:val="en-GB"/>
        </w:rPr>
        <w:t>A</w:t>
      </w:r>
      <w:r w:rsidR="006A5310" w:rsidRPr="006A5310">
        <w:rPr>
          <w:lang w:val="en-GB"/>
        </w:rPr>
        <w:t>lthough the methodology for the official estimates is precise</w:t>
      </w:r>
      <w:r w:rsidR="002B7855" w:rsidRPr="002B7855">
        <w:rPr>
          <w:vertAlign w:val="superscript"/>
          <w:lang w:val="en-GB"/>
        </w:rPr>
        <w:t>3</w:t>
      </w:r>
      <w:r w:rsidR="006A5310" w:rsidRPr="006A5310">
        <w:rPr>
          <w:lang w:val="en-GB"/>
        </w:rPr>
        <w:t>, there are no indicators or metrics to assess the impact on the human rights of the Argentine population.</w:t>
      </w:r>
      <w:r w:rsidR="006A5310">
        <w:rPr>
          <w:lang w:val="en-GB"/>
        </w:rPr>
        <w:t xml:space="preserve"> </w:t>
      </w:r>
      <w:r w:rsidR="00F612E1" w:rsidRPr="00F612E1">
        <w:rPr>
          <w:lang w:val="en-GB"/>
        </w:rPr>
        <w:t>As</w:t>
      </w:r>
      <w:r w:rsidR="00BE5BB3">
        <w:rPr>
          <w:lang w:val="en-GB"/>
        </w:rPr>
        <w:t xml:space="preserve"> the</w:t>
      </w:r>
      <w:r w:rsidR="00F612E1" w:rsidRPr="00F612E1">
        <w:rPr>
          <w:lang w:val="en-GB"/>
        </w:rPr>
        <w:t xml:space="preserve"> </w:t>
      </w:r>
      <w:r w:rsidR="00F612E1" w:rsidRPr="00A56FD4">
        <w:rPr>
          <w:lang w:val="en-GB"/>
        </w:rPr>
        <w:t>UN debt expert</w:t>
      </w:r>
      <w:r w:rsidR="00F612E1" w:rsidRPr="00F612E1">
        <w:rPr>
          <w:lang w:val="en-GB"/>
        </w:rPr>
        <w:t xml:space="preserve"> </w:t>
      </w:r>
      <w:r w:rsidR="00AD13EA" w:rsidRPr="003C0BB4">
        <w:rPr>
          <w:i/>
          <w:lang w:val="en-GB"/>
        </w:rPr>
        <w:t xml:space="preserve">Ms. </w:t>
      </w:r>
      <w:proofErr w:type="spellStart"/>
      <w:r w:rsidR="00F612E1" w:rsidRPr="003C0BB4">
        <w:rPr>
          <w:i/>
          <w:lang w:val="en-GB"/>
        </w:rPr>
        <w:t>Attiya</w:t>
      </w:r>
      <w:proofErr w:type="spellEnd"/>
      <w:r w:rsidR="00F612E1" w:rsidRPr="003C0BB4">
        <w:rPr>
          <w:i/>
          <w:lang w:val="en-GB"/>
        </w:rPr>
        <w:t xml:space="preserve"> Waris</w:t>
      </w:r>
      <w:r w:rsidR="00A56FD4" w:rsidRPr="00A56FD4">
        <w:rPr>
          <w:vertAlign w:val="superscript"/>
          <w:lang w:val="en-GB"/>
        </w:rPr>
        <w:t>4</w:t>
      </w:r>
      <w:r w:rsidR="00F612E1" w:rsidRPr="00F612E1">
        <w:rPr>
          <w:lang w:val="en-GB"/>
        </w:rPr>
        <w:t xml:space="preserve"> </w:t>
      </w:r>
      <w:r w:rsidR="00AD13EA">
        <w:rPr>
          <w:lang w:val="en-GB"/>
        </w:rPr>
        <w:t xml:space="preserve">regrettably </w:t>
      </w:r>
      <w:r w:rsidR="00F612E1" w:rsidRPr="00F612E1">
        <w:rPr>
          <w:lang w:val="en-GB"/>
        </w:rPr>
        <w:t>noted during her visit to Argentina in 2022</w:t>
      </w:r>
      <w:r w:rsidR="00AD13EA">
        <w:rPr>
          <w:lang w:val="en-GB"/>
        </w:rPr>
        <w:t>:</w:t>
      </w:r>
      <w:r w:rsidR="00F612E1" w:rsidRPr="00F612E1">
        <w:rPr>
          <w:lang w:val="en-GB"/>
        </w:rPr>
        <w:t xml:space="preserve"> </w:t>
      </w:r>
      <w:r w:rsidR="003C0BB4">
        <w:rPr>
          <w:lang w:val="en-GB"/>
        </w:rPr>
        <w:t>“</w:t>
      </w:r>
      <w:r w:rsidR="00AD13EA" w:rsidRPr="00AD13EA">
        <w:rPr>
          <w:i/>
          <w:lang w:val="en-GB"/>
        </w:rPr>
        <w:t>the situation is deteriorating daily due to soaring inflation, launching large projects, multiple exchange rate practices and a regressive tax system, largely reliant on VAT, that particularly affects people living under the poverty line, among them indigenous communities</w:t>
      </w:r>
      <w:r w:rsidR="003C0BB4">
        <w:rPr>
          <w:i/>
          <w:lang w:val="en-GB"/>
        </w:rPr>
        <w:t>”.</w:t>
      </w:r>
      <w:r w:rsidR="00041931">
        <w:rPr>
          <w:i/>
          <w:lang w:val="en-GB"/>
        </w:rPr>
        <w:t xml:space="preserve"> </w:t>
      </w:r>
      <w:r w:rsidR="00041931" w:rsidRPr="00041931">
        <w:rPr>
          <w:lang w:val="en-GB"/>
        </w:rPr>
        <w:t>The measures taken by the new national authorities</w:t>
      </w:r>
      <w:r w:rsidR="00A56FD4" w:rsidRPr="00A56FD4">
        <w:rPr>
          <w:vertAlign w:val="superscript"/>
          <w:lang w:val="en-GB"/>
        </w:rPr>
        <w:t>5</w:t>
      </w:r>
      <w:r w:rsidR="00041931" w:rsidRPr="00041931">
        <w:rPr>
          <w:lang w:val="en-GB"/>
        </w:rPr>
        <w:t xml:space="preserve"> appear to be in line with the problems immediately identified by </w:t>
      </w:r>
      <w:r w:rsidR="00041931" w:rsidRPr="00DF3359">
        <w:rPr>
          <w:i/>
          <w:lang w:val="en-GB"/>
        </w:rPr>
        <w:t>Ms. Waris</w:t>
      </w:r>
      <w:r w:rsidR="00041931" w:rsidRPr="00041931">
        <w:rPr>
          <w:lang w:val="en-GB"/>
        </w:rPr>
        <w:t>, but a reliable method is necessary to assess their impact on human rights.</w:t>
      </w:r>
    </w:p>
    <w:p w14:paraId="6DD6F78F" w14:textId="77777777" w:rsidR="00BE5BB3" w:rsidRPr="008A32B3" w:rsidRDefault="00BE5BB3" w:rsidP="00690EF2">
      <w:pPr>
        <w:pStyle w:val="NoSpacing"/>
        <w:ind w:left="708"/>
        <w:jc w:val="both"/>
        <w:rPr>
          <w:lang w:val="en-GB"/>
        </w:rPr>
      </w:pPr>
    </w:p>
    <w:p w14:paraId="6AE40D47" w14:textId="77777777" w:rsidR="00156DEB" w:rsidRDefault="00156DEB" w:rsidP="00690EF2">
      <w:pPr>
        <w:pStyle w:val="NoSpacing"/>
        <w:numPr>
          <w:ilvl w:val="0"/>
          <w:numId w:val="1"/>
        </w:numPr>
        <w:jc w:val="both"/>
        <w:rPr>
          <w:b/>
          <w:lang w:val="en-GB"/>
        </w:rPr>
      </w:pPr>
      <w:r w:rsidRPr="00F612E1">
        <w:rPr>
          <w:b/>
          <w:lang w:val="en-GB"/>
        </w:rPr>
        <w:t>What do you see as the most urgent reforms of the international financial architecture to support governments’ efforts to reduce poverty, inequalities and realize human rights?</w:t>
      </w:r>
    </w:p>
    <w:p w14:paraId="49DE3F06" w14:textId="77777777" w:rsidR="00BF61D2" w:rsidRPr="00F612E1" w:rsidRDefault="00BF61D2" w:rsidP="00C22828">
      <w:pPr>
        <w:pStyle w:val="NoSpacing"/>
        <w:ind w:left="360"/>
        <w:jc w:val="both"/>
        <w:rPr>
          <w:b/>
          <w:lang w:val="en-GB"/>
        </w:rPr>
      </w:pPr>
    </w:p>
    <w:p w14:paraId="6E24A81D" w14:textId="77777777" w:rsidR="00CF7333" w:rsidRPr="00150308" w:rsidRDefault="00032E7A" w:rsidP="00150308">
      <w:pPr>
        <w:pStyle w:val="NoSpacing"/>
        <w:ind w:left="708"/>
        <w:jc w:val="both"/>
        <w:rPr>
          <w:lang w:val="en-GB"/>
        </w:rPr>
      </w:pPr>
      <w:r w:rsidRPr="00032E7A">
        <w:rPr>
          <w:lang w:val="en-GB"/>
        </w:rPr>
        <w:t>The international financial architecture refers to</w:t>
      </w:r>
      <w:r>
        <w:rPr>
          <w:lang w:val="en-GB"/>
        </w:rPr>
        <w:t xml:space="preserve"> </w:t>
      </w:r>
      <w:r w:rsidRPr="00032E7A">
        <w:rPr>
          <w:lang w:val="en-GB"/>
        </w:rPr>
        <w:t>the governance arrangements that safeguard</w:t>
      </w:r>
      <w:r>
        <w:rPr>
          <w:lang w:val="en-GB"/>
        </w:rPr>
        <w:t xml:space="preserve"> </w:t>
      </w:r>
      <w:r w:rsidRPr="00032E7A">
        <w:rPr>
          <w:lang w:val="en-GB"/>
        </w:rPr>
        <w:t>the stability and function of the global monetary</w:t>
      </w:r>
      <w:r>
        <w:rPr>
          <w:lang w:val="en-GB"/>
        </w:rPr>
        <w:t xml:space="preserve"> </w:t>
      </w:r>
      <w:r w:rsidRPr="00032E7A">
        <w:rPr>
          <w:lang w:val="en-GB"/>
        </w:rPr>
        <w:t>and financial systems</w:t>
      </w:r>
      <w:r w:rsidRPr="00032E7A">
        <w:rPr>
          <w:vertAlign w:val="superscript"/>
          <w:lang w:val="en-GB"/>
        </w:rPr>
        <w:t>6</w:t>
      </w:r>
      <w:r w:rsidRPr="00032E7A">
        <w:rPr>
          <w:lang w:val="en-GB"/>
        </w:rPr>
        <w:t>.</w:t>
      </w:r>
      <w:r w:rsidR="00DC1340">
        <w:rPr>
          <w:lang w:val="en-GB"/>
        </w:rPr>
        <w:t xml:space="preserve"> </w:t>
      </w:r>
      <w:r w:rsidR="00DC1340" w:rsidRPr="00DC1340">
        <w:rPr>
          <w:lang w:val="en-GB"/>
        </w:rPr>
        <w:t xml:space="preserve">Different </w:t>
      </w:r>
      <w:r w:rsidR="00132702">
        <w:rPr>
          <w:lang w:val="en-GB"/>
        </w:rPr>
        <w:t>actions</w:t>
      </w:r>
      <w:r w:rsidR="00DC1340" w:rsidRPr="00DC1340">
        <w:rPr>
          <w:lang w:val="en-GB"/>
        </w:rPr>
        <w:t xml:space="preserve"> have been proposed to promote human rights reform, reduce poverty, and address inequalities</w:t>
      </w:r>
      <w:r w:rsidR="00DC1340">
        <w:rPr>
          <w:lang w:val="en-GB"/>
        </w:rPr>
        <w:t>.</w:t>
      </w:r>
      <w:r w:rsidR="00BF61D2" w:rsidRPr="00BF61D2">
        <w:rPr>
          <w:lang w:val="en-GB"/>
        </w:rPr>
        <w:t xml:space="preserve"> </w:t>
      </w:r>
      <w:r w:rsidR="0093018F">
        <w:rPr>
          <w:lang w:val="en-GB"/>
        </w:rPr>
        <w:t>T</w:t>
      </w:r>
      <w:r w:rsidR="0093018F" w:rsidRPr="0093018F">
        <w:rPr>
          <w:lang w:val="en-GB"/>
        </w:rPr>
        <w:t>hese include</w:t>
      </w:r>
      <w:r w:rsidR="00065816">
        <w:rPr>
          <w:lang w:val="en-GB"/>
        </w:rPr>
        <w:t>:</w:t>
      </w:r>
      <w:r w:rsidR="00132702">
        <w:rPr>
          <w:lang w:val="en-GB"/>
        </w:rPr>
        <w:t xml:space="preserve"> transform the governance of International financial institutions; create a representative apex body to systematically enhance coherence of the international system; reduce debt risks and enhance sovereign debt markets to support sustainable development goals; </w:t>
      </w:r>
      <w:r w:rsidR="00037374">
        <w:rPr>
          <w:lang w:val="en-GB"/>
        </w:rPr>
        <w:t>enhance debt crisis resolution through a two-step process: a debt workout mechanism to support the common framework and, in the medium term, a sovereign debt authority; massively increase development lending and improve terms of lending; change the business models of multilateral development banks and other public development banks to focus on sustainable development goal impact, and more effectively leverage private finance for sustainable development goal impact; massively increase climate finance, while ensuring additionality; more effectively use the system of development banks to increase lending and sustainable development goal impact; ensure that the poorest can continue to benefit from the multilateral development bank system;</w:t>
      </w:r>
      <w:r w:rsidR="00CF7333">
        <w:rPr>
          <w:lang w:val="en-GB"/>
        </w:rPr>
        <w:t xml:space="preserve"> strengthen liquidity provision and widen the financial safety net; address capital market volatility; strengthen regulation and supervision of bank and non-bank financial institutions to better manage risks and rein in excessive leverage; make businesses more sustainable and reduce greenwashing; strengthen global financial integrity standards; strengthen global tax norms to address digitalization and globalization through an inclusive process, in ways that meet the needs and capacities of developing countries and other stakeholders; </w:t>
      </w:r>
      <w:r w:rsidR="00B15B74" w:rsidRPr="00B15B74">
        <w:rPr>
          <w:lang w:val="en-GB"/>
        </w:rPr>
        <w:t>improve pillar two of the proposal</w:t>
      </w:r>
      <w:r w:rsidR="00B15B74">
        <w:rPr>
          <w:lang w:val="en-GB"/>
        </w:rPr>
        <w:t xml:space="preserve"> by</w:t>
      </w:r>
      <w:r w:rsidR="00150308" w:rsidRPr="00150308">
        <w:rPr>
          <w:lang w:val="en-GB"/>
        </w:rPr>
        <w:t xml:space="preserve"> the OECD/G20 inclusive </w:t>
      </w:r>
    </w:p>
    <w:p w14:paraId="0F523FB3" w14:textId="77777777" w:rsidR="00CF7333" w:rsidRDefault="00352A03" w:rsidP="00352A03">
      <w:pPr>
        <w:pStyle w:val="NoSpacing"/>
        <w:ind w:left="708"/>
        <w:jc w:val="both"/>
        <w:rPr>
          <w:lang w:val="en-GB"/>
        </w:rPr>
      </w:pPr>
      <w:r>
        <w:rPr>
          <w:lang w:val="en-GB"/>
        </w:rPr>
        <w:t>framework on base erosion and profit shifting to reduce wasteful tax incentives, while</w:t>
      </w:r>
    </w:p>
    <w:p w14:paraId="61625D83" w14:textId="77777777" w:rsidR="00352A03" w:rsidRDefault="00352A03" w:rsidP="00352A03">
      <w:pPr>
        <w:pStyle w:val="NoSpacing"/>
        <w:ind w:left="708"/>
        <w:jc w:val="both"/>
        <w:rPr>
          <w:lang w:val="en-GB"/>
        </w:rPr>
      </w:pPr>
      <w:r>
        <w:rPr>
          <w:lang w:val="en-GB"/>
        </w:rPr>
        <w:t xml:space="preserve">better incentivizing taxation in source countries; and create global tax transparency and information-sharing frameworks that benefit all countries. </w:t>
      </w:r>
    </w:p>
    <w:p w14:paraId="15AA603B" w14:textId="77777777" w:rsidR="002902BC" w:rsidRDefault="002902BC" w:rsidP="002902BC">
      <w:pPr>
        <w:pStyle w:val="NoSpacing"/>
        <w:ind w:left="708"/>
        <w:jc w:val="both"/>
        <w:rPr>
          <w:lang w:val="en-GB"/>
        </w:rPr>
      </w:pPr>
      <w:r>
        <w:rPr>
          <w:lang w:val="en-GB"/>
        </w:rPr>
        <w:t>---------------------------------------------------------------------------------------</w:t>
      </w:r>
    </w:p>
    <w:p w14:paraId="443A71A7" w14:textId="77777777" w:rsidR="002902BC" w:rsidRPr="001E7567" w:rsidRDefault="002902BC" w:rsidP="002902BC">
      <w:pPr>
        <w:pStyle w:val="NoSpacing"/>
        <w:ind w:left="708"/>
        <w:rPr>
          <w:sz w:val="18"/>
          <w:szCs w:val="18"/>
          <w:lang w:val="en-GB"/>
        </w:rPr>
      </w:pPr>
      <w:r w:rsidRPr="001E7567">
        <w:rPr>
          <w:sz w:val="18"/>
          <w:szCs w:val="18"/>
          <w:vertAlign w:val="superscript"/>
          <w:lang w:val="en-GB"/>
        </w:rPr>
        <w:t>3</w:t>
      </w:r>
      <w:r w:rsidRPr="001E7567">
        <w:rPr>
          <w:sz w:val="18"/>
          <w:szCs w:val="18"/>
          <w:lang w:val="en-GB"/>
        </w:rPr>
        <w:t xml:space="preserve"> Available at: </w:t>
      </w:r>
      <w:hyperlink r:id="rId11" w:history="1">
        <w:r w:rsidRPr="001E7567">
          <w:rPr>
            <w:rStyle w:val="Hyperlink"/>
            <w:sz w:val="18"/>
            <w:szCs w:val="18"/>
            <w:lang w:val="en-GB"/>
          </w:rPr>
          <w:t xml:space="preserve">https://www.opc.gob.ar/download/32216/? </w:t>
        </w:r>
        <w:proofErr w:type="spellStart"/>
        <w:r w:rsidRPr="001E7567">
          <w:rPr>
            <w:rStyle w:val="Hyperlink"/>
            <w:sz w:val="18"/>
            <w:szCs w:val="18"/>
            <w:lang w:val="en-GB"/>
          </w:rPr>
          <w:t>tmstv</w:t>
        </w:r>
        <w:proofErr w:type="spellEnd"/>
        <w:r w:rsidRPr="001E7567">
          <w:rPr>
            <w:rStyle w:val="Hyperlink"/>
            <w:sz w:val="18"/>
            <w:szCs w:val="18"/>
            <w:lang w:val="en-GB"/>
          </w:rPr>
          <w:t>=1708625565</w:t>
        </w:r>
      </w:hyperlink>
      <w:r w:rsidRPr="001E7567">
        <w:rPr>
          <w:sz w:val="18"/>
          <w:szCs w:val="18"/>
          <w:lang w:val="en-GB"/>
        </w:rPr>
        <w:t xml:space="preserve"> </w:t>
      </w:r>
    </w:p>
    <w:p w14:paraId="1126F2AE" w14:textId="77777777" w:rsidR="002902BC" w:rsidRPr="002902BC" w:rsidRDefault="002902BC" w:rsidP="002902BC">
      <w:pPr>
        <w:pStyle w:val="NoSpacing"/>
        <w:ind w:left="708"/>
        <w:rPr>
          <w:sz w:val="18"/>
          <w:szCs w:val="18"/>
          <w:lang w:val="en-GB"/>
        </w:rPr>
      </w:pPr>
      <w:r w:rsidRPr="002902BC">
        <w:rPr>
          <w:sz w:val="18"/>
          <w:szCs w:val="18"/>
          <w:vertAlign w:val="superscript"/>
          <w:lang w:val="en-GB"/>
        </w:rPr>
        <w:t>4</w:t>
      </w:r>
      <w:r w:rsidRPr="002902BC">
        <w:rPr>
          <w:sz w:val="18"/>
          <w:szCs w:val="18"/>
          <w:lang w:val="en-GB"/>
        </w:rPr>
        <w:t xml:space="preserve"> Available at: </w:t>
      </w:r>
      <w:hyperlink r:id="rId12" w:history="1">
        <w:r w:rsidRPr="002902BC">
          <w:rPr>
            <w:rStyle w:val="Hyperlink"/>
            <w:sz w:val="18"/>
            <w:szCs w:val="18"/>
            <w:lang w:val="en-GB"/>
          </w:rPr>
          <w:t>https://www.ohchr.org/es/press-releases/2022/10/un-debt-expert-urges-argentina-maximise-resources-uphold-human-rights-and</w:t>
        </w:r>
      </w:hyperlink>
    </w:p>
    <w:p w14:paraId="1E38BCFA" w14:textId="77777777" w:rsidR="002902BC" w:rsidRPr="001E7567" w:rsidRDefault="002902BC" w:rsidP="002902BC">
      <w:pPr>
        <w:pStyle w:val="NoSpacing"/>
        <w:ind w:left="708"/>
        <w:rPr>
          <w:sz w:val="18"/>
          <w:szCs w:val="18"/>
          <w:lang w:val="en-GB"/>
        </w:rPr>
      </w:pPr>
      <w:r w:rsidRPr="001E7567">
        <w:rPr>
          <w:sz w:val="18"/>
          <w:szCs w:val="18"/>
          <w:vertAlign w:val="superscript"/>
          <w:lang w:val="en-GB"/>
        </w:rPr>
        <w:t>5</w:t>
      </w:r>
      <w:r w:rsidRPr="001E7567">
        <w:rPr>
          <w:sz w:val="18"/>
          <w:szCs w:val="18"/>
          <w:lang w:val="en-GB"/>
        </w:rPr>
        <w:t xml:space="preserve"> Available at: </w:t>
      </w:r>
      <w:hyperlink r:id="rId13" w:history="1">
        <w:r w:rsidRPr="001E7567">
          <w:rPr>
            <w:rStyle w:val="Hyperlink"/>
            <w:sz w:val="18"/>
            <w:szCs w:val="18"/>
            <w:lang w:val="en-GB"/>
          </w:rPr>
          <w:t>https://www.eleconomista.es/economia/noticias/12731049/03/24/cien-dias-de-milei-los-cinco-indicadores-que-revelan-el-exito-financiero-de-un-experimento-que-aboca-a-argentina-a-la-recesion.html?utm_medium=social&amp;utm_source=LinkedIn&amp;utm_campaign=eEnoticias</w:t>
        </w:r>
      </w:hyperlink>
    </w:p>
    <w:p w14:paraId="01B68C67" w14:textId="77777777" w:rsidR="001E7567" w:rsidRDefault="002902BC" w:rsidP="00352A03">
      <w:pPr>
        <w:ind w:left="708"/>
        <w:rPr>
          <w:sz w:val="18"/>
          <w:szCs w:val="18"/>
          <w:lang w:val="en-GB"/>
        </w:rPr>
      </w:pPr>
      <w:r w:rsidRPr="001E7567">
        <w:rPr>
          <w:sz w:val="18"/>
          <w:szCs w:val="18"/>
          <w:vertAlign w:val="superscript"/>
          <w:lang w:val="en-GB"/>
        </w:rPr>
        <w:t>6</w:t>
      </w:r>
      <w:r w:rsidRPr="001E7567">
        <w:rPr>
          <w:sz w:val="18"/>
          <w:szCs w:val="18"/>
          <w:lang w:val="en-GB"/>
        </w:rPr>
        <w:t xml:space="preserve"> Available from: </w:t>
      </w:r>
      <w:hyperlink r:id="rId14" w:history="1">
        <w:r w:rsidRPr="001E7567">
          <w:rPr>
            <w:rStyle w:val="Hyperlink"/>
            <w:sz w:val="18"/>
            <w:szCs w:val="18"/>
            <w:lang w:val="en-GB"/>
          </w:rPr>
          <w:t>https://digitallibrary.un.org/record/4012531/files/%5EEOSG_2023_6%5E-EOSG_2023_6-EN.pdf</w:t>
        </w:r>
      </w:hyperlink>
    </w:p>
    <w:sectPr w:rsidR="001E7567" w:rsidSect="0039365C">
      <w:footerReference w:type="default" r:id="rId15"/>
      <w:pgSz w:w="11906" w:h="16838" w:code="9"/>
      <w:pgMar w:top="1440" w:right="1080" w:bottom="1440" w:left="1080" w:header="709" w:footer="709"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ED8DE" w14:textId="77777777" w:rsidR="00607E01" w:rsidRDefault="00607E01" w:rsidP="00607E01">
      <w:pPr>
        <w:spacing w:after="0" w:line="240" w:lineRule="auto"/>
      </w:pPr>
      <w:r>
        <w:separator/>
      </w:r>
    </w:p>
  </w:endnote>
  <w:endnote w:type="continuationSeparator" w:id="0">
    <w:p w14:paraId="5B36268F" w14:textId="77777777" w:rsidR="00607E01" w:rsidRDefault="00607E01" w:rsidP="00607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0561605"/>
      <w:docPartObj>
        <w:docPartGallery w:val="Page Numbers (Bottom of Page)"/>
        <w:docPartUnique/>
      </w:docPartObj>
    </w:sdtPr>
    <w:sdtEndPr/>
    <w:sdtContent>
      <w:p w14:paraId="02CF9916" w14:textId="77777777" w:rsidR="00607E01" w:rsidRDefault="00607E01">
        <w:pPr>
          <w:pStyle w:val="Footer"/>
          <w:jc w:val="right"/>
        </w:pPr>
        <w:r>
          <w:fldChar w:fldCharType="begin"/>
        </w:r>
        <w:r>
          <w:instrText>PAGE   \* MERGEFORMAT</w:instrText>
        </w:r>
        <w:r>
          <w:fldChar w:fldCharType="separate"/>
        </w:r>
        <w:r>
          <w:rPr>
            <w:lang w:val="es-ES"/>
          </w:rPr>
          <w:t>2</w:t>
        </w:r>
        <w:r>
          <w:fldChar w:fldCharType="end"/>
        </w:r>
      </w:p>
    </w:sdtContent>
  </w:sdt>
  <w:p w14:paraId="713095AA" w14:textId="77777777" w:rsidR="00607E01" w:rsidRDefault="00607E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BE03E" w14:textId="77777777" w:rsidR="00607E01" w:rsidRDefault="00607E01" w:rsidP="00607E01">
      <w:pPr>
        <w:spacing w:after="0" w:line="240" w:lineRule="auto"/>
      </w:pPr>
      <w:r>
        <w:separator/>
      </w:r>
    </w:p>
  </w:footnote>
  <w:footnote w:type="continuationSeparator" w:id="0">
    <w:p w14:paraId="00E24774" w14:textId="77777777" w:rsidR="00607E01" w:rsidRDefault="00607E01" w:rsidP="00607E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C6D55"/>
    <w:multiLevelType w:val="hybridMultilevel"/>
    <w:tmpl w:val="26AC1DD4"/>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1" w15:restartNumberingAfterBreak="0">
    <w:nsid w:val="3F821A78"/>
    <w:multiLevelType w:val="hybridMultilevel"/>
    <w:tmpl w:val="3604811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67742D50"/>
    <w:multiLevelType w:val="hybridMultilevel"/>
    <w:tmpl w:val="3692D366"/>
    <w:lvl w:ilvl="0" w:tplc="3146C508">
      <w:start w:val="3"/>
      <w:numFmt w:val="bullet"/>
      <w:lvlText w:val=""/>
      <w:lvlJc w:val="left"/>
      <w:pPr>
        <w:ind w:left="720" w:hanging="360"/>
      </w:pPr>
      <w:rPr>
        <w:rFonts w:ascii="Symbol" w:eastAsiaTheme="minorHAnsi" w:hAnsi="Symbol"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2066831041">
    <w:abstractNumId w:val="2"/>
  </w:num>
  <w:num w:numId="2" w16cid:durableId="603075397">
    <w:abstractNumId w:val="0"/>
  </w:num>
  <w:num w:numId="3" w16cid:durableId="17383574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DEB"/>
    <w:rsid w:val="00032E7A"/>
    <w:rsid w:val="00037374"/>
    <w:rsid w:val="00041931"/>
    <w:rsid w:val="0006197E"/>
    <w:rsid w:val="000627DD"/>
    <w:rsid w:val="00065816"/>
    <w:rsid w:val="00074E55"/>
    <w:rsid w:val="00097C75"/>
    <w:rsid w:val="000C390E"/>
    <w:rsid w:val="000D6BA9"/>
    <w:rsid w:val="000D745A"/>
    <w:rsid w:val="000E4862"/>
    <w:rsid w:val="00103841"/>
    <w:rsid w:val="00132702"/>
    <w:rsid w:val="001475DA"/>
    <w:rsid w:val="00150308"/>
    <w:rsid w:val="00156DEB"/>
    <w:rsid w:val="00170E2B"/>
    <w:rsid w:val="001836AA"/>
    <w:rsid w:val="001978FB"/>
    <w:rsid w:val="001B0F0D"/>
    <w:rsid w:val="001D360B"/>
    <w:rsid w:val="001E6A14"/>
    <w:rsid w:val="001E71EC"/>
    <w:rsid w:val="001E7567"/>
    <w:rsid w:val="00200CF5"/>
    <w:rsid w:val="00205785"/>
    <w:rsid w:val="00227C25"/>
    <w:rsid w:val="0023221A"/>
    <w:rsid w:val="00242C7F"/>
    <w:rsid w:val="0024546A"/>
    <w:rsid w:val="002711AA"/>
    <w:rsid w:val="002902BC"/>
    <w:rsid w:val="002B3C7D"/>
    <w:rsid w:val="002B7855"/>
    <w:rsid w:val="002F4711"/>
    <w:rsid w:val="003024CF"/>
    <w:rsid w:val="00352A03"/>
    <w:rsid w:val="00363092"/>
    <w:rsid w:val="003713E0"/>
    <w:rsid w:val="00372C76"/>
    <w:rsid w:val="003831E1"/>
    <w:rsid w:val="0039365C"/>
    <w:rsid w:val="003B387A"/>
    <w:rsid w:val="003C0BB4"/>
    <w:rsid w:val="003C513E"/>
    <w:rsid w:val="003D1C96"/>
    <w:rsid w:val="003D483F"/>
    <w:rsid w:val="003E3038"/>
    <w:rsid w:val="0040752E"/>
    <w:rsid w:val="00432701"/>
    <w:rsid w:val="0044440C"/>
    <w:rsid w:val="00457D89"/>
    <w:rsid w:val="0047243B"/>
    <w:rsid w:val="004E296A"/>
    <w:rsid w:val="004F17C3"/>
    <w:rsid w:val="004F7E10"/>
    <w:rsid w:val="0055722E"/>
    <w:rsid w:val="00557D26"/>
    <w:rsid w:val="005967BD"/>
    <w:rsid w:val="005B60EC"/>
    <w:rsid w:val="005B7262"/>
    <w:rsid w:val="005E280E"/>
    <w:rsid w:val="00607E01"/>
    <w:rsid w:val="00610494"/>
    <w:rsid w:val="006234B1"/>
    <w:rsid w:val="00626BDD"/>
    <w:rsid w:val="006863D6"/>
    <w:rsid w:val="00687733"/>
    <w:rsid w:val="00690EF2"/>
    <w:rsid w:val="00696C96"/>
    <w:rsid w:val="006A5310"/>
    <w:rsid w:val="006C7D49"/>
    <w:rsid w:val="006E407E"/>
    <w:rsid w:val="00726D36"/>
    <w:rsid w:val="00735935"/>
    <w:rsid w:val="0074176B"/>
    <w:rsid w:val="007644E2"/>
    <w:rsid w:val="007914C9"/>
    <w:rsid w:val="00795393"/>
    <w:rsid w:val="007E22F5"/>
    <w:rsid w:val="007F1450"/>
    <w:rsid w:val="00840ECC"/>
    <w:rsid w:val="00841973"/>
    <w:rsid w:val="00874FAA"/>
    <w:rsid w:val="00892EE1"/>
    <w:rsid w:val="008A32B3"/>
    <w:rsid w:val="008A6749"/>
    <w:rsid w:val="008F6BCB"/>
    <w:rsid w:val="009061CE"/>
    <w:rsid w:val="00917D93"/>
    <w:rsid w:val="009213AD"/>
    <w:rsid w:val="009272D8"/>
    <w:rsid w:val="0093018F"/>
    <w:rsid w:val="00930DA9"/>
    <w:rsid w:val="00943949"/>
    <w:rsid w:val="009A4A71"/>
    <w:rsid w:val="009F34DB"/>
    <w:rsid w:val="00A17D4A"/>
    <w:rsid w:val="00A55075"/>
    <w:rsid w:val="00A55499"/>
    <w:rsid w:val="00A56FD4"/>
    <w:rsid w:val="00AA4841"/>
    <w:rsid w:val="00AB2F80"/>
    <w:rsid w:val="00AB5BC8"/>
    <w:rsid w:val="00AD0A8C"/>
    <w:rsid w:val="00AD13EA"/>
    <w:rsid w:val="00AF13AE"/>
    <w:rsid w:val="00B02684"/>
    <w:rsid w:val="00B0383C"/>
    <w:rsid w:val="00B13723"/>
    <w:rsid w:val="00B15B74"/>
    <w:rsid w:val="00B17ED2"/>
    <w:rsid w:val="00B2256F"/>
    <w:rsid w:val="00BB725E"/>
    <w:rsid w:val="00BE0D3B"/>
    <w:rsid w:val="00BE5BB3"/>
    <w:rsid w:val="00BE60C7"/>
    <w:rsid w:val="00BF61D2"/>
    <w:rsid w:val="00C22828"/>
    <w:rsid w:val="00C45B58"/>
    <w:rsid w:val="00C72C04"/>
    <w:rsid w:val="00CA6172"/>
    <w:rsid w:val="00CD73BF"/>
    <w:rsid w:val="00CF130B"/>
    <w:rsid w:val="00CF7333"/>
    <w:rsid w:val="00D071E0"/>
    <w:rsid w:val="00D160E9"/>
    <w:rsid w:val="00D41235"/>
    <w:rsid w:val="00D464A5"/>
    <w:rsid w:val="00D56D71"/>
    <w:rsid w:val="00D714FD"/>
    <w:rsid w:val="00DA0487"/>
    <w:rsid w:val="00DA2FDD"/>
    <w:rsid w:val="00DC1340"/>
    <w:rsid w:val="00DD2EE2"/>
    <w:rsid w:val="00DF3359"/>
    <w:rsid w:val="00E4181D"/>
    <w:rsid w:val="00E742FF"/>
    <w:rsid w:val="00E84768"/>
    <w:rsid w:val="00E9468C"/>
    <w:rsid w:val="00E951F2"/>
    <w:rsid w:val="00EE5261"/>
    <w:rsid w:val="00EF7685"/>
    <w:rsid w:val="00F02F0F"/>
    <w:rsid w:val="00F14BAA"/>
    <w:rsid w:val="00F30117"/>
    <w:rsid w:val="00F31A4E"/>
    <w:rsid w:val="00F612E1"/>
    <w:rsid w:val="00F7136D"/>
    <w:rsid w:val="00F940E8"/>
    <w:rsid w:val="00FA23E3"/>
    <w:rsid w:val="00FB7710"/>
    <w:rsid w:val="00FC4DDF"/>
    <w:rsid w:val="00FD495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188C4"/>
  <w15:chartTrackingRefBased/>
  <w15:docId w15:val="{F578CBAB-61B1-40D4-81E9-59769BDC3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36"/>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7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34B1"/>
    <w:pPr>
      <w:spacing w:after="0" w:line="240" w:lineRule="auto"/>
    </w:pPr>
  </w:style>
  <w:style w:type="character" w:styleId="Hyperlink">
    <w:name w:val="Hyperlink"/>
    <w:basedOn w:val="DefaultParagraphFont"/>
    <w:uiPriority w:val="99"/>
    <w:unhideWhenUsed/>
    <w:rsid w:val="000D6BA9"/>
    <w:rPr>
      <w:color w:val="0563C1" w:themeColor="hyperlink"/>
      <w:u w:val="single"/>
    </w:rPr>
  </w:style>
  <w:style w:type="character" w:customStyle="1" w:styleId="Mencinsinresolver1">
    <w:name w:val="Mención sin resolver1"/>
    <w:basedOn w:val="DefaultParagraphFont"/>
    <w:uiPriority w:val="99"/>
    <w:semiHidden/>
    <w:unhideWhenUsed/>
    <w:rsid w:val="000D6BA9"/>
    <w:rPr>
      <w:color w:val="605E5C"/>
      <w:shd w:val="clear" w:color="auto" w:fill="E1DFDD"/>
    </w:rPr>
  </w:style>
  <w:style w:type="paragraph" w:styleId="ListParagraph">
    <w:name w:val="List Paragraph"/>
    <w:basedOn w:val="Normal"/>
    <w:uiPriority w:val="34"/>
    <w:qFormat/>
    <w:rsid w:val="003C513E"/>
    <w:pPr>
      <w:ind w:left="720"/>
      <w:contextualSpacing/>
    </w:pPr>
  </w:style>
  <w:style w:type="character" w:customStyle="1" w:styleId="Mencinsinresolver2">
    <w:name w:val="Mención sin resolver2"/>
    <w:basedOn w:val="DefaultParagraphFont"/>
    <w:uiPriority w:val="99"/>
    <w:semiHidden/>
    <w:unhideWhenUsed/>
    <w:rsid w:val="002902BC"/>
    <w:rPr>
      <w:color w:val="605E5C"/>
      <w:shd w:val="clear" w:color="auto" w:fill="E1DFDD"/>
    </w:rPr>
  </w:style>
  <w:style w:type="paragraph" w:styleId="Header">
    <w:name w:val="header"/>
    <w:basedOn w:val="Normal"/>
    <w:link w:val="HeaderChar"/>
    <w:uiPriority w:val="99"/>
    <w:unhideWhenUsed/>
    <w:rsid w:val="00607E01"/>
    <w:pPr>
      <w:tabs>
        <w:tab w:val="center" w:pos="4252"/>
        <w:tab w:val="right" w:pos="8504"/>
      </w:tabs>
      <w:spacing w:after="0" w:line="240" w:lineRule="auto"/>
    </w:pPr>
  </w:style>
  <w:style w:type="character" w:customStyle="1" w:styleId="HeaderChar">
    <w:name w:val="Header Char"/>
    <w:basedOn w:val="DefaultParagraphFont"/>
    <w:link w:val="Header"/>
    <w:uiPriority w:val="99"/>
    <w:rsid w:val="00607E01"/>
  </w:style>
  <w:style w:type="paragraph" w:styleId="Footer">
    <w:name w:val="footer"/>
    <w:basedOn w:val="Normal"/>
    <w:link w:val="FooterChar"/>
    <w:uiPriority w:val="99"/>
    <w:unhideWhenUsed/>
    <w:rsid w:val="00607E01"/>
    <w:pPr>
      <w:tabs>
        <w:tab w:val="center" w:pos="4252"/>
        <w:tab w:val="right" w:pos="8504"/>
      </w:tabs>
      <w:spacing w:after="0" w:line="240" w:lineRule="auto"/>
    </w:pPr>
  </w:style>
  <w:style w:type="character" w:customStyle="1" w:styleId="FooterChar">
    <w:name w:val="Footer Char"/>
    <w:basedOn w:val="DefaultParagraphFont"/>
    <w:link w:val="Footer"/>
    <w:uiPriority w:val="99"/>
    <w:rsid w:val="00607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www.eleconomista.es/economia/noticias/12731049/03/24/cien-dias-de-milei-los-cinco-indicadores-que-revelan-el-exito-financiero-de-un-experimento-que-aboca-a-argentina-a-la-recesion.html?utm_medium=social&amp;utm_source=LinkedIn&amp;utm_campaign=eEnoticias"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ohchr.org/es/press-releases/2022/10/un-debt-expert-urges-argentina-maximise-resources-uphold-human-rights-an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pc.gob.ar/download/32216/?%20tmstv=1708625565%2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opc.gobar/operacions-deuda-publica/operacions-deuda-publica-enero-2024/"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www.imf.org/external/pubs/ft/fandd/spa/2020/09/pdf/que-es-sustainability-%20deuda-essential.pdf" TargetMode="External"/><Relationship Id="rId14" Type="http://schemas.openxmlformats.org/officeDocument/2006/relationships/hyperlink" Target="https://digitallibrary.un.org/record/4012531/files/%5EEOSG_2023_6%5E-EOSG_2023_6-EN.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NHRIs</Category>
    <Filename xmlns="d42e65b2-cf21-49c1-b27d-d23f90380c0e" xsi:nil="true"/>
    <Doctype xmlns="d42e65b2-cf21-49c1-b27d-d23f90380c0e">input</Doctype>
    <Contributor xmlns="d42e65b2-cf21-49c1-b27d-d23f90380c0e">Defensoría del Pueblo de la Nación - Argentina</Contributor>
  </documentManagement>
</p:properties>
</file>

<file path=customXml/itemProps1.xml><?xml version="1.0" encoding="utf-8"?>
<ds:datastoreItem xmlns:ds="http://schemas.openxmlformats.org/officeDocument/2006/customXml" ds:itemID="{35A1D1EF-1AA6-4505-BFBB-1D3F6F823BC7}"/>
</file>

<file path=customXml/itemProps2.xml><?xml version="1.0" encoding="utf-8"?>
<ds:datastoreItem xmlns:ds="http://schemas.openxmlformats.org/officeDocument/2006/customXml" ds:itemID="{E76D30DA-F377-46FC-B0C5-7C924185AE0D}"/>
</file>

<file path=customXml/itemProps3.xml><?xml version="1.0" encoding="utf-8"?>
<ds:datastoreItem xmlns:ds="http://schemas.openxmlformats.org/officeDocument/2006/customXml" ds:itemID="{32E26B40-8567-47F3-BBCE-4AEEC367E31F}"/>
</file>

<file path=docProps/app.xml><?xml version="1.0" encoding="utf-8"?>
<Properties xmlns="http://schemas.openxmlformats.org/officeDocument/2006/extended-properties" xmlns:vt="http://schemas.openxmlformats.org/officeDocument/2006/docPropsVTypes">
  <Template>Normal.dotm</Template>
  <TotalTime>5</TotalTime>
  <Pages>4</Pages>
  <Words>2048</Words>
  <Characters>11678</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PARAJUA MORAN María del Carmen</dc:creator>
  <cp:keywords/>
  <dc:description/>
  <cp:lastModifiedBy>Sakshi Rai</cp:lastModifiedBy>
  <cp:revision>3</cp:revision>
  <cp:lastPrinted>2024-05-30T19:23:00Z</cp:lastPrinted>
  <dcterms:created xsi:type="dcterms:W3CDTF">2024-05-30T20:13:00Z</dcterms:created>
  <dcterms:modified xsi:type="dcterms:W3CDTF">2024-06-03T10:59:00Z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