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4944" w14:textId="4E9C19AA" w:rsidR="00536BA2" w:rsidRPr="00101C74" w:rsidRDefault="00536BA2" w:rsidP="00101C74">
      <w:pPr>
        <w:jc w:val="both"/>
        <w:rPr>
          <w:rFonts w:ascii="IBM Plex Sans" w:hAnsi="IBM Plex Sans"/>
          <w:b/>
          <w:bCs/>
          <w:sz w:val="20"/>
          <w:szCs w:val="20"/>
        </w:rPr>
      </w:pPr>
      <w:r w:rsidRPr="00101C74">
        <w:rPr>
          <w:rFonts w:ascii="IBM Plex Sans" w:hAnsi="IBM Plex Sans"/>
          <w:b/>
          <w:bCs/>
          <w:sz w:val="20"/>
          <w:szCs w:val="20"/>
        </w:rPr>
        <w:t xml:space="preserve">Report of the Independent Expert on protection against violence and discrimination based on sexual orientation and gender identity to the 77th General Assembly on peace, security, sexual </w:t>
      </w:r>
      <w:proofErr w:type="gramStart"/>
      <w:r w:rsidRPr="00101C74">
        <w:rPr>
          <w:rFonts w:ascii="IBM Plex Sans" w:hAnsi="IBM Plex Sans"/>
          <w:b/>
          <w:bCs/>
          <w:sz w:val="20"/>
          <w:szCs w:val="20"/>
        </w:rPr>
        <w:t>orientation</w:t>
      </w:r>
      <w:proofErr w:type="gramEnd"/>
      <w:r w:rsidRPr="00101C74">
        <w:rPr>
          <w:rFonts w:ascii="IBM Plex Sans" w:hAnsi="IBM Plex Sans"/>
          <w:b/>
          <w:bCs/>
          <w:sz w:val="20"/>
          <w:szCs w:val="20"/>
        </w:rPr>
        <w:t xml:space="preserve"> and gender identity</w:t>
      </w:r>
    </w:p>
    <w:p w14:paraId="55915B55" w14:textId="77777777" w:rsidR="00022D50" w:rsidRPr="00101C74" w:rsidRDefault="00022D50" w:rsidP="00101C74">
      <w:pPr>
        <w:jc w:val="both"/>
        <w:rPr>
          <w:rFonts w:ascii="IBM Plex Sans" w:hAnsi="IBM Plex Sans"/>
          <w:b/>
          <w:bCs/>
          <w:sz w:val="20"/>
          <w:szCs w:val="20"/>
        </w:rPr>
      </w:pPr>
    </w:p>
    <w:p w14:paraId="49D65029" w14:textId="77777777" w:rsidR="00536BA2" w:rsidRPr="00101C74" w:rsidRDefault="00536BA2" w:rsidP="00101C74">
      <w:pPr>
        <w:jc w:val="both"/>
        <w:rPr>
          <w:rFonts w:ascii="IBM Plex Sans" w:hAnsi="IBM Plex Sans"/>
          <w:sz w:val="20"/>
          <w:szCs w:val="20"/>
        </w:rPr>
      </w:pPr>
      <w:r w:rsidRPr="00101C74">
        <w:rPr>
          <w:rFonts w:ascii="IBM Plex Sans" w:hAnsi="IBM Plex Sans"/>
          <w:sz w:val="20"/>
          <w:szCs w:val="20"/>
        </w:rPr>
        <w:t xml:space="preserve">Evidence submitted by </w:t>
      </w:r>
      <w:hyperlink r:id="rId7" w:history="1">
        <w:r w:rsidRPr="00101C74">
          <w:rPr>
            <w:rStyle w:val="Hyperlink"/>
            <w:rFonts w:ascii="IBM Plex Sans" w:hAnsi="IBM Plex Sans"/>
            <w:sz w:val="20"/>
            <w:szCs w:val="20"/>
          </w:rPr>
          <w:t>Protection Approaches</w:t>
        </w:r>
      </w:hyperlink>
    </w:p>
    <w:p w14:paraId="25E70AA9" w14:textId="77777777" w:rsidR="00536BA2" w:rsidRPr="00101C74" w:rsidRDefault="00536BA2" w:rsidP="00101C74">
      <w:pPr>
        <w:jc w:val="both"/>
        <w:rPr>
          <w:rFonts w:ascii="IBM Plex Sans" w:hAnsi="IBM Plex Sans"/>
          <w:sz w:val="20"/>
          <w:szCs w:val="20"/>
        </w:rPr>
      </w:pPr>
    </w:p>
    <w:p w14:paraId="76B2482C" w14:textId="7BE599B3" w:rsidR="00536BA2" w:rsidRPr="00101C74" w:rsidRDefault="002709B1" w:rsidP="00101C74">
      <w:pPr>
        <w:pStyle w:val="ListParagraph"/>
        <w:numPr>
          <w:ilvl w:val="0"/>
          <w:numId w:val="1"/>
        </w:numPr>
        <w:jc w:val="both"/>
        <w:rPr>
          <w:rFonts w:ascii="IBM Plex Sans" w:hAnsi="IBM Plex Sans"/>
          <w:b/>
          <w:bCs/>
          <w:sz w:val="20"/>
          <w:szCs w:val="20"/>
        </w:rPr>
      </w:pPr>
      <w:r w:rsidRPr="00101C74">
        <w:rPr>
          <w:rFonts w:ascii="IBM Plex Sans" w:hAnsi="IBM Plex Sans"/>
          <w:b/>
          <w:bCs/>
          <w:sz w:val="20"/>
          <w:szCs w:val="20"/>
        </w:rPr>
        <w:t>About</w:t>
      </w:r>
    </w:p>
    <w:p w14:paraId="111B2F3C" w14:textId="51D248FC" w:rsidR="00536BA2" w:rsidRPr="00101C74" w:rsidRDefault="00536BA2" w:rsidP="00101C74">
      <w:pPr>
        <w:jc w:val="both"/>
        <w:rPr>
          <w:rFonts w:ascii="IBM Plex Sans" w:hAnsi="IBM Plex Sans"/>
          <w:sz w:val="20"/>
          <w:szCs w:val="20"/>
        </w:rPr>
      </w:pPr>
    </w:p>
    <w:p w14:paraId="0B46BA60" w14:textId="7D555836" w:rsidR="00536BA2" w:rsidRPr="00101C74" w:rsidRDefault="002709B1" w:rsidP="00101C74">
      <w:pPr>
        <w:pStyle w:val="ListParagraph"/>
        <w:numPr>
          <w:ilvl w:val="0"/>
          <w:numId w:val="3"/>
        </w:numPr>
        <w:jc w:val="both"/>
        <w:rPr>
          <w:rFonts w:ascii="IBM Plex Sans" w:hAnsi="IBM Plex Sans"/>
          <w:sz w:val="20"/>
          <w:szCs w:val="20"/>
        </w:rPr>
      </w:pPr>
      <w:r w:rsidRPr="00101C74">
        <w:rPr>
          <w:rFonts w:ascii="IBM Plex Sans" w:hAnsi="IBM Plex Sans"/>
          <w:sz w:val="20"/>
          <w:szCs w:val="20"/>
        </w:rPr>
        <w:t>Protection Approaches works to</w:t>
      </w:r>
      <w:r w:rsidR="00022D50" w:rsidRPr="00101C74">
        <w:rPr>
          <w:rFonts w:ascii="IBM Plex Sans" w:hAnsi="IBM Plex Sans"/>
          <w:sz w:val="20"/>
          <w:szCs w:val="20"/>
        </w:rPr>
        <w:t xml:space="preserve"> transform how identity-based violence is understood and so transform how it is prevented. </w:t>
      </w:r>
      <w:r w:rsidRPr="00101C74">
        <w:rPr>
          <w:rFonts w:ascii="IBM Plex Sans" w:hAnsi="IBM Plex Sans"/>
          <w:sz w:val="20"/>
          <w:szCs w:val="20"/>
        </w:rPr>
        <w:t xml:space="preserve"> From Newham in East London to Bangui in the Central African Republic, we work with local communities, civil society organisations, policymakers, governments, </w:t>
      </w:r>
      <w:proofErr w:type="gramStart"/>
      <w:r w:rsidRPr="00101C74">
        <w:rPr>
          <w:rFonts w:ascii="IBM Plex Sans" w:hAnsi="IBM Plex Sans"/>
          <w:sz w:val="20"/>
          <w:szCs w:val="20"/>
        </w:rPr>
        <w:t>academics</w:t>
      </w:r>
      <w:proofErr w:type="gramEnd"/>
      <w:r w:rsidRPr="00101C74">
        <w:rPr>
          <w:rFonts w:ascii="IBM Plex Sans" w:hAnsi="IBM Plex Sans"/>
          <w:sz w:val="20"/>
          <w:szCs w:val="20"/>
        </w:rPr>
        <w:t xml:space="preserve"> and multilateral institutions to develop strategies that predict, prevent and protect people from identity-based violence. Protection Approaches convenes the UK Atrocity Prevention Working Group: a group of 25 NGOs based in the UK who collaborate on atrocity prevention policy and advocacy. PA has trained and advised state representatives, parliamentarians, and law enforcement from Romania to Central African Republic to the United States, including on what national and local atrocity prevention strategies can look like. PA works closely with central UK government and missions. Protection Approaches is a registered charity in England and Wales, charity number 1171433. For more information, please see </w:t>
      </w:r>
      <w:hyperlink r:id="rId8" w:history="1">
        <w:r w:rsidR="00022D50" w:rsidRPr="00101C74">
          <w:rPr>
            <w:rStyle w:val="Hyperlink"/>
            <w:rFonts w:ascii="IBM Plex Sans" w:hAnsi="IBM Plex Sans"/>
            <w:sz w:val="20"/>
            <w:szCs w:val="20"/>
          </w:rPr>
          <w:t>www.protectionapproaches.org</w:t>
        </w:r>
      </w:hyperlink>
      <w:r w:rsidR="00022D50" w:rsidRPr="00101C74">
        <w:rPr>
          <w:rFonts w:ascii="IBM Plex Sans" w:hAnsi="IBM Plex Sans"/>
          <w:sz w:val="20"/>
          <w:szCs w:val="20"/>
        </w:rPr>
        <w:t>.</w:t>
      </w:r>
    </w:p>
    <w:p w14:paraId="70380CC1" w14:textId="77777777" w:rsidR="00536BA2" w:rsidRPr="00101C74" w:rsidRDefault="00536BA2" w:rsidP="00101C74">
      <w:pPr>
        <w:pStyle w:val="ListParagraph"/>
        <w:jc w:val="both"/>
        <w:rPr>
          <w:rFonts w:ascii="IBM Plex Sans" w:hAnsi="IBM Plex Sans"/>
          <w:sz w:val="20"/>
          <w:szCs w:val="20"/>
        </w:rPr>
      </w:pPr>
    </w:p>
    <w:p w14:paraId="57100D18" w14:textId="626F16C2" w:rsidR="00536BA2" w:rsidRPr="00101C74" w:rsidRDefault="00DF751A" w:rsidP="00101C74">
      <w:pPr>
        <w:pStyle w:val="ListParagraph"/>
        <w:numPr>
          <w:ilvl w:val="0"/>
          <w:numId w:val="3"/>
        </w:numPr>
        <w:jc w:val="both"/>
        <w:rPr>
          <w:rFonts w:ascii="IBM Plex Sans" w:hAnsi="IBM Plex Sans"/>
          <w:sz w:val="20"/>
          <w:szCs w:val="20"/>
        </w:rPr>
      </w:pPr>
      <w:r w:rsidRPr="00101C74">
        <w:rPr>
          <w:rFonts w:ascii="IBM Plex Sans" w:hAnsi="IBM Plex Sans"/>
          <w:sz w:val="20"/>
          <w:szCs w:val="20"/>
        </w:rPr>
        <w:t>Contact information:</w:t>
      </w:r>
      <w:r w:rsidR="00645424" w:rsidRPr="00101C74">
        <w:rPr>
          <w:rFonts w:ascii="IBM Plex Sans" w:hAnsi="IBM Plex Sans"/>
          <w:sz w:val="20"/>
          <w:szCs w:val="20"/>
        </w:rPr>
        <w:t xml:space="preserve"> Dr Kate Ferguson, Co-Executive Director and Head of Research</w:t>
      </w:r>
      <w:r w:rsidRPr="00101C74">
        <w:rPr>
          <w:rFonts w:ascii="IBM Plex Sans" w:hAnsi="IBM Plex Sans"/>
          <w:sz w:val="20"/>
          <w:szCs w:val="20"/>
        </w:rPr>
        <w:t xml:space="preserve"> </w:t>
      </w:r>
      <w:r w:rsidR="00645424" w:rsidRPr="00101C74">
        <w:rPr>
          <w:rFonts w:ascii="IBM Plex Sans" w:hAnsi="IBM Plex Sans"/>
          <w:sz w:val="20"/>
          <w:szCs w:val="20"/>
        </w:rPr>
        <w:t xml:space="preserve">and Policy: </w:t>
      </w:r>
      <w:hyperlink r:id="rId9" w:history="1">
        <w:r w:rsidR="00781005" w:rsidRPr="00101C74">
          <w:rPr>
            <w:rStyle w:val="Hyperlink"/>
            <w:rFonts w:ascii="IBM Plex Sans" w:hAnsi="IBM Plex Sans"/>
            <w:sz w:val="20"/>
            <w:szCs w:val="20"/>
          </w:rPr>
          <w:t>kate.ferguson@protectionapproaches.org</w:t>
        </w:r>
      </w:hyperlink>
      <w:r w:rsidR="00781005" w:rsidRPr="00101C74">
        <w:rPr>
          <w:rFonts w:ascii="IBM Plex Sans" w:hAnsi="IBM Plex Sans"/>
          <w:sz w:val="20"/>
          <w:szCs w:val="20"/>
        </w:rPr>
        <w:t xml:space="preserve"> </w:t>
      </w:r>
    </w:p>
    <w:p w14:paraId="218430D5" w14:textId="580A1DB0" w:rsidR="00536BA2" w:rsidRPr="00101C74" w:rsidRDefault="00536BA2" w:rsidP="00101C74">
      <w:pPr>
        <w:jc w:val="both"/>
        <w:rPr>
          <w:rFonts w:ascii="IBM Plex Sans" w:hAnsi="IBM Plex Sans"/>
          <w:sz w:val="20"/>
          <w:szCs w:val="20"/>
        </w:rPr>
      </w:pPr>
    </w:p>
    <w:p w14:paraId="1721C58D" w14:textId="63ED426C" w:rsidR="00536BA2" w:rsidRPr="00101C74" w:rsidRDefault="00536BA2" w:rsidP="00101C74">
      <w:pPr>
        <w:pStyle w:val="ListParagraph"/>
        <w:numPr>
          <w:ilvl w:val="0"/>
          <w:numId w:val="1"/>
        </w:numPr>
        <w:jc w:val="both"/>
        <w:rPr>
          <w:rFonts w:ascii="IBM Plex Sans" w:hAnsi="IBM Plex Sans"/>
          <w:b/>
          <w:bCs/>
          <w:sz w:val="20"/>
          <w:szCs w:val="20"/>
        </w:rPr>
      </w:pPr>
      <w:r w:rsidRPr="00101C74">
        <w:rPr>
          <w:rFonts w:ascii="IBM Plex Sans" w:hAnsi="IBM Plex Sans"/>
          <w:b/>
          <w:bCs/>
          <w:sz w:val="20"/>
          <w:szCs w:val="20"/>
        </w:rPr>
        <w:t>SOGI communities and mass violence</w:t>
      </w:r>
    </w:p>
    <w:p w14:paraId="201A0B9E" w14:textId="7CF956B5" w:rsidR="00536BA2" w:rsidRPr="00101C74" w:rsidRDefault="00536BA2" w:rsidP="00101C74">
      <w:pPr>
        <w:jc w:val="both"/>
        <w:rPr>
          <w:rFonts w:ascii="IBM Plex Sans" w:hAnsi="IBM Plex Sans"/>
          <w:sz w:val="20"/>
          <w:szCs w:val="20"/>
        </w:rPr>
      </w:pPr>
    </w:p>
    <w:p w14:paraId="492614E6" w14:textId="2DA52B96" w:rsidR="00DF5254" w:rsidRPr="00101C74" w:rsidRDefault="00DF5254" w:rsidP="00101C74">
      <w:pPr>
        <w:pStyle w:val="ListParagraph"/>
        <w:numPr>
          <w:ilvl w:val="0"/>
          <w:numId w:val="4"/>
        </w:numPr>
        <w:jc w:val="both"/>
        <w:rPr>
          <w:rFonts w:ascii="IBM Plex Sans" w:hAnsi="IBM Plex Sans"/>
          <w:sz w:val="20"/>
          <w:szCs w:val="20"/>
        </w:rPr>
      </w:pPr>
      <w:r w:rsidRPr="00101C74">
        <w:rPr>
          <w:rFonts w:ascii="IBM Plex Sans" w:hAnsi="IBM Plex Sans"/>
          <w:sz w:val="20"/>
          <w:szCs w:val="20"/>
        </w:rPr>
        <w:t xml:space="preserve">The persecution of LGBTQI+ people is an indicator of a dangerous politics: when we leave out anti-LGBTQI+ politics from our understandings of risk and prevention </w:t>
      </w:r>
      <w:r w:rsidR="00994C1A" w:rsidRPr="00101C74">
        <w:rPr>
          <w:rFonts w:ascii="IBM Plex Sans" w:hAnsi="IBM Plex Sans"/>
          <w:sz w:val="20"/>
          <w:szCs w:val="20"/>
        </w:rPr>
        <w:t xml:space="preserve">of </w:t>
      </w:r>
      <w:r w:rsidR="00D52BBA" w:rsidRPr="00101C74">
        <w:rPr>
          <w:rFonts w:ascii="IBM Plex Sans" w:hAnsi="IBM Plex Sans"/>
          <w:sz w:val="20"/>
          <w:szCs w:val="20"/>
        </w:rPr>
        <w:t xml:space="preserve">atrocity crimes and armed conflict, </w:t>
      </w:r>
      <w:r w:rsidRPr="00101C74">
        <w:rPr>
          <w:rFonts w:ascii="IBM Plex Sans" w:hAnsi="IBM Plex Sans"/>
          <w:sz w:val="20"/>
          <w:szCs w:val="20"/>
        </w:rPr>
        <w:t xml:space="preserve">we not only compound the insecurities people face </w:t>
      </w:r>
      <w:proofErr w:type="gramStart"/>
      <w:r w:rsidRPr="00101C74">
        <w:rPr>
          <w:rFonts w:ascii="IBM Plex Sans" w:hAnsi="IBM Plex Sans"/>
          <w:sz w:val="20"/>
          <w:szCs w:val="20"/>
        </w:rPr>
        <w:t>on the basis of</w:t>
      </w:r>
      <w:proofErr w:type="gramEnd"/>
      <w:r w:rsidRPr="00101C74">
        <w:rPr>
          <w:rFonts w:ascii="IBM Plex Sans" w:hAnsi="IBM Plex Sans"/>
          <w:sz w:val="20"/>
          <w:szCs w:val="20"/>
        </w:rPr>
        <w:t xml:space="preserve"> their (presumed) identity but establish a dangerous precedent where homophobic and transphobic violence is not deemed worthy of attention. Efforts to look at the intersections of WPS, R2P, and atrocity prevention have tended to work through a cis-heteronormative understanding of gender, which has left those who fall outside the parameters of cis-heteronormative gender and sexuality consistently and unendingly insecure. As Jamie Hagen has written “those vulnerable to insecurity and violence because of their sexual orientation or gender identity remain largely neglected by the international peace and security community”.  Actors involved in the prevention of atrocity crimes – States, multilateral and regional organisations, civil society – need to challenge their queer blind-spots. This means recognising the specific forms of mass violence LGBTQI+ experience when their identities are weaponised and targeted, that LGBTQI+ people are often the canary in the coal mine when it comes to the perpetration of atrocity crimes, and that measures of crisis response, humanitarian need, civilian protection and atrocity prevention must be designed to meet the varied and specific needs of and be inclusive of the leadership of LGBTQI+ people. </w:t>
      </w:r>
    </w:p>
    <w:p w14:paraId="37D98C16" w14:textId="77777777" w:rsidR="00BD5C30" w:rsidRPr="00101C74" w:rsidRDefault="00BD5C30" w:rsidP="00101C74">
      <w:pPr>
        <w:pStyle w:val="ListParagraph"/>
        <w:jc w:val="both"/>
        <w:rPr>
          <w:rFonts w:ascii="IBM Plex Sans" w:hAnsi="IBM Plex Sans"/>
          <w:sz w:val="20"/>
          <w:szCs w:val="20"/>
        </w:rPr>
      </w:pPr>
    </w:p>
    <w:p w14:paraId="66AA1ED3" w14:textId="7B7A2CE1" w:rsidR="001245D8" w:rsidRPr="00101C74" w:rsidRDefault="009901E2" w:rsidP="00101C74">
      <w:pPr>
        <w:pStyle w:val="ListParagraph"/>
        <w:numPr>
          <w:ilvl w:val="0"/>
          <w:numId w:val="4"/>
        </w:numPr>
        <w:jc w:val="both"/>
        <w:rPr>
          <w:rFonts w:ascii="IBM Plex Sans" w:hAnsi="IBM Plex Sans"/>
          <w:sz w:val="20"/>
          <w:szCs w:val="20"/>
        </w:rPr>
      </w:pPr>
      <w:r w:rsidRPr="00101C74">
        <w:rPr>
          <w:rFonts w:ascii="IBM Plex Sans" w:hAnsi="IBM Plex Sans"/>
          <w:sz w:val="20"/>
          <w:szCs w:val="20"/>
        </w:rPr>
        <w:t xml:space="preserve">In </w:t>
      </w:r>
      <w:r w:rsidR="00994C1A" w:rsidRPr="00101C74">
        <w:rPr>
          <w:rFonts w:ascii="IBM Plex Sans" w:hAnsi="IBM Plex Sans"/>
          <w:sz w:val="20"/>
          <w:szCs w:val="20"/>
        </w:rPr>
        <w:t>our</w:t>
      </w:r>
      <w:r w:rsidRPr="00101C74">
        <w:rPr>
          <w:rFonts w:ascii="IBM Plex Sans" w:hAnsi="IBM Plex Sans"/>
          <w:sz w:val="20"/>
          <w:szCs w:val="20"/>
        </w:rPr>
        <w:t xml:space="preserve"> submission </w:t>
      </w:r>
      <w:r w:rsidR="00022D50" w:rsidRPr="00101C74">
        <w:rPr>
          <w:rFonts w:ascii="IBM Plex Sans" w:hAnsi="IBM Plex Sans"/>
          <w:sz w:val="20"/>
          <w:szCs w:val="20"/>
        </w:rPr>
        <w:t xml:space="preserve">to </w:t>
      </w:r>
      <w:r w:rsidR="00D65909" w:rsidRPr="00101C74">
        <w:rPr>
          <w:rFonts w:ascii="IBM Plex Sans" w:hAnsi="IBM Plex Sans"/>
          <w:sz w:val="20"/>
          <w:szCs w:val="20"/>
        </w:rPr>
        <w:t>the</w:t>
      </w:r>
      <w:r w:rsidR="00F65FB8" w:rsidRPr="00101C74">
        <w:rPr>
          <w:rFonts w:ascii="IBM Plex Sans" w:hAnsi="IBM Plex Sans"/>
          <w:sz w:val="20"/>
          <w:szCs w:val="20"/>
        </w:rPr>
        <w:t xml:space="preserve"> report</w:t>
      </w:r>
      <w:r w:rsidR="00470AD0" w:rsidRPr="00101C74">
        <w:rPr>
          <w:rFonts w:ascii="IBM Plex Sans" w:hAnsi="IBM Plex Sans"/>
          <w:sz w:val="20"/>
          <w:szCs w:val="20"/>
        </w:rPr>
        <w:t xml:space="preserve"> on</w:t>
      </w:r>
      <w:r w:rsidR="00F65FB8" w:rsidRPr="00101C74">
        <w:rPr>
          <w:rFonts w:ascii="IBM Plex Sans" w:hAnsi="IBM Plex Sans"/>
          <w:sz w:val="20"/>
          <w:szCs w:val="20"/>
        </w:rPr>
        <w:t xml:space="preserve"> </w:t>
      </w:r>
      <w:r w:rsidR="00470AD0" w:rsidRPr="00101C74">
        <w:rPr>
          <w:rFonts w:ascii="IBM Plex Sans" w:hAnsi="IBM Plex Sans"/>
          <w:sz w:val="20"/>
          <w:szCs w:val="20"/>
        </w:rPr>
        <w:t xml:space="preserve">violence and discrimination based on sexual orientation and gender identity to the 77th General Assembly on peace, security, sexual </w:t>
      </w:r>
      <w:proofErr w:type="gramStart"/>
      <w:r w:rsidR="00470AD0" w:rsidRPr="00101C74">
        <w:rPr>
          <w:rFonts w:ascii="IBM Plex Sans" w:hAnsi="IBM Plex Sans"/>
          <w:sz w:val="20"/>
          <w:szCs w:val="20"/>
        </w:rPr>
        <w:t>orientation</w:t>
      </w:r>
      <w:proofErr w:type="gramEnd"/>
      <w:r w:rsidR="00470AD0" w:rsidRPr="00101C74">
        <w:rPr>
          <w:rFonts w:ascii="IBM Plex Sans" w:hAnsi="IBM Plex Sans"/>
          <w:sz w:val="20"/>
          <w:szCs w:val="20"/>
        </w:rPr>
        <w:t xml:space="preserve"> and gender identity we focus on how States in particular, but also multilateral organisations and civil society</w:t>
      </w:r>
      <w:r w:rsidR="003F59EE" w:rsidRPr="00101C74">
        <w:rPr>
          <w:rFonts w:ascii="IBM Plex Sans" w:hAnsi="IBM Plex Sans"/>
          <w:sz w:val="20"/>
          <w:szCs w:val="20"/>
        </w:rPr>
        <w:t>, have failed to include LGBTQI+</w:t>
      </w:r>
      <w:r w:rsidR="006F261A" w:rsidRPr="00101C74">
        <w:rPr>
          <w:rFonts w:ascii="IBM Plex Sans" w:hAnsi="IBM Plex Sans"/>
          <w:sz w:val="20"/>
          <w:szCs w:val="20"/>
          <w:vertAlign w:val="superscript"/>
        </w:rPr>
        <w:footnoteReference w:id="1"/>
      </w:r>
      <w:r w:rsidR="006F261A" w:rsidRPr="00101C74">
        <w:rPr>
          <w:rFonts w:ascii="IBM Plex Sans" w:hAnsi="IBM Plex Sans"/>
          <w:sz w:val="20"/>
          <w:szCs w:val="20"/>
        </w:rPr>
        <w:t xml:space="preserve"> </w:t>
      </w:r>
      <w:r w:rsidR="003F59EE" w:rsidRPr="00101C74">
        <w:rPr>
          <w:rFonts w:ascii="IBM Plex Sans" w:hAnsi="IBM Plex Sans"/>
          <w:sz w:val="20"/>
          <w:szCs w:val="20"/>
        </w:rPr>
        <w:t xml:space="preserve">communities in </w:t>
      </w:r>
      <w:r w:rsidR="00022D50" w:rsidRPr="00101C74">
        <w:rPr>
          <w:rFonts w:ascii="IBM Plex Sans" w:hAnsi="IBM Plex Sans"/>
          <w:sz w:val="20"/>
          <w:szCs w:val="20"/>
        </w:rPr>
        <w:t xml:space="preserve">the practice of and approach to </w:t>
      </w:r>
      <w:r w:rsidR="00022D50" w:rsidRPr="00101C74">
        <w:rPr>
          <w:rFonts w:ascii="IBM Plex Sans" w:hAnsi="IBM Plex Sans"/>
          <w:sz w:val="20"/>
          <w:szCs w:val="20"/>
        </w:rPr>
        <w:lastRenderedPageBreak/>
        <w:t>mass atrocity prevention</w:t>
      </w:r>
      <w:r w:rsidR="00F66AFE" w:rsidRPr="00101C74">
        <w:rPr>
          <w:rFonts w:ascii="IBM Plex Sans" w:hAnsi="IBM Plex Sans"/>
          <w:sz w:val="20"/>
          <w:szCs w:val="20"/>
        </w:rPr>
        <w:t>. This submission, while including certain situations of violence in States</w:t>
      </w:r>
      <w:r w:rsidR="0026639F" w:rsidRPr="00101C74">
        <w:rPr>
          <w:rFonts w:ascii="IBM Plex Sans" w:hAnsi="IBM Plex Sans"/>
          <w:sz w:val="20"/>
          <w:szCs w:val="20"/>
        </w:rPr>
        <w:t xml:space="preserve"> as illustrative examples, is not in response to a particular armed conflict. </w:t>
      </w:r>
      <w:r w:rsidR="00BE302B" w:rsidRPr="00101C74">
        <w:rPr>
          <w:rFonts w:ascii="IBM Plex Sans" w:hAnsi="IBM Plex Sans"/>
          <w:sz w:val="20"/>
          <w:szCs w:val="20"/>
        </w:rPr>
        <w:t xml:space="preserve">While we focus on the specific agendas of atrocity prevention, the </w:t>
      </w:r>
      <w:r w:rsidR="00944BE7" w:rsidRPr="00101C74">
        <w:rPr>
          <w:rFonts w:ascii="IBM Plex Sans" w:hAnsi="IBM Plex Sans"/>
          <w:sz w:val="20"/>
          <w:szCs w:val="20"/>
        </w:rPr>
        <w:t>R</w:t>
      </w:r>
      <w:r w:rsidR="00BE302B" w:rsidRPr="00101C74">
        <w:rPr>
          <w:rFonts w:ascii="IBM Plex Sans" w:hAnsi="IBM Plex Sans"/>
          <w:sz w:val="20"/>
          <w:szCs w:val="20"/>
        </w:rPr>
        <w:t xml:space="preserve">esponsibility to </w:t>
      </w:r>
      <w:r w:rsidR="00944BE7" w:rsidRPr="00101C74">
        <w:rPr>
          <w:rFonts w:ascii="IBM Plex Sans" w:hAnsi="IBM Plex Sans"/>
          <w:sz w:val="20"/>
          <w:szCs w:val="20"/>
        </w:rPr>
        <w:t>P</w:t>
      </w:r>
      <w:r w:rsidR="00BE302B" w:rsidRPr="00101C74">
        <w:rPr>
          <w:rFonts w:ascii="IBM Plex Sans" w:hAnsi="IBM Plex Sans"/>
          <w:sz w:val="20"/>
          <w:szCs w:val="20"/>
        </w:rPr>
        <w:t>rotect</w:t>
      </w:r>
      <w:r w:rsidR="00944BE7" w:rsidRPr="00101C74">
        <w:rPr>
          <w:rFonts w:ascii="IBM Plex Sans" w:hAnsi="IBM Plex Sans"/>
          <w:sz w:val="20"/>
          <w:szCs w:val="20"/>
        </w:rPr>
        <w:t xml:space="preserve"> (R2P)</w:t>
      </w:r>
      <w:r w:rsidR="00BE302B" w:rsidRPr="00101C74">
        <w:rPr>
          <w:rFonts w:ascii="IBM Plex Sans" w:hAnsi="IBM Plex Sans"/>
          <w:sz w:val="20"/>
          <w:szCs w:val="20"/>
        </w:rPr>
        <w:t xml:space="preserve">, and their related fields, we believe parts of our evidence and analysis apply beyond these spheres and across peace and security more broadly. </w:t>
      </w:r>
      <w:r w:rsidR="008C3050" w:rsidRPr="00101C74">
        <w:rPr>
          <w:rFonts w:ascii="IBM Plex Sans" w:hAnsi="IBM Plex Sans"/>
          <w:sz w:val="20"/>
          <w:szCs w:val="20"/>
        </w:rPr>
        <w:t>It</w:t>
      </w:r>
      <w:r w:rsidR="001245D8" w:rsidRPr="00101C74">
        <w:rPr>
          <w:rFonts w:ascii="IBM Plex Sans" w:hAnsi="IBM Plex Sans"/>
          <w:sz w:val="20"/>
          <w:szCs w:val="20"/>
        </w:rPr>
        <w:t xml:space="preserve"> responds primarily to question </w:t>
      </w:r>
      <w:r w:rsidR="00095F8F" w:rsidRPr="00101C74">
        <w:rPr>
          <w:rFonts w:ascii="IBM Plex Sans" w:hAnsi="IBM Plex Sans"/>
          <w:sz w:val="20"/>
          <w:szCs w:val="20"/>
        </w:rPr>
        <w:t>10</w:t>
      </w:r>
      <w:r w:rsidR="00152DCF" w:rsidRPr="00101C74">
        <w:rPr>
          <w:rFonts w:ascii="IBM Plex Sans" w:hAnsi="IBM Plex Sans"/>
          <w:sz w:val="20"/>
          <w:szCs w:val="20"/>
        </w:rPr>
        <w:t xml:space="preserve"> </w:t>
      </w:r>
      <w:r w:rsidR="00481D62" w:rsidRPr="00101C74">
        <w:rPr>
          <w:rFonts w:ascii="IBM Plex Sans" w:hAnsi="IBM Plex Sans"/>
          <w:sz w:val="20"/>
          <w:szCs w:val="20"/>
        </w:rPr>
        <w:t>and aims to “</w:t>
      </w:r>
      <w:r w:rsidR="00152DCF" w:rsidRPr="00101C74">
        <w:rPr>
          <w:rFonts w:ascii="IBM Plex Sans" w:hAnsi="IBM Plex Sans"/>
          <w:sz w:val="20"/>
          <w:szCs w:val="20"/>
        </w:rPr>
        <w:t>enrich the understanding of the overall relationship between SOGI, peace and security</w:t>
      </w:r>
      <w:r w:rsidR="00481D62" w:rsidRPr="00101C74">
        <w:rPr>
          <w:rFonts w:ascii="IBM Plex Sans" w:hAnsi="IBM Plex Sans"/>
          <w:sz w:val="20"/>
          <w:szCs w:val="20"/>
        </w:rPr>
        <w:t>.”</w:t>
      </w:r>
      <w:r w:rsidR="00152DCF" w:rsidRPr="00101C74">
        <w:rPr>
          <w:rFonts w:ascii="IBM Plex Sans" w:hAnsi="IBM Plex Sans"/>
          <w:sz w:val="20"/>
          <w:szCs w:val="20"/>
        </w:rPr>
        <w:t xml:space="preserve"> </w:t>
      </w:r>
      <w:r w:rsidR="00481D62" w:rsidRPr="00101C74">
        <w:rPr>
          <w:rFonts w:ascii="IBM Plex Sans" w:hAnsi="IBM Plex Sans"/>
          <w:sz w:val="20"/>
          <w:szCs w:val="20"/>
        </w:rPr>
        <w:t>This submission draws from</w:t>
      </w:r>
      <w:r w:rsidR="00BE302B" w:rsidRPr="00101C74">
        <w:rPr>
          <w:rFonts w:ascii="IBM Plex Sans" w:hAnsi="IBM Plex Sans"/>
          <w:sz w:val="20"/>
          <w:szCs w:val="20"/>
        </w:rPr>
        <w:t xml:space="preserve"> Protection Approaches’</w:t>
      </w:r>
      <w:r w:rsidR="00291925" w:rsidRPr="00101C74">
        <w:rPr>
          <w:rFonts w:ascii="IBM Plex Sans" w:hAnsi="IBM Plex Sans"/>
          <w:sz w:val="20"/>
          <w:szCs w:val="20"/>
        </w:rPr>
        <w:t xml:space="preserve"> work, in </w:t>
      </w:r>
      <w:hyperlink r:id="rId10" w:history="1">
        <w:r w:rsidR="00291925" w:rsidRPr="00101C74">
          <w:rPr>
            <w:rStyle w:val="Hyperlink"/>
            <w:rFonts w:ascii="IBM Plex Sans" w:hAnsi="IBM Plex Sans"/>
            <w:sz w:val="20"/>
            <w:szCs w:val="20"/>
          </w:rPr>
          <w:t>collaboration</w:t>
        </w:r>
      </w:hyperlink>
      <w:r w:rsidR="00291925" w:rsidRPr="00101C74">
        <w:rPr>
          <w:rFonts w:ascii="IBM Plex Sans" w:hAnsi="IBM Plex Sans"/>
          <w:sz w:val="20"/>
          <w:szCs w:val="20"/>
        </w:rPr>
        <w:t xml:space="preserve"> with Stonewall and the University of Manc</w:t>
      </w:r>
      <w:r w:rsidR="00145FB9" w:rsidRPr="00101C74">
        <w:rPr>
          <w:rFonts w:ascii="IBM Plex Sans" w:hAnsi="IBM Plex Sans"/>
          <w:sz w:val="20"/>
          <w:szCs w:val="20"/>
        </w:rPr>
        <w:t xml:space="preserve">hester, </w:t>
      </w:r>
      <w:r w:rsidR="00481D62" w:rsidRPr="00101C74">
        <w:rPr>
          <w:rFonts w:ascii="IBM Plex Sans" w:hAnsi="IBM Plex Sans"/>
          <w:sz w:val="20"/>
          <w:szCs w:val="20"/>
        </w:rPr>
        <w:t>on queering atrocity prevention.</w:t>
      </w:r>
      <w:r w:rsidR="003A7294" w:rsidRPr="00101C74">
        <w:rPr>
          <w:rStyle w:val="FootnoteReference"/>
          <w:rFonts w:ascii="IBM Plex Sans" w:hAnsi="IBM Plex Sans"/>
          <w:sz w:val="20"/>
          <w:szCs w:val="20"/>
        </w:rPr>
        <w:footnoteReference w:id="2"/>
      </w:r>
    </w:p>
    <w:p w14:paraId="76B993EE" w14:textId="276D6084" w:rsidR="009901E2" w:rsidRPr="00101C74" w:rsidRDefault="009901E2" w:rsidP="00101C74">
      <w:pPr>
        <w:pStyle w:val="ListParagraph"/>
        <w:jc w:val="both"/>
        <w:rPr>
          <w:rFonts w:ascii="IBM Plex Sans" w:hAnsi="IBM Plex Sans"/>
          <w:sz w:val="20"/>
          <w:szCs w:val="20"/>
        </w:rPr>
      </w:pPr>
    </w:p>
    <w:p w14:paraId="04804C34" w14:textId="52002C6C" w:rsidR="00536BA2" w:rsidRPr="00101C74" w:rsidRDefault="00122507" w:rsidP="00101C74">
      <w:pPr>
        <w:pStyle w:val="ListParagraph"/>
        <w:numPr>
          <w:ilvl w:val="0"/>
          <w:numId w:val="4"/>
        </w:numPr>
        <w:jc w:val="both"/>
        <w:rPr>
          <w:rFonts w:ascii="IBM Plex Sans" w:hAnsi="IBM Plex Sans"/>
          <w:sz w:val="20"/>
          <w:szCs w:val="20"/>
        </w:rPr>
      </w:pPr>
      <w:r w:rsidRPr="00101C74">
        <w:rPr>
          <w:rFonts w:ascii="IBM Plex Sans" w:hAnsi="IBM Plex Sans"/>
          <w:sz w:val="20"/>
          <w:szCs w:val="20"/>
        </w:rPr>
        <w:t xml:space="preserve">In our </w:t>
      </w:r>
      <w:r w:rsidR="00D57ABC" w:rsidRPr="00101C74">
        <w:rPr>
          <w:rFonts w:ascii="IBM Plex Sans" w:hAnsi="IBM Plex Sans"/>
          <w:sz w:val="20"/>
          <w:szCs w:val="20"/>
        </w:rPr>
        <w:t>submission</w:t>
      </w:r>
      <w:r w:rsidR="006A3078" w:rsidRPr="00101C74">
        <w:rPr>
          <w:rFonts w:ascii="IBM Plex Sans" w:hAnsi="IBM Plex Sans"/>
          <w:sz w:val="20"/>
          <w:szCs w:val="20"/>
        </w:rPr>
        <w:t>, our focus</w:t>
      </w:r>
      <w:r w:rsidR="00BE302B" w:rsidRPr="00101C74">
        <w:rPr>
          <w:rFonts w:ascii="IBM Plex Sans" w:hAnsi="IBM Plex Sans"/>
          <w:sz w:val="20"/>
          <w:szCs w:val="20"/>
        </w:rPr>
        <w:t xml:space="preserve"> is</w:t>
      </w:r>
      <w:r w:rsidR="00994C1A" w:rsidRPr="00101C74">
        <w:rPr>
          <w:rFonts w:ascii="IBM Plex Sans" w:hAnsi="IBM Plex Sans"/>
          <w:sz w:val="20"/>
          <w:szCs w:val="20"/>
        </w:rPr>
        <w:t xml:space="preserve"> </w:t>
      </w:r>
      <w:r w:rsidR="006A3078" w:rsidRPr="00101C74">
        <w:rPr>
          <w:rFonts w:ascii="IBM Plex Sans" w:hAnsi="IBM Plex Sans"/>
          <w:sz w:val="20"/>
          <w:szCs w:val="20"/>
        </w:rPr>
        <w:t>on mass violence</w:t>
      </w:r>
      <w:r w:rsidR="00483E4F" w:rsidRPr="00101C74">
        <w:rPr>
          <w:rFonts w:ascii="IBM Plex Sans" w:hAnsi="IBM Plex Sans"/>
          <w:sz w:val="20"/>
          <w:szCs w:val="20"/>
        </w:rPr>
        <w:t xml:space="preserve"> and its prevention, </w:t>
      </w:r>
      <w:r w:rsidR="001D19F8" w:rsidRPr="00101C74">
        <w:rPr>
          <w:rFonts w:ascii="IBM Plex Sans" w:hAnsi="IBM Plex Sans"/>
          <w:sz w:val="20"/>
          <w:szCs w:val="20"/>
        </w:rPr>
        <w:t xml:space="preserve">including </w:t>
      </w:r>
      <w:r w:rsidR="00483E4F" w:rsidRPr="00101C74">
        <w:rPr>
          <w:rFonts w:ascii="IBM Plex Sans" w:hAnsi="IBM Plex Sans"/>
          <w:sz w:val="20"/>
          <w:szCs w:val="20"/>
        </w:rPr>
        <w:t xml:space="preserve">associated human rights violations including but not limited to the rights to life, freedom from torture, family life, </w:t>
      </w:r>
      <w:r w:rsidR="00E74E23" w:rsidRPr="00101C74">
        <w:rPr>
          <w:rFonts w:ascii="IBM Plex Sans" w:hAnsi="IBM Plex Sans"/>
          <w:sz w:val="20"/>
          <w:szCs w:val="20"/>
        </w:rPr>
        <w:t xml:space="preserve">and freedom of association. </w:t>
      </w:r>
      <w:r w:rsidR="004C3EFD" w:rsidRPr="00101C74">
        <w:rPr>
          <w:rFonts w:ascii="IBM Plex Sans" w:hAnsi="IBM Plex Sans"/>
          <w:sz w:val="20"/>
          <w:szCs w:val="20"/>
        </w:rPr>
        <w:t>Mass atrocities occur during war and so-called times of peace.</w:t>
      </w:r>
      <w:r w:rsidR="00070C13" w:rsidRPr="00101C74">
        <w:rPr>
          <w:rStyle w:val="FootnoteReference"/>
          <w:rFonts w:ascii="IBM Plex Sans" w:hAnsi="IBM Plex Sans"/>
          <w:sz w:val="20"/>
          <w:szCs w:val="20"/>
        </w:rPr>
        <w:footnoteReference w:id="3"/>
      </w:r>
      <w:r w:rsidR="004C3EFD" w:rsidRPr="00101C74">
        <w:rPr>
          <w:rFonts w:ascii="IBM Plex Sans" w:hAnsi="IBM Plex Sans"/>
          <w:sz w:val="20"/>
          <w:szCs w:val="20"/>
        </w:rPr>
        <w:t xml:space="preserve"> Far from being a consequence of armed conflict, </w:t>
      </w:r>
      <w:r w:rsidR="00BD2BD3" w:rsidRPr="00101C74">
        <w:rPr>
          <w:rFonts w:ascii="IBM Plex Sans" w:hAnsi="IBM Plex Sans"/>
          <w:sz w:val="20"/>
          <w:szCs w:val="20"/>
        </w:rPr>
        <w:t xml:space="preserve">atrocity crimes are a major cause of violence escalation and instability in and of themselves. </w:t>
      </w:r>
      <w:r w:rsidR="001C1783" w:rsidRPr="00101C74">
        <w:rPr>
          <w:rFonts w:ascii="IBM Plex Sans" w:hAnsi="IBM Plex Sans"/>
          <w:sz w:val="20"/>
          <w:szCs w:val="20"/>
        </w:rPr>
        <w:t>The pathology of mass atrocities is distinct from the pathology of conflict</w:t>
      </w:r>
      <w:r w:rsidR="00190DAB" w:rsidRPr="00101C74">
        <w:rPr>
          <w:rStyle w:val="FootnoteReference"/>
          <w:rFonts w:ascii="IBM Plex Sans" w:hAnsi="IBM Plex Sans"/>
          <w:sz w:val="20"/>
          <w:szCs w:val="20"/>
        </w:rPr>
        <w:footnoteReference w:id="4"/>
      </w:r>
      <w:r w:rsidR="00FF7745" w:rsidRPr="00101C74">
        <w:rPr>
          <w:rFonts w:ascii="IBM Plex Sans" w:hAnsi="IBM Plex Sans"/>
          <w:sz w:val="20"/>
          <w:szCs w:val="20"/>
        </w:rPr>
        <w:t xml:space="preserve">, and it is this distinction that requires </w:t>
      </w:r>
      <w:r w:rsidR="00051048" w:rsidRPr="00101C74">
        <w:rPr>
          <w:rFonts w:ascii="IBM Plex Sans" w:hAnsi="IBM Plex Sans"/>
          <w:sz w:val="20"/>
          <w:szCs w:val="20"/>
        </w:rPr>
        <w:t xml:space="preserve">additional analysis and resourcing to properly identify, understand, and interrupt the risks of mass violence – both </w:t>
      </w:r>
      <w:r w:rsidR="00000A45" w:rsidRPr="00101C74">
        <w:rPr>
          <w:rFonts w:ascii="IBM Plex Sans" w:hAnsi="IBM Plex Sans"/>
          <w:sz w:val="20"/>
          <w:szCs w:val="20"/>
        </w:rPr>
        <w:t xml:space="preserve">preceded by, during, after and distinct from armed conflict – </w:t>
      </w:r>
      <w:r w:rsidR="00051048" w:rsidRPr="00101C74">
        <w:rPr>
          <w:rFonts w:ascii="IBM Plex Sans" w:hAnsi="IBM Plex Sans"/>
          <w:sz w:val="20"/>
          <w:szCs w:val="20"/>
        </w:rPr>
        <w:t>faced by LGBTQI+ communities</w:t>
      </w:r>
      <w:r w:rsidR="00000A45" w:rsidRPr="00101C74">
        <w:rPr>
          <w:rFonts w:ascii="IBM Plex Sans" w:hAnsi="IBM Plex Sans"/>
          <w:sz w:val="20"/>
          <w:szCs w:val="20"/>
        </w:rPr>
        <w:t xml:space="preserve">. </w:t>
      </w:r>
      <w:r w:rsidR="00077990" w:rsidRPr="00101C74">
        <w:rPr>
          <w:rFonts w:ascii="IBM Plex Sans" w:hAnsi="IBM Plex Sans"/>
          <w:sz w:val="20"/>
          <w:szCs w:val="20"/>
        </w:rPr>
        <w:t>Mass atrocities are on the rise inside and outside of conflict settings</w:t>
      </w:r>
      <w:r w:rsidR="00C50D3A" w:rsidRPr="00101C74">
        <w:rPr>
          <w:rFonts w:ascii="IBM Plex Sans" w:hAnsi="IBM Plex Sans"/>
          <w:sz w:val="20"/>
          <w:szCs w:val="20"/>
        </w:rPr>
        <w:t>.</w:t>
      </w:r>
      <w:r w:rsidR="00077990" w:rsidRPr="00101C74">
        <w:rPr>
          <w:rFonts w:ascii="IBM Plex Sans" w:hAnsi="IBM Plex Sans"/>
          <w:sz w:val="20"/>
          <w:szCs w:val="20"/>
        </w:rPr>
        <w:t xml:space="preserve"> Protection Approaches has long argued that the forces behind identity-based violence – inequality, social fracture, democratic backsliding, resource scarcity, climate change, misinformation, and the internationalisation of malign networks – are moving in the wrong direction.  As these trajectories of concern continue, our work has sought to raise the alarm that discrimination and persecution, including widespread and systematic targeting, will become increasingly more frequent.  </w:t>
      </w:r>
    </w:p>
    <w:p w14:paraId="68E4003B" w14:textId="77777777" w:rsidR="00680266" w:rsidRPr="00101C74" w:rsidRDefault="00680266" w:rsidP="00101C74">
      <w:pPr>
        <w:pStyle w:val="ListParagraph"/>
        <w:jc w:val="both"/>
        <w:rPr>
          <w:rFonts w:ascii="IBM Plex Sans" w:hAnsi="IBM Plex Sans"/>
          <w:sz w:val="20"/>
          <w:szCs w:val="20"/>
        </w:rPr>
      </w:pPr>
    </w:p>
    <w:p w14:paraId="06E03781" w14:textId="0C418B52" w:rsidR="00DB0273" w:rsidRPr="00101C74" w:rsidRDefault="00426794" w:rsidP="00101C74">
      <w:pPr>
        <w:pStyle w:val="ListParagraph"/>
        <w:numPr>
          <w:ilvl w:val="0"/>
          <w:numId w:val="4"/>
        </w:numPr>
        <w:jc w:val="both"/>
        <w:rPr>
          <w:rFonts w:ascii="IBM Plex Sans" w:hAnsi="IBM Plex Sans"/>
          <w:sz w:val="20"/>
          <w:szCs w:val="20"/>
        </w:rPr>
      </w:pPr>
      <w:r w:rsidRPr="00101C74">
        <w:rPr>
          <w:rFonts w:ascii="IBM Plex Sans" w:hAnsi="IBM Plex Sans"/>
          <w:sz w:val="20"/>
          <w:szCs w:val="20"/>
        </w:rPr>
        <w:t>The hi</w:t>
      </w:r>
      <w:r w:rsidR="00D07CDB" w:rsidRPr="00101C74">
        <w:rPr>
          <w:rFonts w:ascii="IBM Plex Sans" w:hAnsi="IBM Plex Sans"/>
          <w:sz w:val="20"/>
          <w:szCs w:val="20"/>
        </w:rPr>
        <w:t>s</w:t>
      </w:r>
      <w:r w:rsidRPr="00101C74">
        <w:rPr>
          <w:rFonts w:ascii="IBM Plex Sans" w:hAnsi="IBM Plex Sans"/>
          <w:sz w:val="20"/>
          <w:szCs w:val="20"/>
        </w:rPr>
        <w:t>tory of modern atrocity crimes shows that the persecution of LGBTQI+</w:t>
      </w:r>
      <w:r w:rsidR="006F261A" w:rsidRPr="00101C74">
        <w:rPr>
          <w:rFonts w:ascii="IBM Plex Sans" w:hAnsi="IBM Plex Sans"/>
          <w:sz w:val="20"/>
          <w:szCs w:val="20"/>
        </w:rPr>
        <w:t xml:space="preserve"> </w:t>
      </w:r>
      <w:r w:rsidRPr="00101C74">
        <w:rPr>
          <w:rFonts w:ascii="IBM Plex Sans" w:hAnsi="IBM Plex Sans"/>
          <w:sz w:val="20"/>
          <w:szCs w:val="20"/>
        </w:rPr>
        <w:t>people and queer communities commonly foreshadows the persecution of other groups.</w:t>
      </w:r>
      <w:r w:rsidRPr="00101C74">
        <w:rPr>
          <w:rFonts w:ascii="IBM Plex Sans" w:hAnsi="IBM Plex Sans"/>
          <w:sz w:val="20"/>
          <w:szCs w:val="20"/>
          <w:vertAlign w:val="superscript"/>
        </w:rPr>
        <w:footnoteReference w:id="5"/>
      </w:r>
      <w:r w:rsidRPr="00101C74">
        <w:rPr>
          <w:rFonts w:ascii="IBM Plex Sans" w:hAnsi="IBM Plex Sans"/>
          <w:sz w:val="20"/>
          <w:szCs w:val="20"/>
        </w:rPr>
        <w:t xml:space="preserve"> Just as the reassertion of patriarchal, heteronormative values and legislation indicates a constriction of the rights, freedoms and safety of a society, such shifts commonly come before wider acts of violence.</w:t>
      </w:r>
      <w:r w:rsidRPr="00101C74">
        <w:rPr>
          <w:rFonts w:ascii="IBM Plex Sans" w:hAnsi="IBM Plex Sans"/>
          <w:sz w:val="20"/>
          <w:szCs w:val="20"/>
          <w:vertAlign w:val="superscript"/>
        </w:rPr>
        <w:footnoteReference w:id="6"/>
      </w:r>
      <w:r w:rsidRPr="00101C74">
        <w:rPr>
          <w:rFonts w:ascii="IBM Plex Sans" w:hAnsi="IBM Plex Sans"/>
          <w:sz w:val="20"/>
          <w:szCs w:val="20"/>
        </w:rPr>
        <w:t xml:space="preserve"> From Nazi Germany to genocide in Darfur to the breakup of former Yugoslavia, the imposition of ‘moral’ codes that directly assault sexual and gender identities and freedoms came before widespread state-led physical violence and atrocity crimes.</w:t>
      </w:r>
      <w:r w:rsidRPr="00101C74">
        <w:rPr>
          <w:rFonts w:ascii="IBM Plex Sans" w:hAnsi="IBM Plex Sans"/>
          <w:sz w:val="20"/>
          <w:szCs w:val="20"/>
          <w:vertAlign w:val="superscript"/>
        </w:rPr>
        <w:footnoteReference w:id="7"/>
      </w:r>
      <w:r w:rsidR="00BF476A" w:rsidRPr="00101C74">
        <w:rPr>
          <w:rFonts w:ascii="IBM Plex Sans" w:hAnsi="IBM Plex Sans"/>
          <w:sz w:val="20"/>
          <w:szCs w:val="20"/>
        </w:rPr>
        <w:t xml:space="preserve"> More recently, we have seen LGBTQI+ people become targets for violence, abuse, and extra-judicial executions in Afghanistan under new Taliban rule.</w:t>
      </w:r>
      <w:r w:rsidR="008473C0" w:rsidRPr="00101C74">
        <w:rPr>
          <w:rFonts w:ascii="IBM Plex Sans" w:hAnsi="IBM Plex Sans"/>
          <w:sz w:val="20"/>
          <w:szCs w:val="20"/>
        </w:rPr>
        <w:t xml:space="preserve"> </w:t>
      </w:r>
      <w:r w:rsidR="00B41A69" w:rsidRPr="00101C74">
        <w:rPr>
          <w:rFonts w:ascii="IBM Plex Sans" w:hAnsi="IBM Plex Sans"/>
          <w:sz w:val="20"/>
          <w:szCs w:val="20"/>
        </w:rPr>
        <w:t>Russia’s geopolitical encounter with Europe over the last decade has</w:t>
      </w:r>
      <w:r w:rsidR="00AB2044" w:rsidRPr="00101C74">
        <w:rPr>
          <w:rFonts w:ascii="IBM Plex Sans" w:hAnsi="IBM Plex Sans"/>
          <w:sz w:val="20"/>
          <w:szCs w:val="20"/>
        </w:rPr>
        <w:t xml:space="preserve"> also</w:t>
      </w:r>
      <w:r w:rsidR="00B41A69" w:rsidRPr="00101C74">
        <w:rPr>
          <w:rFonts w:ascii="IBM Plex Sans" w:hAnsi="IBM Plex Sans"/>
          <w:sz w:val="20"/>
          <w:szCs w:val="20"/>
        </w:rPr>
        <w:t xml:space="preserve"> included a stark sexualised and gendered component in which Russia </w:t>
      </w:r>
      <w:r w:rsidR="00B41A69" w:rsidRPr="00101C74">
        <w:rPr>
          <w:rFonts w:ascii="IBM Plex Sans" w:hAnsi="IBM Plex Sans"/>
          <w:sz w:val="20"/>
          <w:szCs w:val="20"/>
        </w:rPr>
        <w:lastRenderedPageBreak/>
        <w:t xml:space="preserve">positions itself as a morally superior civilisation </w:t>
      </w:r>
      <w:r w:rsidR="00063D70" w:rsidRPr="00101C74">
        <w:rPr>
          <w:rFonts w:ascii="IBM Plex Sans" w:hAnsi="IBM Plex Sans"/>
          <w:sz w:val="20"/>
          <w:szCs w:val="20"/>
        </w:rPr>
        <w:t xml:space="preserve">in both domestic and foreign policy </w:t>
      </w:r>
      <w:r w:rsidR="00B41A69" w:rsidRPr="00101C74">
        <w:rPr>
          <w:rFonts w:ascii="IBM Plex Sans" w:hAnsi="IBM Plex Sans"/>
          <w:sz w:val="20"/>
          <w:szCs w:val="20"/>
        </w:rPr>
        <w:t>against a European bloc in need of rescuing from its path of civilisational decay. In light of</w:t>
      </w:r>
      <w:r w:rsidR="00063D70" w:rsidRPr="00101C74">
        <w:rPr>
          <w:rFonts w:ascii="IBM Plex Sans" w:hAnsi="IBM Plex Sans"/>
          <w:sz w:val="20"/>
          <w:szCs w:val="20"/>
        </w:rPr>
        <w:t xml:space="preserve"> the so-called “gay purges” in Chechnya and</w:t>
      </w:r>
      <w:r w:rsidR="00B41A69" w:rsidRPr="00101C74">
        <w:rPr>
          <w:rFonts w:ascii="IBM Plex Sans" w:hAnsi="IBM Plex Sans"/>
          <w:sz w:val="20"/>
          <w:szCs w:val="20"/>
        </w:rPr>
        <w:t xml:space="preserve"> Russia’s invasion of Ukraine and intelligence reports of rumoured lists that </w:t>
      </w:r>
      <w:r w:rsidR="00B41A69" w:rsidRPr="00101C74" w:rsidDel="528D45F3">
        <w:rPr>
          <w:rFonts w:ascii="IBM Plex Sans" w:hAnsi="IBM Plex Sans"/>
          <w:sz w:val="20"/>
          <w:szCs w:val="20"/>
        </w:rPr>
        <w:t>include LGBTQ+ individuals, activists, organisations, and allies to be targeted upon successful Russian takeover</w:t>
      </w:r>
      <w:r w:rsidR="00B41A69" w:rsidRPr="00101C74">
        <w:rPr>
          <w:rFonts w:ascii="IBM Plex Sans" w:hAnsi="IBM Plex Sans"/>
          <w:sz w:val="20"/>
          <w:szCs w:val="20"/>
        </w:rPr>
        <w:t xml:space="preserve">, </w:t>
      </w:r>
      <w:r w:rsidR="004C0167" w:rsidRPr="00101C74">
        <w:rPr>
          <w:rFonts w:ascii="IBM Plex Sans" w:hAnsi="IBM Plex Sans"/>
          <w:sz w:val="20"/>
          <w:szCs w:val="20"/>
        </w:rPr>
        <w:t>the urgency to consider the distinct vulnerabilities and risks of LGBTQI+ communities in situations of mass violence</w:t>
      </w:r>
      <w:r w:rsidR="00034532" w:rsidRPr="00101C74">
        <w:rPr>
          <w:rFonts w:ascii="IBM Plex Sans" w:hAnsi="IBM Plex Sans"/>
          <w:sz w:val="20"/>
          <w:szCs w:val="20"/>
        </w:rPr>
        <w:t xml:space="preserve"> and human rights violations</w:t>
      </w:r>
      <w:r w:rsidR="004C0167" w:rsidRPr="00101C74">
        <w:rPr>
          <w:rFonts w:ascii="IBM Plex Sans" w:hAnsi="IBM Plex Sans"/>
          <w:sz w:val="20"/>
          <w:szCs w:val="20"/>
        </w:rPr>
        <w:t xml:space="preserve"> </w:t>
      </w:r>
      <w:proofErr w:type="gramStart"/>
      <w:r w:rsidR="00B41A69" w:rsidRPr="00101C74">
        <w:rPr>
          <w:rFonts w:ascii="IBM Plex Sans" w:hAnsi="IBM Plex Sans"/>
          <w:sz w:val="20"/>
          <w:szCs w:val="20"/>
        </w:rPr>
        <w:t>has</w:t>
      </w:r>
      <w:proofErr w:type="gramEnd"/>
      <w:r w:rsidR="00B41A69" w:rsidRPr="00101C74">
        <w:rPr>
          <w:rFonts w:ascii="IBM Plex Sans" w:hAnsi="IBM Plex Sans"/>
          <w:sz w:val="20"/>
          <w:szCs w:val="20"/>
        </w:rPr>
        <w:t xml:space="preserve"> a new and important resonance.</w:t>
      </w:r>
      <w:r w:rsidR="00B41A69" w:rsidRPr="00101C74">
        <w:rPr>
          <w:rFonts w:ascii="IBM Plex Sans" w:hAnsi="IBM Plex Sans"/>
          <w:sz w:val="20"/>
          <w:szCs w:val="20"/>
          <w:vertAlign w:val="superscript"/>
        </w:rPr>
        <w:footnoteReference w:id="8"/>
      </w:r>
    </w:p>
    <w:p w14:paraId="3D18A0A2" w14:textId="77777777" w:rsidR="00341E50" w:rsidRPr="00101C74" w:rsidRDefault="00341E50" w:rsidP="00101C74">
      <w:pPr>
        <w:pStyle w:val="ListParagraph"/>
        <w:jc w:val="both"/>
        <w:rPr>
          <w:rFonts w:ascii="IBM Plex Sans" w:hAnsi="IBM Plex Sans"/>
          <w:sz w:val="20"/>
          <w:szCs w:val="20"/>
        </w:rPr>
      </w:pPr>
    </w:p>
    <w:p w14:paraId="6275AC5D" w14:textId="33D6D2AD" w:rsidR="00696F64" w:rsidRPr="00101C74" w:rsidRDefault="00063D70" w:rsidP="00101C74">
      <w:pPr>
        <w:pStyle w:val="ListParagraph"/>
        <w:numPr>
          <w:ilvl w:val="0"/>
          <w:numId w:val="4"/>
        </w:numPr>
        <w:jc w:val="both"/>
        <w:rPr>
          <w:rFonts w:ascii="IBM Plex Sans" w:hAnsi="IBM Plex Sans"/>
          <w:color w:val="000000" w:themeColor="text1"/>
          <w:sz w:val="20"/>
          <w:szCs w:val="20"/>
        </w:rPr>
      </w:pPr>
      <w:r w:rsidRPr="00101C74">
        <w:rPr>
          <w:rFonts w:ascii="IBM Plex Sans" w:hAnsi="IBM Plex Sans"/>
          <w:sz w:val="20"/>
          <w:szCs w:val="20"/>
        </w:rPr>
        <w:t>While predicting mass violence remains a persistent challenge to the practice of atrocity prevention the sector recognises the importance of identifying and responding to warning signs.</w:t>
      </w:r>
      <w:r w:rsidR="00620547" w:rsidRPr="00101C74">
        <w:rPr>
          <w:rFonts w:ascii="IBM Plex Sans" w:hAnsi="IBM Plex Sans"/>
          <w:sz w:val="20"/>
          <w:szCs w:val="20"/>
        </w:rPr>
        <w:t xml:space="preserve"> The sector’s primary and to many most practical tools are the</w:t>
      </w:r>
      <w:r w:rsidRPr="00101C74">
        <w:rPr>
          <w:rFonts w:ascii="IBM Plex Sans" w:hAnsi="IBM Plex Sans"/>
          <w:sz w:val="20"/>
          <w:szCs w:val="20"/>
        </w:rPr>
        <w:t xml:space="preserve"> </w:t>
      </w:r>
      <w:r w:rsidR="00620547" w:rsidRPr="00101C74">
        <w:rPr>
          <w:rFonts w:ascii="IBM Plex Sans" w:hAnsi="IBM Plex Sans"/>
          <w:sz w:val="20"/>
          <w:szCs w:val="20"/>
        </w:rPr>
        <w:t xml:space="preserve">analytical frameworks and check lists of risk factors used by States, United Nations, civil </w:t>
      </w:r>
      <w:proofErr w:type="gramStart"/>
      <w:r w:rsidR="00620547" w:rsidRPr="00101C74">
        <w:rPr>
          <w:rFonts w:ascii="IBM Plex Sans" w:hAnsi="IBM Plex Sans"/>
          <w:sz w:val="20"/>
          <w:szCs w:val="20"/>
        </w:rPr>
        <w:t>society</w:t>
      </w:r>
      <w:proofErr w:type="gramEnd"/>
      <w:r w:rsidR="00620547" w:rsidRPr="00101C74">
        <w:rPr>
          <w:rFonts w:ascii="IBM Plex Sans" w:hAnsi="IBM Plex Sans"/>
          <w:sz w:val="20"/>
          <w:szCs w:val="20"/>
        </w:rPr>
        <w:t xml:space="preserve"> and many other actors to monitor, understand and identify opportunities for prevention in situations (at risk) of mass violence. </w:t>
      </w:r>
      <w:r w:rsidR="00846CAB" w:rsidRPr="00101C74">
        <w:rPr>
          <w:rFonts w:ascii="IBM Plex Sans" w:hAnsi="IBM Plex Sans"/>
          <w:sz w:val="20"/>
          <w:szCs w:val="20"/>
        </w:rPr>
        <w:t xml:space="preserve">None of the formal international frameworks of atrocity risks reviewed as part of this study include violence against LBGTQI+ groups as an indicator of atrocity crimes towards such groups or in general. This means that those who rely upon these frameworks or use them as starting points for making assessments, designing programmes, or developing their own understanding of atrocity risks, are starting from a position of gaps that could readily be closed. </w:t>
      </w:r>
      <w:r w:rsidR="00944E93" w:rsidRPr="00101C74">
        <w:rPr>
          <w:rFonts w:ascii="IBM Plex Sans" w:hAnsi="IBM Plex Sans"/>
          <w:sz w:val="20"/>
          <w:szCs w:val="20"/>
        </w:rPr>
        <w:t xml:space="preserve">The example of Russia is particularly illustrative of the material consequences of these exclusions. </w:t>
      </w:r>
      <w:r w:rsidR="00AF6048" w:rsidRPr="00101C74">
        <w:rPr>
          <w:rFonts w:ascii="IBM Plex Sans" w:hAnsi="IBM Plex Sans"/>
          <w:sz w:val="20"/>
          <w:szCs w:val="20"/>
        </w:rPr>
        <w:t xml:space="preserve">The Chechen </w:t>
      </w:r>
      <w:r w:rsidR="00341E50" w:rsidRPr="00101C74">
        <w:rPr>
          <w:rFonts w:ascii="IBM Plex Sans" w:hAnsi="IBM Plex Sans"/>
          <w:color w:val="000000" w:themeColor="text1"/>
          <w:sz w:val="20"/>
          <w:szCs w:val="20"/>
        </w:rPr>
        <w:t>‘gay purge</w:t>
      </w:r>
      <w:r w:rsidR="000861F1" w:rsidRPr="00101C74">
        <w:rPr>
          <w:rFonts w:ascii="IBM Plex Sans" w:hAnsi="IBM Plex Sans"/>
          <w:color w:val="000000" w:themeColor="text1"/>
          <w:sz w:val="20"/>
          <w:szCs w:val="20"/>
        </w:rPr>
        <w:t>s</w:t>
      </w:r>
      <w:r w:rsidR="00341E50" w:rsidRPr="00101C74">
        <w:rPr>
          <w:rFonts w:ascii="IBM Plex Sans" w:hAnsi="IBM Plex Sans"/>
          <w:color w:val="000000" w:themeColor="text1"/>
          <w:sz w:val="20"/>
          <w:szCs w:val="20"/>
        </w:rPr>
        <w:t>’</w:t>
      </w:r>
      <w:r w:rsidR="00F05170" w:rsidRPr="00101C74">
        <w:rPr>
          <w:rFonts w:ascii="IBM Plex Sans" w:hAnsi="IBM Plex Sans"/>
          <w:color w:val="000000" w:themeColor="text1"/>
          <w:sz w:val="20"/>
          <w:szCs w:val="20"/>
        </w:rPr>
        <w:t xml:space="preserve"> </w:t>
      </w:r>
      <w:r w:rsidR="00AF6048" w:rsidRPr="00101C74">
        <w:rPr>
          <w:rFonts w:ascii="IBM Plex Sans" w:hAnsi="IBM Plex Sans"/>
          <w:color w:val="000000" w:themeColor="text1"/>
          <w:sz w:val="20"/>
          <w:szCs w:val="20"/>
        </w:rPr>
        <w:t xml:space="preserve">- </w:t>
      </w:r>
      <w:r w:rsidR="00F05170" w:rsidRPr="00101C74">
        <w:rPr>
          <w:rFonts w:ascii="IBM Plex Sans" w:hAnsi="IBM Plex Sans"/>
          <w:color w:val="000000" w:themeColor="text1"/>
          <w:sz w:val="20"/>
          <w:szCs w:val="20"/>
        </w:rPr>
        <w:t>likely meeting the threshold of Crimes against Humanity</w:t>
      </w:r>
      <w:r w:rsidR="00AF6048" w:rsidRPr="00101C74">
        <w:rPr>
          <w:rFonts w:ascii="IBM Plex Sans" w:hAnsi="IBM Plex Sans"/>
          <w:color w:val="000000" w:themeColor="text1"/>
          <w:sz w:val="20"/>
          <w:szCs w:val="20"/>
        </w:rPr>
        <w:t xml:space="preserve"> –</w:t>
      </w:r>
      <w:r w:rsidR="00341E50" w:rsidRPr="00101C74">
        <w:rPr>
          <w:rFonts w:ascii="IBM Plex Sans" w:hAnsi="IBM Plex Sans"/>
          <w:color w:val="000000" w:themeColor="text1"/>
          <w:sz w:val="20"/>
          <w:szCs w:val="20"/>
        </w:rPr>
        <w:t xml:space="preserve"> </w:t>
      </w:r>
      <w:r w:rsidR="00AF6048" w:rsidRPr="00101C74">
        <w:rPr>
          <w:rFonts w:ascii="IBM Plex Sans" w:hAnsi="IBM Plex Sans"/>
          <w:color w:val="000000" w:themeColor="text1"/>
          <w:sz w:val="20"/>
          <w:szCs w:val="20"/>
        </w:rPr>
        <w:t xml:space="preserve">and the utilisation of homophobia and transphobia as part of the justification of the invasion of Ukraine were preceded by </w:t>
      </w:r>
      <w:r w:rsidR="00AF6048" w:rsidRPr="00101C74">
        <w:rPr>
          <w:rFonts w:ascii="IBM Plex Sans" w:hAnsi="IBM Plex Sans"/>
          <w:sz w:val="20"/>
          <w:szCs w:val="20"/>
        </w:rPr>
        <w:t>indications of risks</w:t>
      </w:r>
      <w:r w:rsidR="00341E50" w:rsidRPr="00101C74">
        <w:rPr>
          <w:rFonts w:ascii="IBM Plex Sans" w:hAnsi="IBM Plex Sans"/>
          <w:sz w:val="20"/>
          <w:szCs w:val="20"/>
        </w:rPr>
        <w:t xml:space="preserve"> such as t</w:t>
      </w:r>
      <w:r w:rsidR="00341E50" w:rsidRPr="00101C74">
        <w:rPr>
          <w:rFonts w:ascii="IBM Plex Sans" w:hAnsi="IBM Plex Sans"/>
          <w:color w:val="000000" w:themeColor="text1"/>
          <w:sz w:val="20"/>
          <w:szCs w:val="20"/>
        </w:rPr>
        <w:t>he anti-LGBTQI+ legislation from mid-2013, commonly known as the ‘gay propaganda law’ prohibiting the promotion of so-called ‘non-traditional’ sexualities and gender expression to minors, and the subsequent increase in violence towards LGBTQI+ communities, especially LGBTQI+ youth</w:t>
      </w:r>
      <w:r w:rsidR="00AF6048" w:rsidRPr="00101C74">
        <w:rPr>
          <w:rFonts w:ascii="IBM Plex Sans" w:hAnsi="IBM Plex Sans"/>
          <w:color w:val="000000" w:themeColor="text1"/>
          <w:sz w:val="20"/>
          <w:szCs w:val="20"/>
        </w:rPr>
        <w:t>. These developments however</w:t>
      </w:r>
      <w:r w:rsidR="00341E50" w:rsidRPr="00101C74">
        <w:rPr>
          <w:rFonts w:ascii="IBM Plex Sans" w:hAnsi="IBM Plex Sans"/>
          <w:color w:val="000000" w:themeColor="text1"/>
          <w:sz w:val="20"/>
          <w:szCs w:val="20"/>
        </w:rPr>
        <w:t xml:space="preserve"> were not recorded in atrocity risk frameworks</w:t>
      </w:r>
      <w:r w:rsidR="00AF6048" w:rsidRPr="00101C74">
        <w:rPr>
          <w:rFonts w:ascii="IBM Plex Sans" w:hAnsi="IBM Plex Sans"/>
          <w:color w:val="000000" w:themeColor="text1"/>
          <w:sz w:val="20"/>
          <w:szCs w:val="20"/>
        </w:rPr>
        <w:t xml:space="preserve"> and failed to register both specific anti-LGBTQI+ and </w:t>
      </w:r>
      <w:r w:rsidR="00341E50" w:rsidRPr="00101C74">
        <w:rPr>
          <w:rFonts w:ascii="IBM Plex Sans" w:hAnsi="IBM Plex Sans"/>
          <w:color w:val="000000" w:themeColor="text1"/>
          <w:sz w:val="20"/>
          <w:szCs w:val="20"/>
        </w:rPr>
        <w:t xml:space="preserve">wider </w:t>
      </w:r>
      <w:r w:rsidR="0077520C" w:rsidRPr="00101C74">
        <w:rPr>
          <w:rFonts w:ascii="IBM Plex Sans" w:hAnsi="IBM Plex Sans"/>
          <w:color w:val="000000" w:themeColor="text1"/>
          <w:sz w:val="20"/>
          <w:szCs w:val="20"/>
        </w:rPr>
        <w:t xml:space="preserve">whole of society </w:t>
      </w:r>
      <w:r w:rsidR="00341E50" w:rsidRPr="00101C74">
        <w:rPr>
          <w:rFonts w:ascii="IBM Plex Sans" w:hAnsi="IBM Plex Sans"/>
          <w:color w:val="000000" w:themeColor="text1"/>
          <w:sz w:val="20"/>
          <w:szCs w:val="20"/>
        </w:rPr>
        <w:t>architectures of violence.</w:t>
      </w:r>
      <w:r w:rsidR="00341E50" w:rsidRPr="00101C74">
        <w:rPr>
          <w:rStyle w:val="FootnoteReference"/>
          <w:rFonts w:ascii="IBM Plex Sans" w:hAnsi="IBM Plex Sans"/>
          <w:color w:val="000000" w:themeColor="text1"/>
          <w:sz w:val="20"/>
          <w:szCs w:val="20"/>
        </w:rPr>
        <w:footnoteReference w:id="9"/>
      </w:r>
      <w:r w:rsidR="00341E50" w:rsidRPr="00101C74">
        <w:rPr>
          <w:rFonts w:ascii="IBM Plex Sans" w:hAnsi="IBM Plex Sans"/>
          <w:color w:val="000000" w:themeColor="text1"/>
          <w:sz w:val="20"/>
          <w:szCs w:val="20"/>
        </w:rPr>
        <w:t xml:space="preserve"> </w:t>
      </w:r>
    </w:p>
    <w:p w14:paraId="3CD89E63" w14:textId="77777777" w:rsidR="002E7637" w:rsidRPr="00101C74" w:rsidRDefault="002E7637" w:rsidP="00101C74">
      <w:pPr>
        <w:pStyle w:val="ListParagraph"/>
        <w:jc w:val="both"/>
        <w:rPr>
          <w:rFonts w:ascii="IBM Plex Sans" w:hAnsi="IBM Plex Sans"/>
          <w:color w:val="000000" w:themeColor="text1"/>
          <w:sz w:val="20"/>
          <w:szCs w:val="20"/>
        </w:rPr>
      </w:pPr>
    </w:p>
    <w:p w14:paraId="0F258F6E" w14:textId="7728A2AE" w:rsidR="002E7637" w:rsidRPr="00101C74" w:rsidRDefault="005E1DAC" w:rsidP="00101C74">
      <w:pPr>
        <w:pStyle w:val="ListParagraph"/>
        <w:numPr>
          <w:ilvl w:val="0"/>
          <w:numId w:val="4"/>
        </w:numPr>
        <w:jc w:val="both"/>
        <w:rPr>
          <w:rFonts w:ascii="IBM Plex Sans" w:hAnsi="IBM Plex Sans"/>
          <w:color w:val="000000" w:themeColor="text1"/>
          <w:sz w:val="20"/>
          <w:szCs w:val="20"/>
        </w:rPr>
      </w:pPr>
      <w:r w:rsidRPr="00101C74">
        <w:rPr>
          <w:rFonts w:ascii="IBM Plex Sans" w:hAnsi="IBM Plex Sans"/>
          <w:color w:val="000000" w:themeColor="text1"/>
          <w:sz w:val="20"/>
          <w:szCs w:val="20"/>
        </w:rPr>
        <w:t xml:space="preserve">The inclusion of LGBTQI+ communities must not be reduced to a checkbox exercise, rather the indicators of risk must be co-created with the communities experiencing these risks – LGBTQI+ communities themselves. </w:t>
      </w:r>
      <w:r w:rsidR="002E7637" w:rsidRPr="00101C74">
        <w:rPr>
          <w:rFonts w:ascii="IBM Plex Sans" w:hAnsi="IBM Plex Sans"/>
          <w:color w:val="000000" w:themeColor="text1"/>
          <w:sz w:val="20"/>
          <w:szCs w:val="20"/>
        </w:rPr>
        <w:t>The UK fund that supported the production of Protection Approaches’ research was a rare and welcome window that sought out “gender-transformative, inclusive and equitable peacebuilding projects that also consider sexual orientation and gender identity minorities”.</w:t>
      </w:r>
      <w:r w:rsidR="002E7637" w:rsidRPr="00101C74">
        <w:rPr>
          <w:rFonts w:ascii="IBM Plex Sans" w:hAnsi="IBM Plex Sans"/>
          <w:color w:val="000000" w:themeColor="text1"/>
          <w:sz w:val="20"/>
          <w:szCs w:val="20"/>
          <w:vertAlign w:val="superscript"/>
        </w:rPr>
        <w:footnoteReference w:id="10"/>
      </w:r>
      <w:r w:rsidR="002E7637" w:rsidRPr="00101C74">
        <w:rPr>
          <w:rFonts w:ascii="IBM Plex Sans" w:hAnsi="IBM Plex Sans"/>
          <w:color w:val="000000" w:themeColor="text1"/>
          <w:sz w:val="20"/>
          <w:szCs w:val="20"/>
        </w:rPr>
        <w:t xml:space="preserve"> </w:t>
      </w:r>
      <w:r w:rsidRPr="00101C74">
        <w:rPr>
          <w:rFonts w:ascii="IBM Plex Sans" w:hAnsi="IBM Plex Sans"/>
          <w:color w:val="000000" w:themeColor="text1"/>
          <w:sz w:val="20"/>
          <w:szCs w:val="20"/>
        </w:rPr>
        <w:t xml:space="preserve">This direct support of work done jointly by LGBTQI+ and atrocity prevention organisations is unfortunately a rare occurrence but a light-lift low-cost endeavour many States </w:t>
      </w:r>
      <w:r w:rsidR="00755B54" w:rsidRPr="00101C74">
        <w:rPr>
          <w:rFonts w:ascii="IBM Plex Sans" w:hAnsi="IBM Plex Sans"/>
          <w:color w:val="000000" w:themeColor="text1"/>
          <w:sz w:val="20"/>
          <w:szCs w:val="20"/>
        </w:rPr>
        <w:t>should</w:t>
      </w:r>
      <w:r w:rsidRPr="00101C74">
        <w:rPr>
          <w:rFonts w:ascii="IBM Plex Sans" w:hAnsi="IBM Plex Sans"/>
          <w:color w:val="000000" w:themeColor="text1"/>
          <w:sz w:val="20"/>
          <w:szCs w:val="20"/>
        </w:rPr>
        <w:t xml:space="preserve"> replicate. </w:t>
      </w:r>
      <w:r w:rsidR="007A408D" w:rsidRPr="00101C74">
        <w:rPr>
          <w:rFonts w:ascii="IBM Plex Sans" w:hAnsi="IBM Plex Sans"/>
          <w:color w:val="000000" w:themeColor="text1"/>
          <w:sz w:val="20"/>
          <w:szCs w:val="20"/>
        </w:rPr>
        <w:t xml:space="preserve">While states, philanthropic donors and </w:t>
      </w:r>
      <w:proofErr w:type="spellStart"/>
      <w:r w:rsidR="007A408D" w:rsidRPr="00101C74">
        <w:rPr>
          <w:rFonts w:ascii="IBM Plex Sans" w:hAnsi="IBM Plex Sans"/>
          <w:color w:val="000000" w:themeColor="text1"/>
          <w:sz w:val="20"/>
          <w:szCs w:val="20"/>
        </w:rPr>
        <w:t>grantmaking</w:t>
      </w:r>
      <w:proofErr w:type="spellEnd"/>
      <w:r w:rsidR="007A408D" w:rsidRPr="00101C74">
        <w:rPr>
          <w:rFonts w:ascii="IBM Plex Sans" w:hAnsi="IBM Plex Sans"/>
          <w:color w:val="000000" w:themeColor="text1"/>
          <w:sz w:val="20"/>
          <w:szCs w:val="20"/>
        </w:rPr>
        <w:t xml:space="preserve"> organisations continue to become more interested in intersectional approaches to reducing conflict, the wider challenge in the peace and security funding space – where ‘firefighting' so far outstrips attention on prevention – is ensuring that large humanitarian agencies do not remain the primary recipients, crowding out organisations – including LGBTQI+ led organisations – that are for a variety of reasons able to be more nimble, progressive, and nuanced. </w:t>
      </w:r>
      <w:r w:rsidR="002E5A9C" w:rsidRPr="00101C74">
        <w:rPr>
          <w:rFonts w:ascii="IBM Plex Sans" w:hAnsi="IBM Plex Sans"/>
          <w:color w:val="000000" w:themeColor="text1"/>
          <w:sz w:val="20"/>
          <w:szCs w:val="20"/>
        </w:rPr>
        <w:t xml:space="preserve">While we highlight </w:t>
      </w:r>
      <w:r w:rsidR="007A408D" w:rsidRPr="00101C74">
        <w:rPr>
          <w:rFonts w:ascii="IBM Plex Sans" w:hAnsi="IBM Plex Sans"/>
          <w:color w:val="000000" w:themeColor="text1"/>
          <w:sz w:val="20"/>
          <w:szCs w:val="20"/>
        </w:rPr>
        <w:t xml:space="preserve">in this paragraph </w:t>
      </w:r>
      <w:r w:rsidR="002E5A9C" w:rsidRPr="00101C74">
        <w:rPr>
          <w:rFonts w:ascii="IBM Plex Sans" w:hAnsi="IBM Plex Sans"/>
          <w:color w:val="000000" w:themeColor="text1"/>
          <w:sz w:val="20"/>
          <w:szCs w:val="20"/>
        </w:rPr>
        <w:t>th</w:t>
      </w:r>
      <w:r w:rsidR="007A408D" w:rsidRPr="00101C74">
        <w:rPr>
          <w:rFonts w:ascii="IBM Plex Sans" w:hAnsi="IBM Plex Sans"/>
          <w:color w:val="000000" w:themeColor="text1"/>
          <w:sz w:val="20"/>
          <w:szCs w:val="20"/>
        </w:rPr>
        <w:t>e</w:t>
      </w:r>
      <w:r w:rsidR="002E5A9C" w:rsidRPr="00101C74">
        <w:rPr>
          <w:rFonts w:ascii="IBM Plex Sans" w:hAnsi="IBM Plex Sans"/>
          <w:color w:val="000000" w:themeColor="text1"/>
          <w:sz w:val="20"/>
          <w:szCs w:val="20"/>
        </w:rPr>
        <w:t xml:space="preserve"> UK </w:t>
      </w:r>
      <w:r w:rsidR="007A408D" w:rsidRPr="00101C74">
        <w:rPr>
          <w:rFonts w:ascii="IBM Plex Sans" w:hAnsi="IBM Plex Sans"/>
          <w:color w:val="000000" w:themeColor="text1"/>
          <w:sz w:val="20"/>
          <w:szCs w:val="20"/>
        </w:rPr>
        <w:t xml:space="preserve">as an </w:t>
      </w:r>
      <w:r w:rsidR="002E5A9C" w:rsidRPr="00101C74">
        <w:rPr>
          <w:rFonts w:ascii="IBM Plex Sans" w:hAnsi="IBM Plex Sans"/>
          <w:color w:val="000000" w:themeColor="text1"/>
          <w:sz w:val="20"/>
          <w:szCs w:val="20"/>
        </w:rPr>
        <w:t xml:space="preserve">example of best </w:t>
      </w:r>
      <w:r w:rsidR="002E5A9C" w:rsidRPr="00101C74">
        <w:rPr>
          <w:rFonts w:ascii="IBM Plex Sans" w:hAnsi="IBM Plex Sans"/>
          <w:color w:val="000000" w:themeColor="text1"/>
          <w:sz w:val="20"/>
          <w:szCs w:val="20"/>
        </w:rPr>
        <w:lastRenderedPageBreak/>
        <w:t>practice, we do underscore that the responsibility to protect communities must be upheld consistently by all States. We are concerned about the recent developments in the UK as trans people are excluded from proposed bans on the torture practice of conversion therapy, and that in response to civil society pressure put on the</w:t>
      </w:r>
      <w:r w:rsidR="007A408D" w:rsidRPr="00101C74">
        <w:rPr>
          <w:rFonts w:ascii="IBM Plex Sans" w:hAnsi="IBM Plex Sans"/>
          <w:color w:val="000000" w:themeColor="text1"/>
          <w:sz w:val="20"/>
          <w:szCs w:val="20"/>
        </w:rPr>
        <w:t xml:space="preserve"> UK-hosted</w:t>
      </w:r>
      <w:r w:rsidR="002E5A9C" w:rsidRPr="00101C74">
        <w:rPr>
          <w:rFonts w:ascii="IBM Plex Sans" w:hAnsi="IBM Plex Sans"/>
          <w:color w:val="000000" w:themeColor="text1"/>
          <w:sz w:val="20"/>
          <w:szCs w:val="20"/>
        </w:rPr>
        <w:t xml:space="preserve"> </w:t>
      </w:r>
      <w:hyperlink r:id="rId11" w:history="1">
        <w:r w:rsidR="002E5A9C" w:rsidRPr="00101C74">
          <w:rPr>
            <w:rStyle w:val="Hyperlink"/>
            <w:rFonts w:ascii="IBM Plex Sans" w:hAnsi="IBM Plex Sans"/>
            <w:sz w:val="20"/>
            <w:szCs w:val="20"/>
          </w:rPr>
          <w:t>Safe To Be Me</w:t>
        </w:r>
      </w:hyperlink>
      <w:r w:rsidR="002E5A9C" w:rsidRPr="00101C74">
        <w:rPr>
          <w:rFonts w:ascii="IBM Plex Sans" w:hAnsi="IBM Plex Sans"/>
          <w:color w:val="000000" w:themeColor="text1"/>
          <w:sz w:val="20"/>
          <w:szCs w:val="20"/>
        </w:rPr>
        <w:t xml:space="preserve"> conference regarding this decision, the UK decided to cancel a rare global opportunity to further LGBTQI+ rights rather than ensure the protection of trans individuals under the conversion therapy ban. </w:t>
      </w:r>
    </w:p>
    <w:p w14:paraId="1CE25B92" w14:textId="77777777" w:rsidR="003605FC" w:rsidRPr="00101C74" w:rsidRDefault="003605FC" w:rsidP="00101C74">
      <w:pPr>
        <w:jc w:val="both"/>
        <w:rPr>
          <w:rFonts w:ascii="IBM Plex Sans" w:hAnsi="IBM Plex Sans"/>
          <w:color w:val="000000" w:themeColor="text1"/>
          <w:sz w:val="20"/>
          <w:szCs w:val="20"/>
        </w:rPr>
      </w:pPr>
    </w:p>
    <w:p w14:paraId="22EB6EF7" w14:textId="32795FA6" w:rsidR="009F7E85" w:rsidRPr="00101C74" w:rsidRDefault="009F7E85" w:rsidP="00101C74">
      <w:pPr>
        <w:pStyle w:val="ListParagraph"/>
        <w:numPr>
          <w:ilvl w:val="0"/>
          <w:numId w:val="1"/>
        </w:numPr>
        <w:jc w:val="both"/>
        <w:rPr>
          <w:rFonts w:ascii="IBM Plex Sans" w:hAnsi="IBM Plex Sans"/>
          <w:b/>
          <w:bCs/>
          <w:color w:val="000000" w:themeColor="text1"/>
          <w:sz w:val="20"/>
          <w:szCs w:val="20"/>
        </w:rPr>
      </w:pPr>
      <w:r w:rsidRPr="00101C74">
        <w:rPr>
          <w:rFonts w:ascii="IBM Plex Sans" w:hAnsi="IBM Plex Sans"/>
          <w:b/>
          <w:bCs/>
          <w:color w:val="000000" w:themeColor="text1"/>
          <w:sz w:val="20"/>
          <w:szCs w:val="20"/>
        </w:rPr>
        <w:t xml:space="preserve">Lacunae in international </w:t>
      </w:r>
      <w:r w:rsidR="00A03D44" w:rsidRPr="00101C74">
        <w:rPr>
          <w:rFonts w:ascii="IBM Plex Sans" w:hAnsi="IBM Plex Sans"/>
          <w:b/>
          <w:bCs/>
          <w:color w:val="000000" w:themeColor="text1"/>
          <w:sz w:val="20"/>
          <w:szCs w:val="20"/>
        </w:rPr>
        <w:t xml:space="preserve">legal and governance </w:t>
      </w:r>
      <w:r w:rsidR="00CC3E64" w:rsidRPr="00101C74">
        <w:rPr>
          <w:rFonts w:ascii="IBM Plex Sans" w:hAnsi="IBM Plex Sans"/>
          <w:b/>
          <w:bCs/>
          <w:color w:val="000000" w:themeColor="text1"/>
          <w:sz w:val="20"/>
          <w:szCs w:val="20"/>
        </w:rPr>
        <w:t xml:space="preserve">frameworks </w:t>
      </w:r>
    </w:p>
    <w:p w14:paraId="3623C0EF" w14:textId="77777777" w:rsidR="00CC3E64" w:rsidRPr="00101C74" w:rsidRDefault="00CC3E64" w:rsidP="00101C74">
      <w:pPr>
        <w:jc w:val="both"/>
        <w:rPr>
          <w:rFonts w:ascii="IBM Plex Sans" w:hAnsi="IBM Plex Sans"/>
          <w:b/>
          <w:bCs/>
          <w:color w:val="000000" w:themeColor="text1"/>
          <w:sz w:val="20"/>
          <w:szCs w:val="20"/>
        </w:rPr>
      </w:pPr>
    </w:p>
    <w:p w14:paraId="5B10827B" w14:textId="357A6A41" w:rsidR="00A05210" w:rsidRPr="00101C74" w:rsidRDefault="00A05210" w:rsidP="00101C74">
      <w:pPr>
        <w:pStyle w:val="ListParagraph"/>
        <w:numPr>
          <w:ilvl w:val="0"/>
          <w:numId w:val="5"/>
        </w:numPr>
        <w:jc w:val="both"/>
        <w:rPr>
          <w:rFonts w:ascii="IBM Plex Sans" w:hAnsi="IBM Plex Sans" w:cstheme="minorHAnsi"/>
          <w:sz w:val="20"/>
          <w:szCs w:val="20"/>
        </w:rPr>
      </w:pPr>
      <w:r w:rsidRPr="00101C74">
        <w:rPr>
          <w:rFonts w:ascii="IBM Plex Sans" w:hAnsi="IBM Plex Sans" w:cstheme="minorHAnsi"/>
          <w:sz w:val="20"/>
          <w:szCs w:val="20"/>
        </w:rPr>
        <w:t xml:space="preserve">The invisibility of LGBTQI+ communities </w:t>
      </w:r>
      <w:r w:rsidR="008764AE" w:rsidRPr="00101C74">
        <w:rPr>
          <w:rFonts w:ascii="IBM Plex Sans" w:hAnsi="IBM Plex Sans" w:cstheme="minorHAnsi"/>
          <w:sz w:val="20"/>
          <w:szCs w:val="20"/>
        </w:rPr>
        <w:t>in</w:t>
      </w:r>
      <w:r w:rsidRPr="00101C74">
        <w:rPr>
          <w:rFonts w:ascii="IBM Plex Sans" w:hAnsi="IBM Plex Sans" w:cstheme="minorHAnsi"/>
          <w:sz w:val="20"/>
          <w:szCs w:val="20"/>
        </w:rPr>
        <w:t xml:space="preserve"> atrocity prevention architecture normalises, and not only institutionalises assumptions of the </w:t>
      </w:r>
      <w:proofErr w:type="gramStart"/>
      <w:r w:rsidRPr="00101C74">
        <w:rPr>
          <w:rFonts w:ascii="IBM Plex Sans" w:hAnsi="IBM Plex Sans" w:cstheme="minorHAnsi"/>
          <w:sz w:val="20"/>
          <w:szCs w:val="20"/>
        </w:rPr>
        <w:t>cis-heterosexuality</w:t>
      </w:r>
      <w:proofErr w:type="gramEnd"/>
      <w:r w:rsidRPr="00101C74">
        <w:rPr>
          <w:rFonts w:ascii="IBM Plex Sans" w:hAnsi="IBM Plex Sans" w:cstheme="minorHAnsi"/>
          <w:sz w:val="20"/>
          <w:szCs w:val="20"/>
        </w:rPr>
        <w:t xml:space="preserve"> of communities facing and experiencing violence, but renders implausible and invisible the fact that atrocity crimes against people on the basis of non-heteronormative sexuality and non-cisgender identities occur across the world. Widespread and systematic violent targeting of LGBTQI+ people can often look different to the widespread and systematic violent targeting of ethnic, religious and racial groups that traditionally dominate the atrocity prevention </w:t>
      </w:r>
      <w:proofErr w:type="gramStart"/>
      <w:r w:rsidRPr="00101C74">
        <w:rPr>
          <w:rFonts w:ascii="IBM Plex Sans" w:hAnsi="IBM Plex Sans" w:cstheme="minorHAnsi"/>
          <w:sz w:val="20"/>
          <w:szCs w:val="20"/>
        </w:rPr>
        <w:t>agenda, but</w:t>
      </w:r>
      <w:proofErr w:type="gramEnd"/>
      <w:r w:rsidRPr="00101C74">
        <w:rPr>
          <w:rFonts w:ascii="IBM Plex Sans" w:hAnsi="IBM Plex Sans" w:cstheme="minorHAnsi"/>
          <w:sz w:val="20"/>
          <w:szCs w:val="20"/>
        </w:rPr>
        <w:t xml:space="preserve"> may still meet the conceptual and legal thresholds of crimes against humanity. </w:t>
      </w:r>
    </w:p>
    <w:p w14:paraId="54F5773C" w14:textId="77777777" w:rsidR="007A529D" w:rsidRPr="00101C74" w:rsidRDefault="007A529D" w:rsidP="00101C74">
      <w:pPr>
        <w:pStyle w:val="ListParagraph"/>
        <w:jc w:val="both"/>
        <w:rPr>
          <w:rFonts w:ascii="IBM Plex Sans" w:hAnsi="IBM Plex Sans" w:cstheme="minorHAnsi"/>
          <w:sz w:val="20"/>
          <w:szCs w:val="20"/>
        </w:rPr>
      </w:pPr>
    </w:p>
    <w:p w14:paraId="0B6E80B8" w14:textId="77777777" w:rsidR="00067AB3" w:rsidRPr="00101C74" w:rsidRDefault="00A05210" w:rsidP="00101C74">
      <w:pPr>
        <w:pStyle w:val="ListParagraph"/>
        <w:numPr>
          <w:ilvl w:val="0"/>
          <w:numId w:val="5"/>
        </w:numPr>
        <w:jc w:val="both"/>
        <w:rPr>
          <w:rFonts w:ascii="IBM Plex Sans" w:hAnsi="IBM Plex Sans" w:cstheme="minorHAnsi"/>
          <w:sz w:val="20"/>
          <w:szCs w:val="20"/>
        </w:rPr>
      </w:pPr>
      <w:r w:rsidRPr="00101C74">
        <w:rPr>
          <w:rFonts w:ascii="IBM Plex Sans" w:hAnsi="IBM Plex Sans" w:cstheme="minorHAnsi"/>
          <w:sz w:val="20"/>
          <w:szCs w:val="20"/>
        </w:rPr>
        <w:t xml:space="preserve">The Genocide Convention and most definitions of the crime of genocide do not include LGBTQI+ communities as possible victims. As shown by </w:t>
      </w:r>
      <w:proofErr w:type="spellStart"/>
      <w:r w:rsidRPr="00101C74">
        <w:rPr>
          <w:rFonts w:ascii="IBM Plex Sans" w:hAnsi="IBM Plex Sans" w:cstheme="minorHAnsi"/>
          <w:sz w:val="20"/>
          <w:szCs w:val="20"/>
        </w:rPr>
        <w:t>Nellans</w:t>
      </w:r>
      <w:proofErr w:type="spellEnd"/>
      <w:r w:rsidRPr="00101C74">
        <w:rPr>
          <w:rFonts w:ascii="IBM Plex Sans" w:hAnsi="IBM Plex Sans" w:cstheme="minorHAnsi"/>
          <w:sz w:val="20"/>
          <w:szCs w:val="20"/>
        </w:rPr>
        <w:t xml:space="preserve">, this misses the intrinsic connections between heteronormativity – systems which normalise, </w:t>
      </w:r>
      <w:proofErr w:type="gramStart"/>
      <w:r w:rsidRPr="00101C74">
        <w:rPr>
          <w:rFonts w:ascii="IBM Plex Sans" w:hAnsi="IBM Plex Sans" w:cstheme="minorHAnsi"/>
          <w:sz w:val="20"/>
          <w:szCs w:val="20"/>
        </w:rPr>
        <w:t>legitimise</w:t>
      </w:r>
      <w:proofErr w:type="gramEnd"/>
      <w:r w:rsidRPr="00101C74">
        <w:rPr>
          <w:rFonts w:ascii="IBM Plex Sans" w:hAnsi="IBM Plex Sans" w:cstheme="minorHAnsi"/>
          <w:sz w:val="20"/>
          <w:szCs w:val="20"/>
        </w:rPr>
        <w:t xml:space="preserve"> and prioritise heterosexuality as the natural or preferred sexual orientation – and genocide. She connects nationalism and homophobia as “queers are depicted as traitors to the nationalist cause” that prevent the reproduction and pollute the purity of a people.</w:t>
      </w:r>
      <w:r w:rsidRPr="00101C74">
        <w:rPr>
          <w:rStyle w:val="FootnoteReference"/>
          <w:rFonts w:ascii="IBM Plex Sans" w:hAnsi="IBM Plex Sans" w:cstheme="minorHAnsi"/>
          <w:sz w:val="20"/>
          <w:szCs w:val="20"/>
        </w:rPr>
        <w:footnoteReference w:id="11"/>
      </w:r>
      <w:r w:rsidRPr="00101C74">
        <w:rPr>
          <w:rFonts w:ascii="IBM Plex Sans" w:hAnsi="IBM Plex Sans" w:cstheme="minorHAnsi"/>
          <w:sz w:val="20"/>
          <w:szCs w:val="20"/>
        </w:rPr>
        <w:t xml:space="preserve"> Other researchers show how common understandings of genocidal sexual violence are premised on a logic of heteronormativity to the exclusion of gender and sexual minorities.</w:t>
      </w:r>
      <w:r w:rsidRPr="00101C74">
        <w:rPr>
          <w:rStyle w:val="FootnoteReference"/>
          <w:rFonts w:ascii="IBM Plex Sans" w:hAnsi="IBM Plex Sans" w:cstheme="minorHAnsi"/>
          <w:sz w:val="20"/>
          <w:szCs w:val="20"/>
        </w:rPr>
        <w:footnoteReference w:id="12"/>
      </w:r>
    </w:p>
    <w:p w14:paraId="294CD528" w14:textId="77777777" w:rsidR="00067AB3" w:rsidRPr="00101C74" w:rsidRDefault="00067AB3" w:rsidP="00101C74">
      <w:pPr>
        <w:pStyle w:val="ListParagraph"/>
        <w:jc w:val="both"/>
        <w:rPr>
          <w:rFonts w:ascii="IBM Plex Sans" w:hAnsi="IBM Plex Sans" w:cstheme="minorHAnsi"/>
          <w:sz w:val="20"/>
          <w:szCs w:val="20"/>
        </w:rPr>
      </w:pPr>
    </w:p>
    <w:p w14:paraId="213DF771" w14:textId="6D13707A" w:rsidR="00605347" w:rsidRPr="00101C74" w:rsidRDefault="00A05210" w:rsidP="00101C74">
      <w:pPr>
        <w:pStyle w:val="ListParagraph"/>
        <w:numPr>
          <w:ilvl w:val="0"/>
          <w:numId w:val="5"/>
        </w:numPr>
        <w:jc w:val="both"/>
        <w:rPr>
          <w:rFonts w:ascii="IBM Plex Sans" w:hAnsi="IBM Plex Sans" w:cstheme="minorHAnsi"/>
          <w:color w:val="000000"/>
          <w:sz w:val="20"/>
          <w:szCs w:val="20"/>
        </w:rPr>
      </w:pPr>
      <w:r w:rsidRPr="00101C74">
        <w:rPr>
          <w:rFonts w:ascii="IBM Plex Sans" w:hAnsi="IBM Plex Sans" w:cstheme="minorHAnsi"/>
          <w:sz w:val="20"/>
          <w:szCs w:val="20"/>
        </w:rPr>
        <w:t>LGBTQI+ communities are protected by the Rome Statute. As Lisa Davis and Jamie Todd-</w:t>
      </w:r>
      <w:proofErr w:type="spellStart"/>
      <w:r w:rsidRPr="00101C74">
        <w:rPr>
          <w:rFonts w:ascii="IBM Plex Sans" w:hAnsi="IBM Plex Sans" w:cstheme="minorHAnsi"/>
          <w:sz w:val="20"/>
          <w:szCs w:val="20"/>
        </w:rPr>
        <w:t>Gerr</w:t>
      </w:r>
      <w:proofErr w:type="spellEnd"/>
      <w:r w:rsidRPr="00101C74">
        <w:rPr>
          <w:rFonts w:ascii="IBM Plex Sans" w:hAnsi="IBM Plex Sans" w:cstheme="minorHAnsi"/>
          <w:sz w:val="20"/>
          <w:szCs w:val="20"/>
        </w:rPr>
        <w:t xml:space="preserve"> set out “as with all forms of persecution, accountability for gender persecution requires establishment of the underlying discrimination. Targeting women, men, girls, boys, LGBTQI+, non-binary and gender non-conforming persons on gender grounds is a crime against humanity”.</w:t>
      </w:r>
      <w:r w:rsidRPr="00101C74">
        <w:rPr>
          <w:rStyle w:val="FootnoteReference"/>
          <w:rFonts w:ascii="IBM Plex Sans" w:hAnsi="IBM Plex Sans" w:cstheme="minorHAnsi"/>
          <w:sz w:val="20"/>
          <w:szCs w:val="20"/>
        </w:rPr>
        <w:footnoteReference w:id="13"/>
      </w:r>
      <w:r w:rsidRPr="00101C74">
        <w:rPr>
          <w:rFonts w:ascii="IBM Plex Sans" w:hAnsi="IBM Plex Sans" w:cstheme="minorHAnsi"/>
          <w:sz w:val="20"/>
          <w:szCs w:val="20"/>
        </w:rPr>
        <w:t xml:space="preserve"> However, this has not been reflected in the either the language used to describe widespread and systematic violations against LGBTQI+ communities or in recognising LGBTQI+ communities as groups that can be vulnerable to identity-based atrocity crimes.</w:t>
      </w:r>
      <w:r w:rsidR="00295EB7" w:rsidRPr="00101C74">
        <w:rPr>
          <w:rFonts w:ascii="IBM Plex Sans" w:hAnsi="IBM Plex Sans" w:cstheme="minorHAnsi"/>
          <w:sz w:val="20"/>
          <w:szCs w:val="20"/>
        </w:rPr>
        <w:t xml:space="preserve"> The ongoing drafting of a new convention on Crimes against Humanity</w:t>
      </w:r>
      <w:r w:rsidR="00466C27" w:rsidRPr="00101C74">
        <w:rPr>
          <w:rFonts w:ascii="IBM Plex Sans" w:hAnsi="IBM Plex Sans" w:cstheme="minorHAnsi"/>
          <w:sz w:val="20"/>
          <w:szCs w:val="20"/>
        </w:rPr>
        <w:t xml:space="preserve"> offers opportunities for closing gaps in the international legal framework. The removal of archaic definitions of gender – secured in part by contributions from Special Procedures including the Independent Expert and civil society submissions</w:t>
      </w:r>
      <w:r w:rsidR="002F1C62" w:rsidRPr="00101C74">
        <w:rPr>
          <w:rStyle w:val="FootnoteReference"/>
          <w:rFonts w:ascii="IBM Plex Sans" w:hAnsi="IBM Plex Sans" w:cstheme="minorHAnsi"/>
          <w:sz w:val="20"/>
          <w:szCs w:val="20"/>
        </w:rPr>
        <w:footnoteReference w:id="14"/>
      </w:r>
      <w:r w:rsidR="00466C27" w:rsidRPr="00101C74">
        <w:rPr>
          <w:rFonts w:ascii="IBM Plex Sans" w:hAnsi="IBM Plex Sans" w:cstheme="minorHAnsi"/>
          <w:sz w:val="20"/>
          <w:szCs w:val="20"/>
        </w:rPr>
        <w:t xml:space="preserve"> </w:t>
      </w:r>
      <w:r w:rsidR="002F1C62" w:rsidRPr="00101C74">
        <w:rPr>
          <w:rFonts w:ascii="IBM Plex Sans" w:hAnsi="IBM Plex Sans" w:cstheme="minorHAnsi"/>
          <w:sz w:val="20"/>
          <w:szCs w:val="20"/>
        </w:rPr>
        <w:t>–</w:t>
      </w:r>
      <w:r w:rsidR="00466C27" w:rsidRPr="00101C74">
        <w:rPr>
          <w:rFonts w:ascii="IBM Plex Sans" w:hAnsi="IBM Plex Sans" w:cstheme="minorHAnsi"/>
          <w:sz w:val="20"/>
          <w:szCs w:val="20"/>
        </w:rPr>
        <w:t xml:space="preserve"> </w:t>
      </w:r>
      <w:r w:rsidR="002F1C62" w:rsidRPr="00101C74">
        <w:rPr>
          <w:rFonts w:ascii="IBM Plex Sans" w:hAnsi="IBM Plex Sans" w:cstheme="minorHAnsi"/>
          <w:sz w:val="20"/>
          <w:szCs w:val="20"/>
        </w:rPr>
        <w:t>allows for the inclusion of gender in a manner enabling the wider recognition of gender-based violence inclusive of LGBTQI+ communities. We urge States to support and uphold the gender component of the draft convention currently at the 6</w:t>
      </w:r>
      <w:r w:rsidR="002F1C62" w:rsidRPr="00101C74">
        <w:rPr>
          <w:rFonts w:ascii="IBM Plex Sans" w:hAnsi="IBM Plex Sans" w:cstheme="minorHAnsi"/>
          <w:sz w:val="20"/>
          <w:szCs w:val="20"/>
          <w:vertAlign w:val="superscript"/>
        </w:rPr>
        <w:t>th</w:t>
      </w:r>
      <w:r w:rsidR="002F1C62" w:rsidRPr="00101C74">
        <w:rPr>
          <w:rFonts w:ascii="IBM Plex Sans" w:hAnsi="IBM Plex Sans" w:cstheme="minorHAnsi"/>
          <w:sz w:val="20"/>
          <w:szCs w:val="20"/>
        </w:rPr>
        <w:t xml:space="preserve"> committee. </w:t>
      </w:r>
    </w:p>
    <w:p w14:paraId="27150BE6" w14:textId="77777777" w:rsidR="00605347" w:rsidRPr="00101C74" w:rsidRDefault="00605347" w:rsidP="00101C74">
      <w:pPr>
        <w:jc w:val="both"/>
        <w:rPr>
          <w:rFonts w:ascii="IBM Plex Sans" w:hAnsi="IBM Plex Sans" w:cstheme="minorHAnsi"/>
          <w:sz w:val="20"/>
          <w:szCs w:val="20"/>
        </w:rPr>
      </w:pPr>
    </w:p>
    <w:p w14:paraId="4A017F14" w14:textId="6D3CC166" w:rsidR="00734F33" w:rsidRPr="00101C74" w:rsidRDefault="00A03D44" w:rsidP="00101C74">
      <w:pPr>
        <w:pStyle w:val="ListParagraph"/>
        <w:numPr>
          <w:ilvl w:val="0"/>
          <w:numId w:val="5"/>
        </w:numPr>
        <w:jc w:val="both"/>
        <w:rPr>
          <w:rFonts w:ascii="IBM Plex Sans" w:hAnsi="IBM Plex Sans" w:cstheme="minorHAnsi"/>
          <w:sz w:val="20"/>
          <w:szCs w:val="20"/>
        </w:rPr>
      </w:pPr>
      <w:r w:rsidRPr="00101C74">
        <w:rPr>
          <w:rFonts w:ascii="IBM Plex Sans" w:hAnsi="IBM Plex Sans" w:cstheme="minorHAnsi"/>
          <w:sz w:val="20"/>
          <w:szCs w:val="20"/>
        </w:rPr>
        <w:lastRenderedPageBreak/>
        <w:t xml:space="preserve">To understand the LGBTQI+ </w:t>
      </w:r>
      <w:proofErr w:type="spellStart"/>
      <w:r w:rsidRPr="00101C74">
        <w:rPr>
          <w:rFonts w:ascii="IBM Plex Sans" w:hAnsi="IBM Plex Sans" w:cstheme="minorHAnsi"/>
          <w:sz w:val="20"/>
          <w:szCs w:val="20"/>
        </w:rPr>
        <w:t>blindspots</w:t>
      </w:r>
      <w:proofErr w:type="spellEnd"/>
      <w:r w:rsidRPr="00101C74">
        <w:rPr>
          <w:rFonts w:ascii="IBM Plex Sans" w:hAnsi="IBM Plex Sans" w:cstheme="minorHAnsi"/>
          <w:sz w:val="20"/>
          <w:szCs w:val="20"/>
        </w:rPr>
        <w:t xml:space="preserve"> in multilateral atrocity prevention governance,</w:t>
      </w:r>
      <w:r w:rsidR="00BB0948" w:rsidRPr="00101C74">
        <w:rPr>
          <w:rFonts w:ascii="IBM Plex Sans" w:hAnsi="IBM Plex Sans" w:cstheme="minorHAnsi"/>
          <w:sz w:val="20"/>
          <w:szCs w:val="20"/>
        </w:rPr>
        <w:t xml:space="preserve"> our research examined the Responsibility to Protect (R2P). </w:t>
      </w:r>
      <w:r w:rsidR="00A05210" w:rsidRPr="00101C74">
        <w:rPr>
          <w:rFonts w:ascii="IBM Plex Sans" w:hAnsi="IBM Plex Sans" w:cstheme="minorHAnsi"/>
          <w:sz w:val="20"/>
          <w:szCs w:val="20"/>
        </w:rPr>
        <w:t xml:space="preserve">Each year states gather at the UN General Assembly for an annual dialogue on R2P, and the statements given there are a useful resource for ‘temperature checking’ the positions, activities, and areas of concern that states hold on R2P and its implementation. These meetings “have helped to forge a shared understanding of R2P,” all be it a largely inflexible one, whereby </w:t>
      </w:r>
      <w:proofErr w:type="gramStart"/>
      <w:r w:rsidR="00A05210" w:rsidRPr="00101C74">
        <w:rPr>
          <w:rFonts w:ascii="IBM Plex Sans" w:hAnsi="IBM Plex Sans" w:cstheme="minorHAnsi"/>
          <w:sz w:val="20"/>
          <w:szCs w:val="20"/>
        </w:rPr>
        <w:t>a large number of</w:t>
      </w:r>
      <w:proofErr w:type="gramEnd"/>
      <w:r w:rsidR="00A05210" w:rsidRPr="00101C74">
        <w:rPr>
          <w:rFonts w:ascii="IBM Plex Sans" w:hAnsi="IBM Plex Sans" w:cstheme="minorHAnsi"/>
          <w:sz w:val="20"/>
          <w:szCs w:val="20"/>
        </w:rPr>
        <w:t xml:space="preserve"> states flesh out their official understandings of R2P.</w:t>
      </w:r>
      <w:r w:rsidR="00A05210" w:rsidRPr="00101C74">
        <w:rPr>
          <w:rStyle w:val="FootnoteReference"/>
          <w:rFonts w:ascii="IBM Plex Sans" w:hAnsi="IBM Plex Sans" w:cstheme="minorHAnsi"/>
          <w:sz w:val="20"/>
          <w:szCs w:val="20"/>
        </w:rPr>
        <w:footnoteReference w:id="15"/>
      </w:r>
      <w:r w:rsidR="00A05210" w:rsidRPr="00101C74">
        <w:rPr>
          <w:rFonts w:ascii="IBM Plex Sans" w:hAnsi="IBM Plex Sans" w:cstheme="minorHAnsi"/>
          <w:sz w:val="20"/>
          <w:szCs w:val="20"/>
        </w:rPr>
        <w:t xml:space="preserve"> As such, the annual dialogues are a useful site for assessing how states understand the relationships between R2P and identity-based violence. </w:t>
      </w:r>
      <w:r w:rsidR="00734F33" w:rsidRPr="00101C74">
        <w:rPr>
          <w:rFonts w:ascii="IBM Plex Sans" w:hAnsi="IBM Plex Sans" w:cstheme="minorHAnsi"/>
          <w:sz w:val="20"/>
          <w:szCs w:val="20"/>
        </w:rPr>
        <w:t>T</w:t>
      </w:r>
      <w:r w:rsidR="00A05210" w:rsidRPr="00101C74">
        <w:rPr>
          <w:rFonts w:ascii="IBM Plex Sans" w:hAnsi="IBM Plex Sans" w:cstheme="minorHAnsi"/>
          <w:sz w:val="20"/>
          <w:szCs w:val="20"/>
        </w:rPr>
        <w:t>here were no references to LGBTQI+ people or the component identities of gay, lesbian, homosexual, bisexual, or transgender until 2019.</w:t>
      </w:r>
      <w:r w:rsidR="00A05210" w:rsidRPr="00101C74">
        <w:rPr>
          <w:rStyle w:val="FootnoteReference"/>
          <w:rFonts w:ascii="IBM Plex Sans" w:hAnsi="IBM Plex Sans" w:cstheme="minorHAnsi"/>
          <w:sz w:val="20"/>
          <w:szCs w:val="20"/>
        </w:rPr>
        <w:footnoteReference w:id="16"/>
      </w:r>
      <w:r w:rsidR="00A05210" w:rsidRPr="00101C74">
        <w:rPr>
          <w:rFonts w:ascii="IBM Plex Sans" w:hAnsi="IBM Plex Sans" w:cstheme="minorHAnsi"/>
          <w:sz w:val="20"/>
          <w:szCs w:val="20"/>
        </w:rPr>
        <w:t xml:space="preserve"> In 2019 Costa Rica’s statement and Uruguay’s statement both included references to enhanced domestic legal protections for LGBTQI+ people.</w:t>
      </w:r>
      <w:r w:rsidR="00A05210" w:rsidRPr="00101C74">
        <w:rPr>
          <w:rStyle w:val="FootnoteReference"/>
          <w:rFonts w:ascii="IBM Plex Sans" w:hAnsi="IBM Plex Sans" w:cstheme="minorHAnsi"/>
          <w:sz w:val="20"/>
          <w:szCs w:val="20"/>
        </w:rPr>
        <w:footnoteReference w:id="17"/>
      </w:r>
      <w:r w:rsidR="00A05210" w:rsidRPr="00101C74">
        <w:rPr>
          <w:rFonts w:ascii="IBM Plex Sans" w:hAnsi="IBM Plex Sans" w:cstheme="minorHAnsi"/>
          <w:sz w:val="20"/>
          <w:szCs w:val="20"/>
        </w:rPr>
        <w:t xml:space="preserve"> There was also a reference in Russia’s statement in 2019, however it served to dismiss protections of LGBTQI+ people saying that Ukraine “needs real democratization, and not just colourful gay parades in the central squares of Kyiv”.</w:t>
      </w:r>
      <w:r w:rsidR="00A05210" w:rsidRPr="00101C74">
        <w:rPr>
          <w:rStyle w:val="FootnoteReference"/>
          <w:rFonts w:ascii="IBM Plex Sans" w:hAnsi="IBM Plex Sans" w:cstheme="minorHAnsi"/>
          <w:sz w:val="20"/>
          <w:szCs w:val="20"/>
        </w:rPr>
        <w:footnoteReference w:id="18"/>
      </w:r>
      <w:r w:rsidR="00A05210" w:rsidRPr="00101C74">
        <w:rPr>
          <w:rFonts w:ascii="IBM Plex Sans" w:hAnsi="IBM Plex Sans" w:cstheme="minorHAnsi"/>
          <w:sz w:val="20"/>
          <w:szCs w:val="20"/>
        </w:rPr>
        <w:t xml:space="preserve"> This shows that while some states move towards understanding the relevance of R2P to identity categories such as women and refugees, there is still very limited understanding evident in statements on the relevance of LGBTQI+ identities to R2P protection. </w:t>
      </w:r>
    </w:p>
    <w:p w14:paraId="40E72A42" w14:textId="77777777" w:rsidR="00734F33" w:rsidRPr="00101C74" w:rsidRDefault="00734F33" w:rsidP="00101C74">
      <w:pPr>
        <w:pStyle w:val="ListParagraph"/>
        <w:jc w:val="both"/>
        <w:rPr>
          <w:rFonts w:ascii="IBM Plex Sans" w:hAnsi="IBM Plex Sans" w:cstheme="minorHAnsi"/>
          <w:sz w:val="20"/>
          <w:szCs w:val="20"/>
        </w:rPr>
      </w:pPr>
    </w:p>
    <w:p w14:paraId="088EAF4D" w14:textId="579B6689" w:rsidR="00A05210" w:rsidRPr="00101C74" w:rsidRDefault="00A05210" w:rsidP="00101C74">
      <w:pPr>
        <w:pStyle w:val="ListParagraph"/>
        <w:numPr>
          <w:ilvl w:val="0"/>
          <w:numId w:val="5"/>
        </w:numPr>
        <w:jc w:val="both"/>
        <w:rPr>
          <w:rFonts w:ascii="IBM Plex Sans" w:hAnsi="IBM Plex Sans" w:cstheme="minorHAnsi"/>
          <w:sz w:val="20"/>
          <w:szCs w:val="20"/>
        </w:rPr>
      </w:pPr>
      <w:r w:rsidRPr="00101C74">
        <w:rPr>
          <w:rFonts w:ascii="IBM Plex Sans" w:hAnsi="IBM Plex Sans" w:cstheme="minorHAnsi"/>
          <w:sz w:val="20"/>
          <w:szCs w:val="20"/>
        </w:rPr>
        <w:t>Th</w:t>
      </w:r>
      <w:r w:rsidR="00BB0948" w:rsidRPr="00101C74">
        <w:rPr>
          <w:rFonts w:ascii="IBM Plex Sans" w:hAnsi="IBM Plex Sans" w:cstheme="minorHAnsi"/>
          <w:sz w:val="20"/>
          <w:szCs w:val="20"/>
        </w:rPr>
        <w:t>e limited understanding and persisting exclusion of LGBTQI+ communities</w:t>
      </w:r>
      <w:r w:rsidRPr="00101C74">
        <w:rPr>
          <w:rFonts w:ascii="IBM Plex Sans" w:hAnsi="IBM Plex Sans" w:cstheme="minorHAnsi"/>
          <w:sz w:val="20"/>
          <w:szCs w:val="20"/>
        </w:rPr>
        <w:t xml:space="preserve"> is compounded by how LGBTQI+ issues at the United Nations remain siloed, and as a result disjointed from Security Council topics like R2P, under the Human Rights Council and its Special Procedures.</w:t>
      </w:r>
      <w:r w:rsidRPr="00101C74">
        <w:rPr>
          <w:rStyle w:val="FootnoteReference"/>
          <w:rFonts w:ascii="IBM Plex Sans" w:hAnsi="IBM Plex Sans" w:cstheme="minorHAnsi"/>
          <w:sz w:val="20"/>
          <w:szCs w:val="20"/>
        </w:rPr>
        <w:footnoteReference w:id="19"/>
      </w:r>
      <w:r w:rsidRPr="00101C74">
        <w:rPr>
          <w:rFonts w:ascii="IBM Plex Sans" w:hAnsi="IBM Plex Sans" w:cstheme="minorHAnsi"/>
          <w:sz w:val="20"/>
          <w:szCs w:val="20"/>
        </w:rPr>
        <w:t xml:space="preserve"> Greater inclusion of LGBTQI+ people in annual statements on the responsibility to protect – their risks, resilience, and resistance – would help to integrate these currently siloed areas of work. </w:t>
      </w:r>
      <w:r w:rsidR="009759B0" w:rsidRPr="00101C74">
        <w:rPr>
          <w:rFonts w:ascii="IBM Plex Sans" w:hAnsi="IBM Plex Sans" w:cstheme="minorHAnsi"/>
          <w:sz w:val="20"/>
          <w:szCs w:val="20"/>
        </w:rPr>
        <w:t>T</w:t>
      </w:r>
      <w:r w:rsidRPr="00101C74">
        <w:rPr>
          <w:rFonts w:ascii="IBM Plex Sans" w:hAnsi="IBM Plex Sans" w:cstheme="minorHAnsi"/>
          <w:sz w:val="20"/>
          <w:szCs w:val="20"/>
        </w:rPr>
        <w:t xml:space="preserve">he </w:t>
      </w:r>
      <w:r w:rsidR="008F48D2" w:rsidRPr="00101C74">
        <w:rPr>
          <w:rFonts w:ascii="IBM Plex Sans" w:hAnsi="IBM Plex Sans" w:cstheme="minorHAnsi"/>
          <w:sz w:val="20"/>
          <w:szCs w:val="20"/>
        </w:rPr>
        <w:t xml:space="preserve">UN Joint Office for the Prevention of Genocide and the Responsibility to Protect </w:t>
      </w:r>
      <w:r w:rsidRPr="00101C74">
        <w:rPr>
          <w:rFonts w:ascii="IBM Plex Sans" w:hAnsi="IBM Plex Sans" w:cstheme="minorHAnsi"/>
          <w:sz w:val="20"/>
          <w:szCs w:val="20"/>
        </w:rPr>
        <w:t xml:space="preserve">could lead by example in explicitly acknowledging that LGBTQI+ people are part of the’ 'who’ R2P – and thus its mandate – covers. The UN Secretary writes a report on the responsibility to protect each year, none of which in the past have mentioned LGBTQI+ people or their rights, sanctioning in effect the sector’s blindness. And so, despite increasing risks to LGBTQI+ communities around the globe, engagement with LGBTQI+ risks, </w:t>
      </w:r>
      <w:proofErr w:type="gramStart"/>
      <w:r w:rsidRPr="00101C74">
        <w:rPr>
          <w:rFonts w:ascii="IBM Plex Sans" w:hAnsi="IBM Plex Sans" w:cstheme="minorHAnsi"/>
          <w:sz w:val="20"/>
          <w:szCs w:val="20"/>
        </w:rPr>
        <w:t>vulnerabilities</w:t>
      </w:r>
      <w:proofErr w:type="gramEnd"/>
      <w:r w:rsidRPr="00101C74">
        <w:rPr>
          <w:rFonts w:ascii="IBM Plex Sans" w:hAnsi="IBM Plex Sans" w:cstheme="minorHAnsi"/>
          <w:sz w:val="20"/>
          <w:szCs w:val="20"/>
        </w:rPr>
        <w:t xml:space="preserve"> and expertise in atrocity prevention and R2P practice, research and policy have remained limited.</w:t>
      </w:r>
      <w:r w:rsidR="00BB0948" w:rsidRPr="00101C74">
        <w:rPr>
          <w:rFonts w:ascii="IBM Plex Sans" w:hAnsi="IBM Plex Sans" w:cstheme="minorHAnsi"/>
          <w:sz w:val="20"/>
          <w:szCs w:val="20"/>
        </w:rPr>
        <w:t xml:space="preserve"> If he does not so already, we encourage the Independent Expert to liaise and collaborate with the Joint Office to work towards the inclusion of LGBTQI+ communities in atrocity prevention and R2P UN initiatives. </w:t>
      </w:r>
    </w:p>
    <w:p w14:paraId="23AE8F48" w14:textId="77777777" w:rsidR="009759B0" w:rsidRPr="00101C74" w:rsidRDefault="009759B0" w:rsidP="00101C74">
      <w:pPr>
        <w:jc w:val="both"/>
        <w:rPr>
          <w:rStyle w:val="FootnoteReference"/>
          <w:rFonts w:ascii="IBM Plex Sans" w:hAnsi="IBM Plex Sans" w:cstheme="minorHAnsi"/>
          <w:sz w:val="20"/>
          <w:szCs w:val="20"/>
          <w:vertAlign w:val="baseline"/>
        </w:rPr>
      </w:pPr>
    </w:p>
    <w:p w14:paraId="2A51B32D" w14:textId="61839495" w:rsidR="00A05210" w:rsidRPr="00101C74" w:rsidRDefault="00A05210" w:rsidP="00101C74">
      <w:pPr>
        <w:pStyle w:val="ListParagraph"/>
        <w:numPr>
          <w:ilvl w:val="0"/>
          <w:numId w:val="5"/>
        </w:numPr>
        <w:jc w:val="both"/>
        <w:rPr>
          <w:rFonts w:ascii="IBM Plex Sans" w:hAnsi="IBM Plex Sans" w:cstheme="minorHAnsi"/>
          <w:color w:val="000000" w:themeColor="text1"/>
          <w:sz w:val="20"/>
          <w:szCs w:val="20"/>
        </w:rPr>
      </w:pPr>
      <w:r w:rsidRPr="00101C74">
        <w:rPr>
          <w:rFonts w:ascii="IBM Plex Sans" w:hAnsi="IBM Plex Sans" w:cstheme="minorHAnsi"/>
          <w:color w:val="000000" w:themeColor="text1"/>
          <w:sz w:val="20"/>
          <w:szCs w:val="20"/>
        </w:rPr>
        <w:t xml:space="preserve">UN actors that have engaged more than others with LGBTQI+ programming include the UNDP, OHCHR, and UNHCR but progress is slow. UNHCR has had guidance on handling asylum claims </w:t>
      </w:r>
      <w:proofErr w:type="gramStart"/>
      <w:r w:rsidRPr="00101C74">
        <w:rPr>
          <w:rFonts w:ascii="IBM Plex Sans" w:hAnsi="IBM Plex Sans" w:cstheme="minorHAnsi"/>
          <w:color w:val="000000" w:themeColor="text1"/>
          <w:sz w:val="20"/>
          <w:szCs w:val="20"/>
        </w:rPr>
        <w:t>on the basis of</w:t>
      </w:r>
      <w:proofErr w:type="gramEnd"/>
      <w:r w:rsidRPr="00101C74">
        <w:rPr>
          <w:rFonts w:ascii="IBM Plex Sans" w:hAnsi="IBM Plex Sans" w:cstheme="minorHAnsi"/>
          <w:color w:val="000000" w:themeColor="text1"/>
          <w:sz w:val="20"/>
          <w:szCs w:val="20"/>
        </w:rPr>
        <w:t xml:space="preserve"> sexual orientation or gender identity since 2008.</w:t>
      </w:r>
      <w:r w:rsidRPr="00101C74">
        <w:rPr>
          <w:rStyle w:val="FootnoteReference"/>
          <w:rFonts w:ascii="IBM Plex Sans" w:hAnsi="IBM Plex Sans" w:cstheme="minorHAnsi"/>
          <w:color w:val="000000" w:themeColor="text1"/>
          <w:sz w:val="20"/>
          <w:szCs w:val="20"/>
        </w:rPr>
        <w:footnoteReference w:id="20"/>
      </w:r>
      <w:r w:rsidRPr="00101C74">
        <w:rPr>
          <w:rFonts w:ascii="IBM Plex Sans" w:hAnsi="IBM Plex Sans" w:cstheme="minorHAnsi"/>
          <w:color w:val="000000" w:themeColor="text1"/>
          <w:sz w:val="20"/>
          <w:szCs w:val="20"/>
        </w:rPr>
        <w:t xml:space="preserve"> Implementation of these guidelines, however, is lacking. UN Women has more engagement with gender and sexual diversity than its predecessor UNIFEM, however “many LGBTI activists still find it difficult to work with UN Women, describing it as one of the more conservative agencies”.</w:t>
      </w:r>
      <w:r w:rsidRPr="00101C74">
        <w:rPr>
          <w:rStyle w:val="FootnoteReference"/>
          <w:rFonts w:ascii="IBM Plex Sans" w:hAnsi="IBM Plex Sans" w:cstheme="minorHAnsi"/>
          <w:color w:val="000000" w:themeColor="text1"/>
          <w:sz w:val="20"/>
          <w:szCs w:val="20"/>
        </w:rPr>
        <w:footnoteReference w:id="21"/>
      </w:r>
      <w:r w:rsidRPr="00101C74">
        <w:rPr>
          <w:rFonts w:ascii="IBM Plex Sans" w:hAnsi="IBM Plex Sans" w:cstheme="minorHAnsi"/>
          <w:color w:val="000000" w:themeColor="text1"/>
          <w:sz w:val="20"/>
          <w:szCs w:val="20"/>
        </w:rPr>
        <w:t xml:space="preserve"> The WPS agenda, which exists both inside and outside the UN, has been critiqued for its </w:t>
      </w:r>
      <w:r w:rsidRPr="00101C74">
        <w:rPr>
          <w:rFonts w:ascii="IBM Plex Sans" w:hAnsi="IBM Plex Sans" w:cstheme="minorHAnsi"/>
          <w:color w:val="000000" w:themeColor="text1"/>
          <w:sz w:val="20"/>
          <w:szCs w:val="20"/>
        </w:rPr>
        <w:lastRenderedPageBreak/>
        <w:t>“continued silence about homophobic and transphobic violence targeting lesbian, gay, bisexual, transgender and queer individuals in conflict-related environments”.</w:t>
      </w:r>
      <w:r w:rsidRPr="00101C74">
        <w:rPr>
          <w:rStyle w:val="FootnoteReference"/>
          <w:rFonts w:ascii="IBM Plex Sans" w:hAnsi="IBM Plex Sans" w:cstheme="minorHAnsi"/>
          <w:color w:val="000000" w:themeColor="text1"/>
          <w:sz w:val="20"/>
          <w:szCs w:val="20"/>
        </w:rPr>
        <w:footnoteReference w:id="22"/>
      </w:r>
      <w:r w:rsidRPr="00101C74">
        <w:rPr>
          <w:rFonts w:ascii="IBM Plex Sans" w:hAnsi="IBM Plex Sans" w:cstheme="minorHAnsi"/>
          <w:color w:val="000000" w:themeColor="text1"/>
          <w:sz w:val="20"/>
          <w:szCs w:val="20"/>
        </w:rPr>
        <w:t xml:space="preserve"> </w:t>
      </w:r>
    </w:p>
    <w:p w14:paraId="526DEF6B" w14:textId="77777777" w:rsidR="00924AF7" w:rsidRPr="00101C74" w:rsidRDefault="00924AF7" w:rsidP="00101C74">
      <w:pPr>
        <w:pStyle w:val="ListParagraph"/>
        <w:jc w:val="both"/>
        <w:rPr>
          <w:rFonts w:ascii="IBM Plex Sans" w:hAnsi="IBM Plex Sans" w:cstheme="minorHAnsi"/>
          <w:color w:val="000000" w:themeColor="text1"/>
          <w:sz w:val="20"/>
          <w:szCs w:val="20"/>
        </w:rPr>
      </w:pPr>
    </w:p>
    <w:p w14:paraId="0FE800A8" w14:textId="2DAF0213" w:rsidR="00924AF7" w:rsidRPr="00101C74" w:rsidRDefault="00924AF7" w:rsidP="00101C74">
      <w:pPr>
        <w:pStyle w:val="ListParagraph"/>
        <w:numPr>
          <w:ilvl w:val="0"/>
          <w:numId w:val="5"/>
        </w:numPr>
        <w:jc w:val="both"/>
        <w:rPr>
          <w:rFonts w:ascii="IBM Plex Sans" w:hAnsi="IBM Plex Sans" w:cstheme="minorHAnsi"/>
          <w:color w:val="000000" w:themeColor="text1"/>
          <w:sz w:val="20"/>
          <w:szCs w:val="20"/>
        </w:rPr>
      </w:pPr>
      <w:r w:rsidRPr="00101C74">
        <w:rPr>
          <w:rFonts w:ascii="IBM Plex Sans" w:hAnsi="IBM Plex Sans" w:cstheme="minorHAnsi"/>
          <w:color w:val="000000"/>
          <w:sz w:val="20"/>
          <w:szCs w:val="20"/>
        </w:rPr>
        <w:t xml:space="preserve">Alongside LGBTQI+ </w:t>
      </w:r>
      <w:proofErr w:type="spellStart"/>
      <w:r w:rsidRPr="00101C74">
        <w:rPr>
          <w:rFonts w:ascii="IBM Plex Sans" w:hAnsi="IBM Plex Sans" w:cstheme="minorHAnsi"/>
          <w:color w:val="000000"/>
          <w:sz w:val="20"/>
          <w:szCs w:val="20"/>
        </w:rPr>
        <w:t>blindspots</w:t>
      </w:r>
      <w:proofErr w:type="spellEnd"/>
      <w:r w:rsidRPr="00101C74">
        <w:rPr>
          <w:rFonts w:ascii="IBM Plex Sans" w:hAnsi="IBM Plex Sans" w:cstheme="minorHAnsi"/>
          <w:color w:val="000000"/>
          <w:sz w:val="20"/>
          <w:szCs w:val="20"/>
        </w:rPr>
        <w:t xml:space="preserve"> in international law and governance, these </w:t>
      </w:r>
      <w:proofErr w:type="spellStart"/>
      <w:r w:rsidRPr="00101C74">
        <w:rPr>
          <w:rFonts w:ascii="IBM Plex Sans" w:hAnsi="IBM Plex Sans" w:cstheme="minorHAnsi"/>
          <w:color w:val="000000"/>
          <w:sz w:val="20"/>
          <w:szCs w:val="20"/>
        </w:rPr>
        <w:t>blindspots</w:t>
      </w:r>
      <w:proofErr w:type="spellEnd"/>
      <w:r w:rsidRPr="00101C74">
        <w:rPr>
          <w:rFonts w:ascii="IBM Plex Sans" w:hAnsi="IBM Plex Sans" w:cstheme="minorHAnsi"/>
          <w:color w:val="000000"/>
          <w:sz w:val="20"/>
          <w:szCs w:val="20"/>
        </w:rPr>
        <w:t xml:space="preserve"> also persist in the humanitarian responses to atrocity crimes and armed conflict</w:t>
      </w:r>
      <w:r w:rsidR="005D3FE1" w:rsidRPr="00101C74">
        <w:rPr>
          <w:rFonts w:ascii="IBM Plex Sans" w:hAnsi="IBM Plex Sans" w:cstheme="minorHAnsi"/>
          <w:color w:val="000000"/>
          <w:sz w:val="20"/>
          <w:szCs w:val="20"/>
        </w:rPr>
        <w:t xml:space="preserve"> (as well as</w:t>
      </w:r>
      <w:r w:rsidR="00C458CC" w:rsidRPr="00101C74">
        <w:rPr>
          <w:rFonts w:ascii="IBM Plex Sans" w:hAnsi="IBM Plex Sans" w:cstheme="minorHAnsi"/>
          <w:color w:val="000000"/>
          <w:sz w:val="20"/>
          <w:szCs w:val="20"/>
        </w:rPr>
        <w:t xml:space="preserve"> to</w:t>
      </w:r>
      <w:r w:rsidR="005D3FE1" w:rsidRPr="00101C74">
        <w:rPr>
          <w:rFonts w:ascii="IBM Plex Sans" w:hAnsi="IBM Plex Sans" w:cstheme="minorHAnsi"/>
          <w:color w:val="000000"/>
          <w:sz w:val="20"/>
          <w:szCs w:val="20"/>
        </w:rPr>
        <w:t xml:space="preserve"> disasters</w:t>
      </w:r>
      <w:r w:rsidR="00C458CC" w:rsidRPr="00101C74">
        <w:rPr>
          <w:rFonts w:ascii="IBM Plex Sans" w:hAnsi="IBM Plex Sans" w:cstheme="minorHAnsi"/>
          <w:color w:val="000000"/>
          <w:sz w:val="20"/>
          <w:szCs w:val="20"/>
        </w:rPr>
        <w:t xml:space="preserve">, which </w:t>
      </w:r>
      <w:r w:rsidR="005D3FE1" w:rsidRPr="00101C74">
        <w:rPr>
          <w:rFonts w:ascii="IBM Plex Sans" w:hAnsi="IBM Plex Sans" w:cstheme="minorHAnsi"/>
          <w:color w:val="000000"/>
          <w:sz w:val="20"/>
          <w:szCs w:val="20"/>
        </w:rPr>
        <w:t>are and will become more common</w:t>
      </w:r>
      <w:r w:rsidR="00C458CC" w:rsidRPr="00101C74">
        <w:rPr>
          <w:rFonts w:ascii="IBM Plex Sans" w:hAnsi="IBM Plex Sans" w:cstheme="minorHAnsi"/>
          <w:color w:val="000000"/>
          <w:sz w:val="20"/>
          <w:szCs w:val="20"/>
        </w:rPr>
        <w:t xml:space="preserve"> due to the already locked-in consequences of climate change)</w:t>
      </w:r>
      <w:r w:rsidRPr="00101C74">
        <w:rPr>
          <w:rFonts w:ascii="IBM Plex Sans" w:hAnsi="IBM Plex Sans" w:cstheme="minorHAnsi"/>
          <w:color w:val="000000"/>
          <w:sz w:val="20"/>
          <w:szCs w:val="20"/>
        </w:rPr>
        <w:t xml:space="preserve">. </w:t>
      </w:r>
      <w:r w:rsidRPr="00101C74">
        <w:rPr>
          <w:rFonts w:ascii="IBM Plex Sans" w:hAnsi="IBM Plex Sans" w:cstheme="minorHAnsi"/>
          <w:color w:val="000000"/>
          <w:sz w:val="20"/>
          <w:szCs w:val="20"/>
        </w:rPr>
        <w:t>Research by governments, agencies and academics are finding that humanitarian response systems continue to exclude LGBTQ</w:t>
      </w:r>
      <w:r w:rsidRPr="00101C74">
        <w:rPr>
          <w:rFonts w:ascii="IBM Plex Sans" w:hAnsi="IBM Plex Sans" w:cstheme="minorHAnsi"/>
          <w:color w:val="000000" w:themeColor="text1"/>
          <w:sz w:val="20"/>
          <w:szCs w:val="20"/>
        </w:rPr>
        <w:t>I</w:t>
      </w:r>
      <w:r w:rsidRPr="00101C74">
        <w:rPr>
          <w:rFonts w:ascii="IBM Plex Sans" w:hAnsi="IBM Plex Sans" w:cstheme="minorHAnsi"/>
          <w:color w:val="000000"/>
          <w:sz w:val="20"/>
          <w:szCs w:val="20"/>
        </w:rPr>
        <w:t>+ people even where they are at heightened risk.</w:t>
      </w:r>
      <w:r w:rsidRPr="00101C74">
        <w:rPr>
          <w:rStyle w:val="FootnoteReference"/>
          <w:rFonts w:ascii="IBM Plex Sans" w:hAnsi="IBM Plex Sans" w:cstheme="minorHAnsi"/>
          <w:color w:val="000000"/>
          <w:sz w:val="20"/>
          <w:szCs w:val="20"/>
        </w:rPr>
        <w:footnoteReference w:id="23"/>
      </w:r>
      <w:r w:rsidRPr="00101C74">
        <w:rPr>
          <w:rFonts w:ascii="IBM Plex Sans" w:hAnsi="IBM Plex Sans" w:cstheme="minorHAnsi"/>
          <w:color w:val="000000"/>
          <w:sz w:val="20"/>
          <w:szCs w:val="20"/>
        </w:rPr>
        <w:t xml:space="preserve"> </w:t>
      </w:r>
      <w:r w:rsidRPr="00101C74">
        <w:rPr>
          <w:rFonts w:ascii="IBM Plex Sans" w:hAnsi="IBM Plex Sans" w:cstheme="minorHAnsi"/>
          <w:color w:val="000000"/>
          <w:sz w:val="20"/>
          <w:szCs w:val="20"/>
        </w:rPr>
        <w:t>Recent studies have found that “sexual minorities are at greater risk of war crimes, including conflict-based issues of forced displacement, migration, and social cleansing, in addition to the psychological and physical trauma that accompanies persecution and violence”.</w:t>
      </w:r>
      <w:r w:rsidRPr="00101C74">
        <w:rPr>
          <w:rStyle w:val="FootnoteReference"/>
          <w:rFonts w:ascii="IBM Plex Sans" w:hAnsi="IBM Plex Sans" w:cstheme="minorHAnsi"/>
          <w:color w:val="000000"/>
          <w:sz w:val="20"/>
          <w:szCs w:val="20"/>
        </w:rPr>
        <w:footnoteReference w:id="24"/>
      </w:r>
      <w:r w:rsidRPr="00101C74">
        <w:rPr>
          <w:rFonts w:ascii="IBM Plex Sans" w:hAnsi="IBM Plex Sans" w:cstheme="minorHAnsi"/>
          <w:color w:val="000000"/>
          <w:sz w:val="20"/>
          <w:szCs w:val="20"/>
        </w:rPr>
        <w:t xml:space="preserve"> </w:t>
      </w:r>
      <w:r w:rsidRPr="00101C74">
        <w:rPr>
          <w:rFonts w:ascii="IBM Plex Sans" w:hAnsi="IBM Plex Sans" w:cstheme="minorHAnsi"/>
          <w:color w:val="000000" w:themeColor="text1"/>
          <w:sz w:val="20"/>
          <w:szCs w:val="20"/>
        </w:rPr>
        <w:t>During humanitarian crises, such as the 2004 Indian Ocean tsunami, gender diverse people were excluded from systems designed to provide aid and compensation. In fact, a 2018 survey of the 10 largest humanitarian response plans found no inclusion of LGBTQI+ people or their specific needs during humanitarian crises.</w:t>
      </w:r>
      <w:r w:rsidRPr="00101C74">
        <w:rPr>
          <w:rStyle w:val="FootnoteReference"/>
          <w:rFonts w:ascii="IBM Plex Sans" w:hAnsi="IBM Plex Sans" w:cstheme="minorHAnsi"/>
          <w:color w:val="000000" w:themeColor="text1"/>
          <w:sz w:val="20"/>
          <w:szCs w:val="20"/>
        </w:rPr>
        <w:footnoteReference w:id="25"/>
      </w:r>
      <w:r w:rsidRPr="00101C74">
        <w:rPr>
          <w:rFonts w:ascii="IBM Plex Sans" w:hAnsi="IBM Plex Sans" w:cstheme="minorHAnsi"/>
          <w:color w:val="000000" w:themeColor="text1"/>
          <w:sz w:val="20"/>
          <w:szCs w:val="20"/>
        </w:rPr>
        <w:t xml:space="preserve"> </w:t>
      </w:r>
    </w:p>
    <w:p w14:paraId="017674CB" w14:textId="77777777" w:rsidR="00A2160C" w:rsidRPr="00101C74" w:rsidRDefault="00A2160C" w:rsidP="00101C74">
      <w:pPr>
        <w:jc w:val="both"/>
        <w:rPr>
          <w:rFonts w:ascii="IBM Plex Sans" w:hAnsi="IBM Plex Sans"/>
          <w:color w:val="000000" w:themeColor="text1"/>
          <w:sz w:val="20"/>
          <w:szCs w:val="20"/>
        </w:rPr>
      </w:pPr>
    </w:p>
    <w:p w14:paraId="0B601E48" w14:textId="63662004" w:rsidR="00A2160C" w:rsidRPr="00101C74" w:rsidRDefault="00411ECB" w:rsidP="00101C74">
      <w:pPr>
        <w:pStyle w:val="ListParagraph"/>
        <w:numPr>
          <w:ilvl w:val="0"/>
          <w:numId w:val="5"/>
        </w:numPr>
        <w:jc w:val="both"/>
        <w:rPr>
          <w:rFonts w:ascii="IBM Plex Sans" w:hAnsi="IBM Plex Sans"/>
          <w:color w:val="000000" w:themeColor="text1"/>
          <w:sz w:val="20"/>
          <w:szCs w:val="20"/>
        </w:rPr>
      </w:pPr>
      <w:r w:rsidRPr="00101C74">
        <w:rPr>
          <w:rFonts w:ascii="IBM Plex Sans" w:hAnsi="IBM Plex Sans"/>
          <w:color w:val="000000" w:themeColor="text1"/>
          <w:sz w:val="20"/>
          <w:szCs w:val="20"/>
        </w:rPr>
        <w:t>T</w:t>
      </w:r>
      <w:r w:rsidR="00A2160C" w:rsidRPr="00101C74">
        <w:rPr>
          <w:rFonts w:ascii="IBM Plex Sans" w:hAnsi="IBM Plex Sans"/>
          <w:color w:val="000000" w:themeColor="text1"/>
          <w:sz w:val="20"/>
          <w:szCs w:val="20"/>
        </w:rPr>
        <w:t xml:space="preserve">o adequately account for and prevent mass atrocities and conflict escalations, </w:t>
      </w:r>
      <w:r w:rsidRPr="00101C74">
        <w:rPr>
          <w:rFonts w:ascii="IBM Plex Sans" w:hAnsi="IBM Plex Sans"/>
          <w:color w:val="000000" w:themeColor="text1"/>
          <w:sz w:val="20"/>
          <w:szCs w:val="20"/>
        </w:rPr>
        <w:t>multilateral organisations, States, civil society and all actors involved in the prevention of mass violence and armed conflict m</w:t>
      </w:r>
      <w:r w:rsidR="00A2160C" w:rsidRPr="00101C74">
        <w:rPr>
          <w:rFonts w:ascii="IBM Plex Sans" w:hAnsi="IBM Plex Sans"/>
          <w:color w:val="000000" w:themeColor="text1"/>
          <w:sz w:val="20"/>
          <w:szCs w:val="20"/>
        </w:rPr>
        <w:t>ust take heed of situations such as those unfolding in Russia as</w:t>
      </w:r>
      <w:r w:rsidRPr="00101C74">
        <w:rPr>
          <w:rFonts w:ascii="IBM Plex Sans" w:hAnsi="IBM Plex Sans"/>
          <w:color w:val="000000" w:themeColor="text1"/>
          <w:sz w:val="20"/>
          <w:szCs w:val="20"/>
        </w:rPr>
        <w:t xml:space="preserve"> a</w:t>
      </w:r>
      <w:r w:rsidR="00A2160C" w:rsidRPr="00101C74">
        <w:rPr>
          <w:rFonts w:ascii="IBM Plex Sans" w:hAnsi="IBM Plex Sans"/>
          <w:color w:val="000000" w:themeColor="text1"/>
          <w:sz w:val="20"/>
          <w:szCs w:val="20"/>
        </w:rPr>
        <w:t xml:space="preserve"> precipitant to much larger conflicts</w:t>
      </w:r>
      <w:r w:rsidRPr="00101C74">
        <w:rPr>
          <w:rFonts w:ascii="IBM Plex Sans" w:hAnsi="IBM Plex Sans"/>
          <w:color w:val="000000" w:themeColor="text1"/>
          <w:sz w:val="20"/>
          <w:szCs w:val="20"/>
        </w:rPr>
        <w:t xml:space="preserve"> and situations of violence, such as in Chechnya and Ukraine</w:t>
      </w:r>
      <w:r w:rsidR="00A2160C" w:rsidRPr="00101C74">
        <w:rPr>
          <w:rFonts w:ascii="IBM Plex Sans" w:hAnsi="IBM Plex Sans"/>
          <w:color w:val="000000" w:themeColor="text1"/>
          <w:sz w:val="20"/>
          <w:szCs w:val="20"/>
        </w:rPr>
        <w:t xml:space="preserve">; we must look to the patterns of violent discrimination in Egypt, acknowledge specific risks in Afghanistan, commit to including the needs of LGBTQI+ communities in our prevention efforts in Bosnia-Herzegovina and Sudan. </w:t>
      </w:r>
      <w:r w:rsidRPr="00101C74">
        <w:rPr>
          <w:rFonts w:ascii="IBM Plex Sans" w:hAnsi="IBM Plex Sans"/>
          <w:color w:val="000000" w:themeColor="text1"/>
          <w:sz w:val="20"/>
          <w:szCs w:val="20"/>
        </w:rPr>
        <w:t xml:space="preserve">This requires concerted efforts to and investments in how </w:t>
      </w:r>
      <w:r w:rsidR="00A2160C" w:rsidRPr="00101C74">
        <w:rPr>
          <w:rFonts w:ascii="IBM Plex Sans" w:hAnsi="IBM Plex Sans"/>
          <w:color w:val="000000" w:themeColor="text1"/>
          <w:sz w:val="20"/>
          <w:szCs w:val="20"/>
        </w:rPr>
        <w:t>to better monitor the specific risks and indicators of LGBTQI+ vulnerability to identity-based atrocity crimes.</w:t>
      </w:r>
      <w:r w:rsidR="001E012E" w:rsidRPr="00101C74">
        <w:rPr>
          <w:rFonts w:ascii="IBM Plex Sans" w:hAnsi="IBM Plex Sans"/>
          <w:sz w:val="20"/>
          <w:szCs w:val="20"/>
        </w:rPr>
        <w:t xml:space="preserve"> </w:t>
      </w:r>
      <w:r w:rsidRPr="00101C74">
        <w:rPr>
          <w:rFonts w:ascii="IBM Plex Sans" w:hAnsi="IBM Plex Sans"/>
          <w:sz w:val="20"/>
          <w:szCs w:val="20"/>
        </w:rPr>
        <w:t>Our research does not suggest</w:t>
      </w:r>
      <w:r w:rsidR="001E012E" w:rsidRPr="00101C74">
        <w:rPr>
          <w:rFonts w:ascii="IBM Plex Sans" w:hAnsi="IBM Plex Sans"/>
          <w:color w:val="000000" w:themeColor="text1"/>
          <w:sz w:val="20"/>
          <w:szCs w:val="20"/>
        </w:rPr>
        <w:t xml:space="preserve"> that all mass atrocities begin against a backdrop of LGBTQI+ persecution, but such violence </w:t>
      </w:r>
      <w:r w:rsidRPr="00101C74">
        <w:rPr>
          <w:rFonts w:ascii="IBM Plex Sans" w:hAnsi="IBM Plex Sans"/>
          <w:color w:val="000000" w:themeColor="text1"/>
          <w:sz w:val="20"/>
          <w:szCs w:val="20"/>
        </w:rPr>
        <w:t xml:space="preserve">does </w:t>
      </w:r>
      <w:r w:rsidR="001E012E" w:rsidRPr="00101C74">
        <w:rPr>
          <w:rFonts w:ascii="IBM Plex Sans" w:hAnsi="IBM Plex Sans"/>
          <w:color w:val="000000" w:themeColor="text1"/>
          <w:sz w:val="20"/>
          <w:szCs w:val="20"/>
        </w:rPr>
        <w:t xml:space="preserve">tend to be a precursor to violence escalation and deeper, faster democratic backsliding. </w:t>
      </w:r>
      <w:r w:rsidR="00536904" w:rsidRPr="00101C74">
        <w:rPr>
          <w:rFonts w:ascii="IBM Plex Sans" w:hAnsi="IBM Plex Sans"/>
          <w:color w:val="000000" w:themeColor="text1"/>
          <w:sz w:val="20"/>
          <w:szCs w:val="20"/>
        </w:rPr>
        <w:t>Q</w:t>
      </w:r>
      <w:r w:rsidR="001E012E" w:rsidRPr="00101C74">
        <w:rPr>
          <w:rFonts w:ascii="IBM Plex Sans" w:hAnsi="IBM Plex Sans"/>
          <w:color w:val="000000" w:themeColor="text1"/>
          <w:sz w:val="20"/>
          <w:szCs w:val="20"/>
        </w:rPr>
        <w:t>ueer people face significant and unique</w:t>
      </w:r>
      <w:r w:rsidR="004217A2" w:rsidRPr="00101C74">
        <w:rPr>
          <w:rFonts w:ascii="IBM Plex Sans" w:hAnsi="IBM Plex Sans"/>
          <w:color w:val="000000" w:themeColor="text1"/>
          <w:sz w:val="20"/>
          <w:szCs w:val="20"/>
        </w:rPr>
        <w:t xml:space="preserve"> </w:t>
      </w:r>
      <w:r w:rsidR="001E012E" w:rsidRPr="00101C74">
        <w:rPr>
          <w:rFonts w:ascii="IBM Plex Sans" w:hAnsi="IBM Plex Sans"/>
          <w:color w:val="000000" w:themeColor="text1"/>
          <w:sz w:val="20"/>
          <w:szCs w:val="20"/>
        </w:rPr>
        <w:t xml:space="preserve">insecurities during conflicts and atrocities </w:t>
      </w:r>
      <w:r w:rsidR="00536904" w:rsidRPr="00101C74">
        <w:rPr>
          <w:rFonts w:ascii="IBM Plex Sans" w:hAnsi="IBM Plex Sans"/>
          <w:color w:val="000000" w:themeColor="text1"/>
          <w:sz w:val="20"/>
          <w:szCs w:val="20"/>
        </w:rPr>
        <w:t>– it is time that these communities are</w:t>
      </w:r>
      <w:r w:rsidR="001E012E" w:rsidRPr="00101C74">
        <w:rPr>
          <w:rFonts w:ascii="IBM Plex Sans" w:hAnsi="IBM Plex Sans"/>
          <w:color w:val="000000" w:themeColor="text1"/>
          <w:sz w:val="20"/>
          <w:szCs w:val="20"/>
        </w:rPr>
        <w:t xml:space="preserve"> accounted for in conflict and atrocity frameworks.</w:t>
      </w:r>
    </w:p>
    <w:p w14:paraId="5CDE620C" w14:textId="7B9D2571" w:rsidR="00680266" w:rsidRPr="00101C74" w:rsidRDefault="00680266" w:rsidP="00101C74">
      <w:pPr>
        <w:jc w:val="both"/>
        <w:rPr>
          <w:rFonts w:ascii="IBM Plex Sans" w:hAnsi="IBM Plex Sans"/>
          <w:sz w:val="20"/>
          <w:szCs w:val="20"/>
        </w:rPr>
      </w:pPr>
    </w:p>
    <w:p w14:paraId="063A3715" w14:textId="77777777" w:rsidR="005B6768" w:rsidRPr="00101C74" w:rsidRDefault="005B6768" w:rsidP="00101C74">
      <w:pPr>
        <w:jc w:val="both"/>
        <w:rPr>
          <w:rFonts w:ascii="IBM Plex Sans" w:hAnsi="IBM Plex Sans"/>
          <w:b/>
          <w:bCs/>
          <w:sz w:val="20"/>
          <w:szCs w:val="20"/>
        </w:rPr>
      </w:pPr>
      <w:r w:rsidRPr="00101C74">
        <w:rPr>
          <w:rFonts w:ascii="IBM Plex Sans" w:hAnsi="IBM Plex Sans"/>
          <w:b/>
          <w:bCs/>
          <w:sz w:val="20"/>
          <w:szCs w:val="20"/>
        </w:rPr>
        <w:t xml:space="preserve">We ask States to consider: </w:t>
      </w:r>
    </w:p>
    <w:p w14:paraId="025FCC9E" w14:textId="77777777"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 xml:space="preserve">developing, </w:t>
      </w:r>
      <w:proofErr w:type="gramStart"/>
      <w:r w:rsidRPr="00101C74">
        <w:rPr>
          <w:rFonts w:ascii="IBM Plex Sans" w:hAnsi="IBM Plex Sans"/>
          <w:sz w:val="20"/>
          <w:szCs w:val="20"/>
        </w:rPr>
        <w:t>adopting</w:t>
      </w:r>
      <w:proofErr w:type="gramEnd"/>
      <w:r w:rsidRPr="00101C74">
        <w:rPr>
          <w:rFonts w:ascii="IBM Plex Sans" w:hAnsi="IBM Plex Sans"/>
          <w:sz w:val="20"/>
          <w:szCs w:val="20"/>
        </w:rPr>
        <w:t xml:space="preserve"> and implementing an inclusive, intersectional national strategy of atrocity prevention</w:t>
      </w:r>
    </w:p>
    <w:p w14:paraId="30396E6A" w14:textId="77777777"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 xml:space="preserve">investing in cross-cutting agenda development that brings together WPS, R2P, civilian protection, humanitarian response, atrocity prevention, and the rights of LGBTQI+ people in domestic and international policy </w:t>
      </w:r>
    </w:p>
    <w:p w14:paraId="264DA803" w14:textId="77777777"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 xml:space="preserve">moving towards the </w:t>
      </w:r>
      <w:proofErr w:type="spellStart"/>
      <w:r w:rsidRPr="00101C74">
        <w:rPr>
          <w:rFonts w:ascii="IBM Plex Sans" w:hAnsi="IBM Plex Sans"/>
          <w:sz w:val="20"/>
          <w:szCs w:val="20"/>
        </w:rPr>
        <w:t>depoliticisation</w:t>
      </w:r>
      <w:proofErr w:type="spellEnd"/>
      <w:r w:rsidRPr="00101C74">
        <w:rPr>
          <w:rFonts w:ascii="IBM Plex Sans" w:hAnsi="IBM Plex Sans"/>
          <w:sz w:val="20"/>
          <w:szCs w:val="20"/>
        </w:rPr>
        <w:t xml:space="preserve"> of sex, acknowledging that sexual desire and gender identities/expressions are as varied as the individuals who hold them</w:t>
      </w:r>
    </w:p>
    <w:p w14:paraId="0C333ADB" w14:textId="13EB6622"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delivering interventions supporting the protection and inclusion of LGBTQI+ communities within the General Assembly</w:t>
      </w:r>
      <w:r w:rsidR="00F71F50" w:rsidRPr="00101C74">
        <w:rPr>
          <w:rFonts w:ascii="IBM Plex Sans" w:hAnsi="IBM Plex Sans"/>
          <w:sz w:val="20"/>
          <w:szCs w:val="20"/>
        </w:rPr>
        <w:t xml:space="preserve"> – including the annual R2P debates</w:t>
      </w:r>
      <w:r w:rsidRPr="00101C74">
        <w:rPr>
          <w:rFonts w:ascii="IBM Plex Sans" w:hAnsi="IBM Plex Sans"/>
          <w:sz w:val="20"/>
          <w:szCs w:val="20"/>
        </w:rPr>
        <w:t>, the Human Rights Council, and through recommendations given through the Universal Periodic Review</w:t>
      </w:r>
    </w:p>
    <w:p w14:paraId="2465AD24" w14:textId="77777777"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inviting the Independent Expert on sexual orientation and gender identity to make a country visit</w:t>
      </w:r>
    </w:p>
    <w:p w14:paraId="6BAFFFCA" w14:textId="65281A48"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lastRenderedPageBreak/>
        <w:t xml:space="preserve">ensuring high-level ministerial attendance, including ministers whose portfolio includes atrocity prevention and R2P focal points, to attend international LGBTQI+ </w:t>
      </w:r>
      <w:r w:rsidR="00164091" w:rsidRPr="00101C74">
        <w:rPr>
          <w:rFonts w:ascii="IBM Plex Sans" w:hAnsi="IBM Plex Sans"/>
          <w:sz w:val="20"/>
          <w:szCs w:val="20"/>
        </w:rPr>
        <w:t>conferences</w:t>
      </w:r>
    </w:p>
    <w:p w14:paraId="59F4CDAF" w14:textId="77777777" w:rsidR="005B6768" w:rsidRPr="00101C74" w:rsidRDefault="005B6768" w:rsidP="00101C74">
      <w:pPr>
        <w:numPr>
          <w:ilvl w:val="0"/>
          <w:numId w:val="6"/>
        </w:numPr>
        <w:jc w:val="both"/>
        <w:rPr>
          <w:rFonts w:ascii="IBM Plex Sans" w:hAnsi="IBM Plex Sans"/>
          <w:sz w:val="20"/>
          <w:szCs w:val="20"/>
        </w:rPr>
      </w:pPr>
      <w:r w:rsidRPr="00101C74">
        <w:rPr>
          <w:rFonts w:ascii="IBM Plex Sans" w:hAnsi="IBM Plex Sans"/>
          <w:sz w:val="20"/>
          <w:szCs w:val="20"/>
        </w:rPr>
        <w:t>funding R2P focal points to ensure they have the capacity to both queer and devolve R2P</w:t>
      </w:r>
    </w:p>
    <w:p w14:paraId="56EBBC03" w14:textId="77777777" w:rsidR="00796A33" w:rsidRPr="00101C74" w:rsidRDefault="00796A33" w:rsidP="00101C74">
      <w:pPr>
        <w:jc w:val="both"/>
        <w:rPr>
          <w:rFonts w:ascii="IBM Plex Sans" w:hAnsi="IBM Plex Sans"/>
          <w:sz w:val="20"/>
          <w:szCs w:val="20"/>
        </w:rPr>
      </w:pPr>
    </w:p>
    <w:p w14:paraId="2320317F" w14:textId="77777777" w:rsidR="00796A33" w:rsidRPr="00101C74" w:rsidRDefault="00796A33" w:rsidP="00101C74">
      <w:pPr>
        <w:jc w:val="both"/>
        <w:rPr>
          <w:rFonts w:ascii="IBM Plex Sans" w:hAnsi="IBM Plex Sans" w:cstheme="minorHAnsi"/>
          <w:b/>
          <w:bCs/>
          <w:sz w:val="20"/>
          <w:szCs w:val="20"/>
        </w:rPr>
      </w:pPr>
      <w:bookmarkStart w:id="0" w:name="_Hlk100366049"/>
      <w:r w:rsidRPr="00101C74">
        <w:rPr>
          <w:rFonts w:ascii="IBM Plex Sans" w:hAnsi="IBM Plex Sans" w:cstheme="minorHAnsi"/>
          <w:b/>
          <w:bCs/>
          <w:sz w:val="20"/>
          <w:szCs w:val="20"/>
        </w:rPr>
        <w:t>We ask the UN Joint Office for the prevention of genocide and the responsibility to protect to consider:</w:t>
      </w:r>
    </w:p>
    <w:bookmarkEnd w:id="0"/>
    <w:p w14:paraId="251797FA" w14:textId="77777777" w:rsidR="00796A33" w:rsidRPr="00101C74" w:rsidRDefault="00796A33" w:rsidP="00101C74">
      <w:pPr>
        <w:pStyle w:val="ListParagraph"/>
        <w:numPr>
          <w:ilvl w:val="0"/>
          <w:numId w:val="6"/>
        </w:numPr>
        <w:spacing w:before="240"/>
        <w:jc w:val="both"/>
        <w:rPr>
          <w:rFonts w:ascii="IBM Plex Sans" w:hAnsi="IBM Plex Sans" w:cstheme="minorHAnsi"/>
          <w:sz w:val="20"/>
          <w:szCs w:val="20"/>
        </w:rPr>
      </w:pPr>
      <w:r w:rsidRPr="00101C74">
        <w:rPr>
          <w:rFonts w:ascii="IBM Plex Sans" w:hAnsi="IBM Plex Sans" w:cstheme="minorHAnsi"/>
          <w:sz w:val="20"/>
          <w:szCs w:val="20"/>
        </w:rPr>
        <w:t>explicitly acknowledging that LGBTQI+ people are part of the ‘who’ that the mandate of the joint office, and the principle of the responsibility to protect, covers</w:t>
      </w:r>
    </w:p>
    <w:p w14:paraId="152E0633" w14:textId="77777777" w:rsidR="00796A33" w:rsidRPr="00101C74" w:rsidRDefault="00796A33" w:rsidP="00101C74">
      <w:pPr>
        <w:pStyle w:val="ListParagraph"/>
        <w:numPr>
          <w:ilvl w:val="0"/>
          <w:numId w:val="6"/>
        </w:numPr>
        <w:spacing w:before="240"/>
        <w:jc w:val="both"/>
        <w:rPr>
          <w:rFonts w:ascii="IBM Plex Sans" w:hAnsi="IBM Plex Sans" w:cstheme="minorHAnsi"/>
          <w:sz w:val="20"/>
          <w:szCs w:val="20"/>
        </w:rPr>
      </w:pPr>
      <w:r w:rsidRPr="00101C74">
        <w:rPr>
          <w:rFonts w:ascii="IBM Plex Sans" w:hAnsi="IBM Plex Sans" w:cstheme="minorHAnsi"/>
          <w:sz w:val="20"/>
          <w:szCs w:val="20"/>
        </w:rPr>
        <w:t xml:space="preserve">opening up the framework of analysis to include indicators relating to sex and gender, and issue guidance on the importance of co-creation for specifical contexts, populations and </w:t>
      </w:r>
      <w:proofErr w:type="gramStart"/>
      <w:r w:rsidRPr="00101C74">
        <w:rPr>
          <w:rFonts w:ascii="IBM Plex Sans" w:hAnsi="IBM Plex Sans" w:cstheme="minorHAnsi"/>
          <w:sz w:val="20"/>
          <w:szCs w:val="20"/>
        </w:rPr>
        <w:t>at risk</w:t>
      </w:r>
      <w:proofErr w:type="gramEnd"/>
      <w:r w:rsidRPr="00101C74">
        <w:rPr>
          <w:rFonts w:ascii="IBM Plex Sans" w:hAnsi="IBM Plex Sans" w:cstheme="minorHAnsi"/>
          <w:sz w:val="20"/>
          <w:szCs w:val="20"/>
        </w:rPr>
        <w:t xml:space="preserve"> groups </w:t>
      </w:r>
    </w:p>
    <w:p w14:paraId="21B084BB" w14:textId="77777777" w:rsidR="00796A33" w:rsidRPr="00101C74" w:rsidRDefault="00796A33" w:rsidP="00101C74">
      <w:pPr>
        <w:pStyle w:val="ListParagraph"/>
        <w:numPr>
          <w:ilvl w:val="0"/>
          <w:numId w:val="6"/>
        </w:numPr>
        <w:spacing w:before="240"/>
        <w:jc w:val="both"/>
        <w:rPr>
          <w:rFonts w:ascii="IBM Plex Sans" w:hAnsi="IBM Plex Sans" w:cstheme="minorHAnsi"/>
          <w:sz w:val="20"/>
          <w:szCs w:val="20"/>
        </w:rPr>
      </w:pPr>
      <w:r w:rsidRPr="00101C74">
        <w:rPr>
          <w:rFonts w:ascii="IBM Plex Sans" w:hAnsi="IBM Plex Sans" w:cstheme="minorHAnsi"/>
          <w:sz w:val="20"/>
          <w:szCs w:val="20"/>
        </w:rPr>
        <w:t xml:space="preserve">including LGBTQI+ communities and the risks they face in the activities of the joint office, both by reaching in to CSOs and in the risk assessments they undertake </w:t>
      </w:r>
    </w:p>
    <w:p w14:paraId="1ADAE3B8" w14:textId="448ACF68" w:rsidR="001678A6" w:rsidRPr="00101C74" w:rsidRDefault="00796A33" w:rsidP="00101C74">
      <w:pPr>
        <w:pStyle w:val="ListParagraph"/>
        <w:numPr>
          <w:ilvl w:val="0"/>
          <w:numId w:val="6"/>
        </w:numPr>
        <w:spacing w:before="240"/>
        <w:jc w:val="both"/>
        <w:rPr>
          <w:rFonts w:ascii="IBM Plex Sans" w:hAnsi="IBM Plex Sans" w:cstheme="minorHAnsi"/>
          <w:sz w:val="20"/>
          <w:szCs w:val="20"/>
        </w:rPr>
      </w:pPr>
      <w:r w:rsidRPr="00101C74">
        <w:rPr>
          <w:rFonts w:ascii="IBM Plex Sans" w:hAnsi="IBM Plex Sans" w:cstheme="minorHAnsi"/>
          <w:sz w:val="20"/>
          <w:szCs w:val="20"/>
        </w:rPr>
        <w:t>pushing for accountability for systematic targeting of LGBTQI+ people through the ICC or draw lessons from human rights courts</w:t>
      </w:r>
    </w:p>
    <w:p w14:paraId="163943C0" w14:textId="77777777" w:rsidR="001678A6" w:rsidRPr="00101C74" w:rsidRDefault="001678A6" w:rsidP="00101C74">
      <w:pPr>
        <w:jc w:val="both"/>
        <w:rPr>
          <w:rFonts w:ascii="IBM Plex Sans" w:hAnsi="IBM Plex Sans" w:cstheme="minorHAnsi"/>
          <w:b/>
          <w:bCs/>
          <w:sz w:val="20"/>
          <w:szCs w:val="20"/>
        </w:rPr>
      </w:pPr>
    </w:p>
    <w:p w14:paraId="5B12082A" w14:textId="77777777" w:rsidR="001678A6" w:rsidRPr="00101C74" w:rsidRDefault="001678A6" w:rsidP="00101C74">
      <w:pPr>
        <w:jc w:val="both"/>
        <w:rPr>
          <w:rFonts w:ascii="IBM Plex Sans" w:hAnsi="IBM Plex Sans" w:cstheme="minorHAnsi"/>
          <w:sz w:val="20"/>
          <w:szCs w:val="20"/>
        </w:rPr>
      </w:pPr>
      <w:r w:rsidRPr="00101C74">
        <w:rPr>
          <w:rFonts w:ascii="IBM Plex Sans" w:hAnsi="IBM Plex Sans" w:cstheme="minorHAnsi"/>
          <w:b/>
          <w:bCs/>
          <w:sz w:val="20"/>
          <w:szCs w:val="20"/>
        </w:rPr>
        <w:t>We ask civil society organisations that work towards the prevention of mass atrocity crimes and in the wider peace and security fields to consider:</w:t>
      </w:r>
      <w:r w:rsidRPr="00101C74">
        <w:rPr>
          <w:rFonts w:ascii="IBM Plex Sans" w:hAnsi="IBM Plex Sans" w:cstheme="minorHAnsi"/>
          <w:sz w:val="20"/>
          <w:szCs w:val="20"/>
        </w:rPr>
        <w:t xml:space="preserve"> </w:t>
      </w:r>
    </w:p>
    <w:p w14:paraId="1B463FBB" w14:textId="77777777" w:rsidR="001678A6" w:rsidRPr="00101C74" w:rsidRDefault="001678A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using their platforms to publicly commit to look to their blind spots and encourage a sector-wide conversation about how we can ensure our tools and practices are fit for the purpose of contributing to the protection of LGBTQI+ people from atrocity crimes</w:t>
      </w:r>
    </w:p>
    <w:p w14:paraId="69153FD2" w14:textId="77777777" w:rsidR="001678A6" w:rsidRPr="00101C74" w:rsidRDefault="001678A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ensuring proactive and inclusive internal policies protect the rights and recognising the needs of their LGBTQI+ staff</w:t>
      </w:r>
    </w:p>
    <w:p w14:paraId="0330D62E" w14:textId="77777777" w:rsidR="001678A6" w:rsidRPr="00101C74" w:rsidRDefault="001678A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including LGBTQI+ people in early warning research, both as researchers and as communities that face additional risks</w:t>
      </w:r>
    </w:p>
    <w:p w14:paraId="5BEDA05E" w14:textId="689D4C9F" w:rsidR="00543339" w:rsidRPr="00101C74" w:rsidRDefault="001678A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 xml:space="preserve">the risks for LGBTQI+ people in specific contexts when developing analysis, in their advocacy, and in programme design </w:t>
      </w:r>
    </w:p>
    <w:p w14:paraId="5961E735" w14:textId="34843983" w:rsidR="001678A6" w:rsidRPr="00101C74" w:rsidRDefault="001678A6" w:rsidP="00101C74">
      <w:pPr>
        <w:jc w:val="both"/>
        <w:rPr>
          <w:rFonts w:ascii="IBM Plex Sans" w:hAnsi="IBM Plex Sans" w:cstheme="minorHAnsi"/>
          <w:sz w:val="20"/>
          <w:szCs w:val="20"/>
        </w:rPr>
      </w:pPr>
    </w:p>
    <w:p w14:paraId="4500B94A" w14:textId="77777777" w:rsidR="001678A6" w:rsidRPr="00101C74" w:rsidRDefault="001678A6" w:rsidP="00101C74">
      <w:pPr>
        <w:jc w:val="both"/>
        <w:rPr>
          <w:rFonts w:ascii="IBM Plex Sans" w:hAnsi="IBM Plex Sans" w:cstheme="minorHAnsi"/>
          <w:b/>
          <w:bCs/>
          <w:sz w:val="20"/>
          <w:szCs w:val="20"/>
        </w:rPr>
      </w:pPr>
      <w:r w:rsidRPr="001678A6">
        <w:rPr>
          <w:rFonts w:ascii="IBM Plex Sans" w:hAnsi="IBM Plex Sans" w:cstheme="minorHAnsi"/>
          <w:b/>
          <w:bCs/>
          <w:sz w:val="20"/>
          <w:szCs w:val="20"/>
        </w:rPr>
        <w:t xml:space="preserve">We ask </w:t>
      </w:r>
      <w:r w:rsidRPr="00101C74">
        <w:rPr>
          <w:rFonts w:ascii="IBM Plex Sans" w:hAnsi="IBM Plex Sans" w:cstheme="minorHAnsi"/>
          <w:b/>
          <w:bCs/>
          <w:sz w:val="20"/>
          <w:szCs w:val="20"/>
        </w:rPr>
        <w:t>Independent Expert on protection against violence and discrimination based on sexual orientation and gender identity to consider</w:t>
      </w:r>
      <w:r w:rsidRPr="001678A6">
        <w:rPr>
          <w:rFonts w:ascii="IBM Plex Sans" w:hAnsi="IBM Plex Sans" w:cstheme="minorHAnsi"/>
          <w:b/>
          <w:bCs/>
          <w:sz w:val="20"/>
          <w:szCs w:val="20"/>
        </w:rPr>
        <w:t>:</w:t>
      </w:r>
    </w:p>
    <w:p w14:paraId="1F2E872E" w14:textId="66104184" w:rsidR="001678A6" w:rsidRPr="00101C74" w:rsidRDefault="00EA526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to comment within his report on the explicit needs of LGBTQI+ inclusion</w:t>
      </w:r>
      <w:r w:rsidR="001678A6" w:rsidRPr="00101C74">
        <w:rPr>
          <w:rFonts w:ascii="IBM Plex Sans" w:hAnsi="IBM Plex Sans" w:cstheme="minorHAnsi"/>
          <w:sz w:val="20"/>
          <w:szCs w:val="20"/>
        </w:rPr>
        <w:t xml:space="preserve"> </w:t>
      </w:r>
      <w:r w:rsidRPr="00101C74">
        <w:rPr>
          <w:rFonts w:ascii="IBM Plex Sans" w:hAnsi="IBM Plex Sans" w:cstheme="minorHAnsi"/>
          <w:sz w:val="20"/>
          <w:szCs w:val="20"/>
        </w:rPr>
        <w:t xml:space="preserve">in atrocity prevention programming, </w:t>
      </w:r>
      <w:proofErr w:type="gramStart"/>
      <w:r w:rsidRPr="00101C74">
        <w:rPr>
          <w:rFonts w:ascii="IBM Plex Sans" w:hAnsi="IBM Plex Sans" w:cstheme="minorHAnsi"/>
          <w:sz w:val="20"/>
          <w:szCs w:val="20"/>
        </w:rPr>
        <w:t>commitments</w:t>
      </w:r>
      <w:proofErr w:type="gramEnd"/>
      <w:r w:rsidRPr="00101C74">
        <w:rPr>
          <w:rFonts w:ascii="IBM Plex Sans" w:hAnsi="IBM Plex Sans" w:cstheme="minorHAnsi"/>
          <w:sz w:val="20"/>
          <w:szCs w:val="20"/>
        </w:rPr>
        <w:t xml:space="preserve"> and strategies, as well as and alongside such inclusion on armed conflict prevention </w:t>
      </w:r>
    </w:p>
    <w:p w14:paraId="3F36F354" w14:textId="68D30367" w:rsidR="00EA5266" w:rsidRPr="00101C74" w:rsidRDefault="00EA526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to liaise with the UN Joint Office on how to collaborate on ensuring LGBTQI+ communities are explicitly included under the office’s mandate</w:t>
      </w:r>
    </w:p>
    <w:p w14:paraId="02367BC3" w14:textId="589B3932" w:rsidR="00EA5266" w:rsidRPr="00101C74" w:rsidRDefault="00EA5266" w:rsidP="00101C74">
      <w:pPr>
        <w:pStyle w:val="ListParagraph"/>
        <w:numPr>
          <w:ilvl w:val="0"/>
          <w:numId w:val="6"/>
        </w:numPr>
        <w:jc w:val="both"/>
        <w:rPr>
          <w:rFonts w:ascii="IBM Plex Sans" w:hAnsi="IBM Plex Sans" w:cstheme="minorHAnsi"/>
          <w:sz w:val="20"/>
          <w:szCs w:val="20"/>
        </w:rPr>
      </w:pPr>
      <w:r w:rsidRPr="00101C74">
        <w:rPr>
          <w:rFonts w:ascii="IBM Plex Sans" w:hAnsi="IBM Plex Sans" w:cstheme="minorHAnsi"/>
          <w:sz w:val="20"/>
          <w:szCs w:val="20"/>
        </w:rPr>
        <w:t>to continue the welcomed collaboration with civil society to enhance the inclusion of LGBTQI+ communities across prevention sectors</w:t>
      </w:r>
    </w:p>
    <w:p w14:paraId="4F9F36DF" w14:textId="77777777" w:rsidR="001678A6" w:rsidRPr="00101C74" w:rsidRDefault="001678A6" w:rsidP="00101C74">
      <w:pPr>
        <w:jc w:val="both"/>
        <w:rPr>
          <w:rFonts w:ascii="IBM Plex Sans" w:hAnsi="IBM Plex Sans" w:cstheme="minorHAnsi"/>
          <w:sz w:val="20"/>
          <w:szCs w:val="20"/>
        </w:rPr>
      </w:pPr>
    </w:p>
    <w:p w14:paraId="11247FA9" w14:textId="0CED5C05" w:rsidR="00287DED" w:rsidRPr="00101C74" w:rsidRDefault="00287DED" w:rsidP="00101C74">
      <w:pPr>
        <w:spacing w:before="240"/>
        <w:jc w:val="both"/>
        <w:rPr>
          <w:rFonts w:ascii="IBM Plex Sans" w:hAnsi="IBM Plex Sans" w:cstheme="minorHAnsi"/>
          <w:b/>
          <w:bCs/>
          <w:sz w:val="20"/>
          <w:szCs w:val="20"/>
        </w:rPr>
      </w:pPr>
      <w:r w:rsidRPr="00101C74">
        <w:rPr>
          <w:rFonts w:ascii="IBM Plex Sans" w:hAnsi="IBM Plex Sans" w:cstheme="minorHAnsi"/>
          <w:b/>
          <w:bCs/>
          <w:sz w:val="20"/>
          <w:szCs w:val="20"/>
        </w:rPr>
        <w:t>Annex A</w:t>
      </w:r>
    </w:p>
    <w:p w14:paraId="76EE3F8D" w14:textId="18CCF494" w:rsidR="00287DED" w:rsidRPr="00101C74" w:rsidRDefault="0094555A" w:rsidP="00101C74">
      <w:pPr>
        <w:spacing w:before="240"/>
        <w:jc w:val="both"/>
        <w:rPr>
          <w:rFonts w:ascii="IBM Plex Sans" w:hAnsi="IBM Plex Sans" w:cstheme="minorHAnsi"/>
          <w:sz w:val="20"/>
          <w:szCs w:val="20"/>
        </w:rPr>
      </w:pPr>
      <w:r w:rsidRPr="00101C74">
        <w:rPr>
          <w:rFonts w:ascii="IBM Plex Sans" w:hAnsi="IBM Plex Sans" w:cstheme="minorHAnsi"/>
          <w:sz w:val="20"/>
          <w:szCs w:val="20"/>
        </w:rPr>
        <w:t xml:space="preserve">Jess Gifkins, Dean Cooper-Cunningham, Kate Ferguson, Detmer Kremer, Farida Mostafa, “Queering atrocity prevention,” </w:t>
      </w:r>
      <w:r w:rsidRPr="00101C74">
        <w:rPr>
          <w:rFonts w:ascii="IBM Plex Sans" w:hAnsi="IBM Plex Sans" w:cstheme="minorHAnsi"/>
          <w:i/>
          <w:iCs/>
          <w:sz w:val="20"/>
          <w:szCs w:val="20"/>
        </w:rPr>
        <w:t>Protection Approaches</w:t>
      </w:r>
      <w:r w:rsidRPr="00101C74">
        <w:rPr>
          <w:rFonts w:ascii="IBM Plex Sans" w:hAnsi="IBM Plex Sans" w:cstheme="minorHAnsi"/>
          <w:sz w:val="20"/>
          <w:szCs w:val="20"/>
        </w:rPr>
        <w:t>, 31 March 2022</w:t>
      </w:r>
      <w:r w:rsidR="00D874DC" w:rsidRPr="00101C74">
        <w:rPr>
          <w:rFonts w:ascii="IBM Plex Sans" w:hAnsi="IBM Plex Sans" w:cstheme="minorHAnsi"/>
          <w:sz w:val="20"/>
          <w:szCs w:val="20"/>
        </w:rPr>
        <w:t xml:space="preserve"> (attached to submission email).</w:t>
      </w:r>
    </w:p>
    <w:p w14:paraId="1B1B318E" w14:textId="77777777" w:rsidR="005B6768" w:rsidRPr="00536BA2" w:rsidRDefault="005B6768" w:rsidP="005B6768"/>
    <w:sectPr w:rsidR="005B6768" w:rsidRPr="00536BA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0E30" w14:textId="77777777" w:rsidR="00FC627E" w:rsidRDefault="00FC627E" w:rsidP="00070C13">
      <w:r>
        <w:separator/>
      </w:r>
    </w:p>
  </w:endnote>
  <w:endnote w:type="continuationSeparator" w:id="0">
    <w:p w14:paraId="46A0C98B" w14:textId="77777777" w:rsidR="00FC627E" w:rsidRDefault="00FC627E" w:rsidP="0007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727118"/>
      <w:docPartObj>
        <w:docPartGallery w:val="Page Numbers (Bottom of Page)"/>
        <w:docPartUnique/>
      </w:docPartObj>
    </w:sdtPr>
    <w:sdtEndPr>
      <w:rPr>
        <w:noProof/>
      </w:rPr>
    </w:sdtEndPr>
    <w:sdtContent>
      <w:p w14:paraId="6494807D" w14:textId="43A02913" w:rsidR="003C29C3" w:rsidRDefault="003C2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61A65" w14:textId="77777777" w:rsidR="003C29C3" w:rsidRDefault="003C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D934" w14:textId="77777777" w:rsidR="00FC627E" w:rsidRDefault="00FC627E" w:rsidP="00070C13">
      <w:r>
        <w:separator/>
      </w:r>
    </w:p>
  </w:footnote>
  <w:footnote w:type="continuationSeparator" w:id="0">
    <w:p w14:paraId="3FF9A645" w14:textId="77777777" w:rsidR="00FC627E" w:rsidRDefault="00FC627E" w:rsidP="00070C13">
      <w:r>
        <w:continuationSeparator/>
      </w:r>
    </w:p>
  </w:footnote>
  <w:footnote w:id="1">
    <w:p w14:paraId="30BB2E1B" w14:textId="77777777" w:rsidR="006F261A" w:rsidRPr="000D39D3" w:rsidRDefault="006F261A" w:rsidP="006F261A">
      <w:pPr>
        <w:pStyle w:val="FootnoteText"/>
        <w:rPr>
          <w:rFonts w:cstheme="minorHAnsi"/>
          <w:color w:val="D13438"/>
          <w:sz w:val="18"/>
          <w:szCs w:val="18"/>
          <w:u w:val="single"/>
        </w:rPr>
      </w:pPr>
      <w:r w:rsidRPr="000D39D3">
        <w:rPr>
          <w:rStyle w:val="FootnoteReference"/>
          <w:rFonts w:cstheme="minorHAnsi"/>
          <w:sz w:val="18"/>
          <w:szCs w:val="18"/>
        </w:rPr>
        <w:footnoteRef/>
      </w:r>
      <w:r w:rsidRPr="000D39D3">
        <w:rPr>
          <w:rFonts w:cstheme="minorHAnsi"/>
          <w:sz w:val="18"/>
          <w:szCs w:val="18"/>
        </w:rPr>
        <w:t xml:space="preserve"> In this</w:t>
      </w:r>
      <w:r>
        <w:rPr>
          <w:rFonts w:cstheme="minorHAnsi"/>
          <w:sz w:val="18"/>
          <w:szCs w:val="18"/>
        </w:rPr>
        <w:t xml:space="preserve"> evidence submission</w:t>
      </w:r>
      <w:r w:rsidRPr="000D39D3">
        <w:rPr>
          <w:rFonts w:cstheme="minorHAnsi"/>
          <w:sz w:val="18"/>
          <w:szCs w:val="18"/>
        </w:rPr>
        <w:t>, while we acknowledge the recent turn in UN and other policymaking circles to the term SOGIE, we have opted to use the terms LGBTQI+ and queer to refer to those whose sexual orientation and/or gender identity falls outside cis-hetero</w:t>
      </w:r>
      <w:r>
        <w:rPr>
          <w:rFonts w:cstheme="minorHAnsi"/>
          <w:sz w:val="18"/>
          <w:szCs w:val="18"/>
        </w:rPr>
        <w:t xml:space="preserve"> </w:t>
      </w:r>
      <w:r w:rsidRPr="000D39D3">
        <w:rPr>
          <w:rFonts w:cstheme="minorHAnsi"/>
          <w:sz w:val="18"/>
          <w:szCs w:val="18"/>
        </w:rPr>
        <w:t xml:space="preserve">norms. We acknowledge that no acronym (e.g., LGBTQI+) can account for the diversity of sexual </w:t>
      </w:r>
      <w:r>
        <w:rPr>
          <w:rFonts w:cstheme="minorHAnsi"/>
          <w:sz w:val="18"/>
          <w:szCs w:val="18"/>
        </w:rPr>
        <w:t>orientation</w:t>
      </w:r>
      <w:r w:rsidRPr="000D39D3">
        <w:rPr>
          <w:rFonts w:cstheme="minorHAnsi"/>
          <w:sz w:val="18"/>
          <w:szCs w:val="18"/>
        </w:rPr>
        <w:t xml:space="preserve"> and gender identity/</w:t>
      </w:r>
      <w:proofErr w:type="gramStart"/>
      <w:r w:rsidRPr="000D39D3">
        <w:rPr>
          <w:rFonts w:cstheme="minorHAnsi"/>
          <w:sz w:val="18"/>
          <w:szCs w:val="18"/>
        </w:rPr>
        <w:t>expression, but</w:t>
      </w:r>
      <w:proofErr w:type="gramEnd"/>
      <w:r w:rsidRPr="000D39D3">
        <w:rPr>
          <w:rFonts w:cstheme="minorHAnsi"/>
          <w:sz w:val="18"/>
          <w:szCs w:val="18"/>
        </w:rPr>
        <w:t xml:space="preserve"> use the identity-based LGBTQI+ acronym because it is often, on account of being (read as) L/G/B/T/Q/I/+, that individuals are subject to violence and atrocity crimes. </w:t>
      </w:r>
      <w:r>
        <w:rPr>
          <w:rFonts w:cstheme="minorHAnsi"/>
          <w:sz w:val="18"/>
          <w:szCs w:val="18"/>
        </w:rPr>
        <w:t xml:space="preserve">Our submission and the accompanying report are </w:t>
      </w:r>
      <w:r w:rsidRPr="000D39D3">
        <w:rPr>
          <w:rFonts w:cstheme="minorHAnsi"/>
          <w:sz w:val="18"/>
          <w:szCs w:val="18"/>
        </w:rPr>
        <w:t xml:space="preserve">about violence and atrocity crimes motivated by (presumed) identity, and while we acknowledge that sexual desire ought not to be elevated to an </w:t>
      </w:r>
      <w:proofErr w:type="gramStart"/>
      <w:r w:rsidRPr="000D39D3">
        <w:rPr>
          <w:rFonts w:cstheme="minorHAnsi"/>
          <w:sz w:val="18"/>
          <w:szCs w:val="18"/>
        </w:rPr>
        <w:t>identity in its own right</w:t>
      </w:r>
      <w:r w:rsidRPr="000D39D3">
        <w:rPr>
          <w:rFonts w:cstheme="minorHAnsi"/>
          <w:i/>
          <w:iCs/>
          <w:sz w:val="18"/>
          <w:szCs w:val="18"/>
        </w:rPr>
        <w:t xml:space="preserve">, </w:t>
      </w:r>
      <w:r w:rsidRPr="000D39D3">
        <w:rPr>
          <w:rFonts w:cstheme="minorHAnsi"/>
          <w:sz w:val="18"/>
          <w:szCs w:val="18"/>
        </w:rPr>
        <w:t>all</w:t>
      </w:r>
      <w:proofErr w:type="gramEnd"/>
      <w:r w:rsidRPr="000D39D3">
        <w:rPr>
          <w:rFonts w:cstheme="minorHAnsi"/>
          <w:sz w:val="18"/>
          <w:szCs w:val="18"/>
        </w:rPr>
        <w:t xml:space="preserve"> kinds of so-called ‘deviant’ sexualities</w:t>
      </w:r>
      <w:r w:rsidRPr="000D39D3">
        <w:rPr>
          <w:rFonts w:cstheme="minorHAnsi"/>
          <w:i/>
          <w:iCs/>
          <w:sz w:val="18"/>
          <w:szCs w:val="18"/>
        </w:rPr>
        <w:t xml:space="preserve"> </w:t>
      </w:r>
      <w:r w:rsidRPr="000D39D3">
        <w:rPr>
          <w:rFonts w:cstheme="minorHAnsi"/>
          <w:sz w:val="18"/>
          <w:szCs w:val="18"/>
        </w:rPr>
        <w:t xml:space="preserve">often function as an identity category that </w:t>
      </w:r>
      <w:r w:rsidRPr="006F261A">
        <w:rPr>
          <w:rFonts w:cstheme="minorHAnsi"/>
          <w:sz w:val="18"/>
          <w:szCs w:val="18"/>
        </w:rPr>
        <w:t>perpetrators assign to those targeted. Hence, we have chosen LGBTQI+ in our analysis.</w:t>
      </w:r>
      <w:r w:rsidRPr="006F261A">
        <w:rPr>
          <w:rFonts w:cstheme="minorHAnsi"/>
          <w:sz w:val="18"/>
          <w:szCs w:val="18"/>
          <w:u w:val="single"/>
        </w:rPr>
        <w:t xml:space="preserve"> </w:t>
      </w:r>
    </w:p>
  </w:footnote>
  <w:footnote w:id="2">
    <w:p w14:paraId="6ADD2715" w14:textId="6730AC05" w:rsidR="003A7294" w:rsidRPr="00C77F63" w:rsidRDefault="003A7294">
      <w:pPr>
        <w:pStyle w:val="FootnoteText"/>
        <w:rPr>
          <w:sz w:val="18"/>
          <w:szCs w:val="18"/>
        </w:rPr>
      </w:pPr>
      <w:r w:rsidRPr="00C77F63">
        <w:rPr>
          <w:rStyle w:val="FootnoteReference"/>
          <w:sz w:val="18"/>
          <w:szCs w:val="18"/>
        </w:rPr>
        <w:footnoteRef/>
      </w:r>
      <w:r w:rsidRPr="00C77F63">
        <w:rPr>
          <w:sz w:val="18"/>
          <w:szCs w:val="18"/>
        </w:rPr>
        <w:t xml:space="preserve"> </w:t>
      </w:r>
      <w:r w:rsidR="00024029" w:rsidRPr="00C77F63">
        <w:rPr>
          <w:sz w:val="18"/>
          <w:szCs w:val="18"/>
        </w:rPr>
        <w:t xml:space="preserve">Jess Gifkins, Dean Cooper-Cunningham, Kate Ferguson, Detmer Kremer, Farida Mostafa, “Queering atrocity prevention,” </w:t>
      </w:r>
      <w:r w:rsidR="00024029" w:rsidRPr="00C77F63">
        <w:rPr>
          <w:i/>
          <w:iCs/>
          <w:sz w:val="18"/>
          <w:szCs w:val="18"/>
        </w:rPr>
        <w:t xml:space="preserve">Protection </w:t>
      </w:r>
      <w:proofErr w:type="gramStart"/>
      <w:r w:rsidR="00024029" w:rsidRPr="00C77F63">
        <w:rPr>
          <w:i/>
          <w:iCs/>
          <w:sz w:val="18"/>
          <w:szCs w:val="18"/>
        </w:rPr>
        <w:t>Approaches</w:t>
      </w:r>
      <w:r w:rsidR="00024029" w:rsidRPr="00C77F63">
        <w:rPr>
          <w:sz w:val="18"/>
          <w:szCs w:val="18"/>
        </w:rPr>
        <w:t xml:space="preserve">, </w:t>
      </w:r>
      <w:r w:rsidR="00FF0237" w:rsidRPr="00C77F63">
        <w:rPr>
          <w:sz w:val="18"/>
          <w:szCs w:val="18"/>
        </w:rPr>
        <w:t xml:space="preserve"> 31</w:t>
      </w:r>
      <w:proofErr w:type="gramEnd"/>
      <w:r w:rsidR="00FF0237" w:rsidRPr="00C77F63">
        <w:rPr>
          <w:sz w:val="18"/>
          <w:szCs w:val="18"/>
        </w:rPr>
        <w:t xml:space="preserve"> March 2022. Full paper in Annex A.</w:t>
      </w:r>
    </w:p>
  </w:footnote>
  <w:footnote w:id="3">
    <w:p w14:paraId="5DEF8BB2" w14:textId="2C6C5229" w:rsidR="00070C13" w:rsidRPr="00C77F63" w:rsidRDefault="00070C13">
      <w:pPr>
        <w:pStyle w:val="FootnoteText"/>
        <w:rPr>
          <w:sz w:val="18"/>
          <w:szCs w:val="18"/>
        </w:rPr>
      </w:pPr>
      <w:r w:rsidRPr="00C77F63">
        <w:rPr>
          <w:rStyle w:val="FootnoteReference"/>
          <w:sz w:val="18"/>
          <w:szCs w:val="18"/>
        </w:rPr>
        <w:footnoteRef/>
      </w:r>
      <w:r w:rsidRPr="00C77F63">
        <w:rPr>
          <w:sz w:val="18"/>
          <w:szCs w:val="18"/>
        </w:rPr>
        <w:t xml:space="preserve"> Kate Ferguson, Michael Jones, </w:t>
      </w:r>
      <w:hyperlink r:id="rId1" w:history="1">
        <w:r w:rsidRPr="00C77F63">
          <w:rPr>
            <w:rStyle w:val="Hyperlink"/>
            <w:sz w:val="18"/>
            <w:szCs w:val="18"/>
          </w:rPr>
          <w:t>“</w:t>
        </w:r>
        <w:r w:rsidR="00D31A8B" w:rsidRPr="00C77F63">
          <w:rPr>
            <w:rStyle w:val="Hyperlink"/>
            <w:sz w:val="18"/>
            <w:szCs w:val="18"/>
          </w:rPr>
          <w:t>Between War and Peace: Preventing Mass Atrocities Outside Armed Conflict,”</w:t>
        </w:r>
      </w:hyperlink>
      <w:r w:rsidR="007F14D6" w:rsidRPr="00C77F63">
        <w:rPr>
          <w:sz w:val="18"/>
          <w:szCs w:val="18"/>
        </w:rPr>
        <w:t xml:space="preserve"> </w:t>
      </w:r>
      <w:r w:rsidR="007F14D6" w:rsidRPr="00C77F63">
        <w:rPr>
          <w:i/>
          <w:iCs/>
          <w:sz w:val="18"/>
          <w:szCs w:val="18"/>
        </w:rPr>
        <w:t>RUSI</w:t>
      </w:r>
      <w:r w:rsidR="007F14D6" w:rsidRPr="00C77F63">
        <w:rPr>
          <w:sz w:val="18"/>
          <w:szCs w:val="18"/>
        </w:rPr>
        <w:t>, 21 May 2021</w:t>
      </w:r>
      <w:r w:rsidR="00D31A8B" w:rsidRPr="00C77F63">
        <w:rPr>
          <w:sz w:val="18"/>
          <w:szCs w:val="18"/>
        </w:rPr>
        <w:t xml:space="preserve"> </w:t>
      </w:r>
    </w:p>
  </w:footnote>
  <w:footnote w:id="4">
    <w:p w14:paraId="42BF31AA" w14:textId="0BDAC7A7" w:rsidR="00190DAB" w:rsidRPr="00190DAB" w:rsidRDefault="00190DAB">
      <w:pPr>
        <w:pStyle w:val="FootnoteText"/>
      </w:pPr>
      <w:r w:rsidRPr="00C77F63">
        <w:rPr>
          <w:rStyle w:val="FootnoteReference"/>
          <w:sz w:val="18"/>
          <w:szCs w:val="18"/>
        </w:rPr>
        <w:footnoteRef/>
      </w:r>
      <w:r w:rsidRPr="00C77F63">
        <w:rPr>
          <w:sz w:val="18"/>
          <w:szCs w:val="18"/>
        </w:rPr>
        <w:t xml:space="preserve"> Kate Ferguson, Fred Carver, </w:t>
      </w:r>
      <w:hyperlink r:id="rId2" w:history="1">
        <w:r w:rsidRPr="00C77F63">
          <w:rPr>
            <w:rStyle w:val="Hyperlink"/>
            <w:sz w:val="18"/>
            <w:szCs w:val="18"/>
          </w:rPr>
          <w:t>“Being the difference: A primer for states wishing to prevent atrocity crimes in the mid-twenty-first century,”</w:t>
        </w:r>
      </w:hyperlink>
      <w:r w:rsidRPr="00C77F63">
        <w:rPr>
          <w:sz w:val="18"/>
          <w:szCs w:val="18"/>
        </w:rPr>
        <w:t xml:space="preserve"> </w:t>
      </w:r>
      <w:r w:rsidRPr="00C77F63">
        <w:rPr>
          <w:i/>
          <w:iCs/>
          <w:sz w:val="18"/>
          <w:szCs w:val="18"/>
        </w:rPr>
        <w:t>Protection Approaches</w:t>
      </w:r>
      <w:r w:rsidRPr="00C77F63">
        <w:rPr>
          <w:sz w:val="18"/>
          <w:szCs w:val="18"/>
        </w:rPr>
        <w:t>, 24 November 2021</w:t>
      </w:r>
    </w:p>
  </w:footnote>
  <w:footnote w:id="5">
    <w:p w14:paraId="13859C63" w14:textId="77777777" w:rsidR="00426794" w:rsidRPr="000D39D3" w:rsidRDefault="00426794" w:rsidP="00426794">
      <w:pPr>
        <w:pStyle w:val="FootnoteText"/>
        <w:rPr>
          <w:rFonts w:cstheme="minorHAnsi"/>
          <w:sz w:val="18"/>
          <w:szCs w:val="18"/>
        </w:rPr>
      </w:pPr>
      <w:r w:rsidRPr="000D39D3">
        <w:rPr>
          <w:rStyle w:val="FootnoteReference"/>
          <w:rFonts w:cstheme="minorHAnsi"/>
          <w:sz w:val="18"/>
          <w:szCs w:val="18"/>
        </w:rPr>
        <w:footnoteRef/>
      </w:r>
      <w:r w:rsidRPr="000D39D3">
        <w:rPr>
          <w:rFonts w:cstheme="minorHAnsi"/>
          <w:sz w:val="18"/>
          <w:szCs w:val="18"/>
        </w:rPr>
        <w:t xml:space="preserve">  “Gay People,” Holocaust Memorial Trust, (Last Accessed 26 March 2022). </w:t>
      </w:r>
      <w:hyperlink r:id="rId3" w:history="1">
        <w:r w:rsidRPr="00081CDE">
          <w:rPr>
            <w:rStyle w:val="Hyperlink"/>
            <w:rFonts w:cstheme="minorHAnsi"/>
            <w:sz w:val="18"/>
            <w:szCs w:val="18"/>
          </w:rPr>
          <w:t>https://www.hmd.org.uk/learn-about-the-holocaust-and-genocides/nazi-persecution/gay-people/</w:t>
        </w:r>
      </w:hyperlink>
      <w:r w:rsidRPr="000D39D3">
        <w:rPr>
          <w:rFonts w:cstheme="minorHAnsi"/>
          <w:sz w:val="18"/>
          <w:szCs w:val="18"/>
        </w:rPr>
        <w:t>.</w:t>
      </w:r>
    </w:p>
  </w:footnote>
  <w:footnote w:id="6">
    <w:p w14:paraId="07CD3B24" w14:textId="77777777" w:rsidR="00426794" w:rsidRPr="000D39D3" w:rsidRDefault="00426794" w:rsidP="00426794">
      <w:pPr>
        <w:pStyle w:val="FootnoteText"/>
        <w:rPr>
          <w:rFonts w:cstheme="minorHAnsi"/>
          <w:sz w:val="18"/>
          <w:szCs w:val="18"/>
        </w:rPr>
      </w:pPr>
      <w:r w:rsidRPr="000D39D3">
        <w:rPr>
          <w:rStyle w:val="FootnoteReference"/>
          <w:rFonts w:cstheme="minorHAnsi"/>
          <w:sz w:val="18"/>
          <w:szCs w:val="18"/>
        </w:rPr>
        <w:footnoteRef/>
      </w:r>
      <w:r w:rsidRPr="000D39D3">
        <w:rPr>
          <w:rFonts w:cstheme="minorHAnsi"/>
          <w:sz w:val="18"/>
          <w:szCs w:val="18"/>
        </w:rPr>
        <w:t xml:space="preserve"> Roudabeh Kishi, “The Future of Violence Monitoring: Improving Data-Driven Early Warning and Atrocity Prevention Efforts,” </w:t>
      </w:r>
      <w:r w:rsidRPr="00BC147C">
        <w:rPr>
          <w:rFonts w:cstheme="minorHAnsi"/>
          <w:i/>
          <w:sz w:val="18"/>
          <w:szCs w:val="18"/>
        </w:rPr>
        <w:t>United States Holocaust Memorial Museum</w:t>
      </w:r>
      <w:r w:rsidRPr="000D39D3">
        <w:rPr>
          <w:rFonts w:cstheme="minorHAnsi"/>
          <w:sz w:val="18"/>
          <w:szCs w:val="18"/>
        </w:rPr>
        <w:t xml:space="preserve"> (February 2021)</w:t>
      </w:r>
      <w:r>
        <w:rPr>
          <w:rFonts w:cstheme="minorHAnsi"/>
          <w:sz w:val="18"/>
          <w:szCs w:val="18"/>
        </w:rPr>
        <w:t>,</w:t>
      </w:r>
      <w:r w:rsidRPr="000D39D3">
        <w:rPr>
          <w:rFonts w:cstheme="minorHAnsi"/>
          <w:sz w:val="18"/>
          <w:szCs w:val="18"/>
        </w:rPr>
        <w:t xml:space="preserve"> </w:t>
      </w:r>
      <w:hyperlink r:id="rId4" w:history="1">
        <w:r w:rsidRPr="000D39D3">
          <w:rPr>
            <w:rStyle w:val="Hyperlink"/>
            <w:rFonts w:cstheme="minorHAnsi"/>
            <w:sz w:val="18"/>
            <w:szCs w:val="18"/>
          </w:rPr>
          <w:t>https://www.ushmm.org/m/pdfs/The_Future_of_Mass_Atrocities_and_Atrocity_Prevention.docx.pdf</w:t>
        </w:r>
      </w:hyperlink>
      <w:r>
        <w:rPr>
          <w:rFonts w:cstheme="minorHAnsi"/>
          <w:sz w:val="18"/>
          <w:szCs w:val="18"/>
        </w:rPr>
        <w:t>.</w:t>
      </w:r>
      <w:r w:rsidRPr="000D39D3">
        <w:rPr>
          <w:rStyle w:val="Hyperlink"/>
          <w:rFonts w:cstheme="minorHAnsi"/>
          <w:sz w:val="18"/>
          <w:szCs w:val="18"/>
        </w:rPr>
        <w:t xml:space="preserve"> </w:t>
      </w:r>
    </w:p>
  </w:footnote>
  <w:footnote w:id="7">
    <w:p w14:paraId="67628EE5" w14:textId="77777777" w:rsidR="00426794" w:rsidRPr="000D39D3" w:rsidRDefault="00426794" w:rsidP="00426794">
      <w:pPr>
        <w:pStyle w:val="FootnoteText"/>
        <w:rPr>
          <w:rFonts w:cstheme="minorHAnsi"/>
          <w:sz w:val="18"/>
          <w:szCs w:val="18"/>
        </w:rPr>
      </w:pPr>
      <w:r w:rsidRPr="000D39D3">
        <w:rPr>
          <w:rStyle w:val="FootnoteReference"/>
          <w:rFonts w:cstheme="minorHAnsi"/>
          <w:sz w:val="18"/>
          <w:szCs w:val="18"/>
        </w:rPr>
        <w:footnoteRef/>
      </w:r>
      <w:r w:rsidRPr="000D39D3">
        <w:rPr>
          <w:rFonts w:cstheme="minorHAnsi"/>
          <w:sz w:val="18"/>
          <w:szCs w:val="18"/>
        </w:rPr>
        <w:t xml:space="preserve"> </w:t>
      </w:r>
      <w:proofErr w:type="spellStart"/>
      <w:r>
        <w:rPr>
          <w:rFonts w:cstheme="minorHAnsi"/>
          <w:sz w:val="18"/>
          <w:szCs w:val="18"/>
        </w:rPr>
        <w:t>Jannis</w:t>
      </w:r>
      <w:proofErr w:type="spellEnd"/>
      <w:r>
        <w:rPr>
          <w:rFonts w:cstheme="minorHAnsi"/>
          <w:sz w:val="18"/>
          <w:szCs w:val="18"/>
        </w:rPr>
        <w:t xml:space="preserve"> Grim, “Sisi’s Moralism,” </w:t>
      </w:r>
      <w:r w:rsidRPr="00BC147C">
        <w:rPr>
          <w:rFonts w:cstheme="minorHAnsi"/>
          <w:i/>
          <w:sz w:val="18"/>
          <w:szCs w:val="18"/>
        </w:rPr>
        <w:t>Carnegie Endowment for International Peace</w:t>
      </w:r>
      <w:r>
        <w:rPr>
          <w:rFonts w:cstheme="minorHAnsi"/>
          <w:sz w:val="18"/>
          <w:szCs w:val="18"/>
        </w:rPr>
        <w:t xml:space="preserve">, 19 December 2014. </w:t>
      </w:r>
      <w:hyperlink r:id="rId5" w:history="1">
        <w:r w:rsidRPr="00413AC1">
          <w:rPr>
            <w:rStyle w:val="Hyperlink"/>
            <w:rFonts w:cstheme="minorHAnsi"/>
            <w:sz w:val="18"/>
            <w:szCs w:val="18"/>
          </w:rPr>
          <w:t>https://carnegieendowment.org/sada/57574</w:t>
        </w:r>
      </w:hyperlink>
      <w:r>
        <w:rPr>
          <w:rFonts w:cstheme="minorHAnsi"/>
          <w:sz w:val="18"/>
          <w:szCs w:val="18"/>
        </w:rPr>
        <w:t xml:space="preserve">; Bel </w:t>
      </w:r>
      <w:proofErr w:type="spellStart"/>
      <w:r>
        <w:rPr>
          <w:rFonts w:cstheme="minorHAnsi"/>
          <w:sz w:val="18"/>
          <w:szCs w:val="18"/>
        </w:rPr>
        <w:t>Trew</w:t>
      </w:r>
      <w:proofErr w:type="spellEnd"/>
      <w:r>
        <w:rPr>
          <w:rFonts w:cstheme="minorHAnsi"/>
          <w:sz w:val="18"/>
          <w:szCs w:val="18"/>
        </w:rPr>
        <w:t xml:space="preserve">, “They’re Here, They’re Queer, They’re Arrested,” </w:t>
      </w:r>
      <w:r w:rsidRPr="00BC147C">
        <w:rPr>
          <w:rFonts w:cstheme="minorHAnsi"/>
          <w:i/>
          <w:sz w:val="18"/>
          <w:szCs w:val="18"/>
        </w:rPr>
        <w:t>Foreign Policy</w:t>
      </w:r>
      <w:r>
        <w:rPr>
          <w:rFonts w:cstheme="minorHAnsi"/>
          <w:sz w:val="18"/>
          <w:szCs w:val="18"/>
        </w:rPr>
        <w:t xml:space="preserve">, 12 December 2014, </w:t>
      </w:r>
      <w:r w:rsidRPr="000D39D3">
        <w:rPr>
          <w:rFonts w:cstheme="minorHAnsi"/>
          <w:sz w:val="18"/>
          <w:szCs w:val="18"/>
        </w:rPr>
        <w:t xml:space="preserve"> </w:t>
      </w:r>
    </w:p>
    <w:p w14:paraId="4B10D795" w14:textId="77777777" w:rsidR="00426794" w:rsidRPr="00C77F63" w:rsidRDefault="00FC627E" w:rsidP="00426794">
      <w:pPr>
        <w:pStyle w:val="FootnoteText"/>
        <w:rPr>
          <w:rFonts w:cstheme="minorHAnsi"/>
          <w:sz w:val="18"/>
          <w:szCs w:val="18"/>
        </w:rPr>
      </w:pPr>
      <w:hyperlink r:id="rId6" w:history="1">
        <w:r w:rsidR="00426794" w:rsidRPr="000D39D3">
          <w:rPr>
            <w:rStyle w:val="Hyperlink"/>
            <w:rFonts w:cstheme="minorHAnsi"/>
            <w:sz w:val="18"/>
            <w:szCs w:val="18"/>
          </w:rPr>
          <w:t>https://foreignpolicy.com/2014/12/12/egypt-gay-bath-house-cairo-lgbt/</w:t>
        </w:r>
      </w:hyperlink>
      <w:r w:rsidR="00426794">
        <w:rPr>
          <w:rStyle w:val="Hyperlink"/>
          <w:rFonts w:cstheme="minorHAnsi"/>
          <w:sz w:val="18"/>
          <w:szCs w:val="18"/>
        </w:rPr>
        <w:t xml:space="preserve">; </w:t>
      </w:r>
      <w:r w:rsidR="00426794" w:rsidRPr="000D39D3">
        <w:rPr>
          <w:rFonts w:cstheme="minorHAnsi"/>
          <w:sz w:val="18"/>
          <w:szCs w:val="18"/>
        </w:rPr>
        <w:t xml:space="preserve">Sandesh Sivakumaran, “Sexual Violence against </w:t>
      </w:r>
      <w:r w:rsidR="00426794" w:rsidRPr="00C77F63">
        <w:rPr>
          <w:rFonts w:cstheme="minorHAnsi"/>
          <w:sz w:val="18"/>
          <w:szCs w:val="18"/>
        </w:rPr>
        <w:t xml:space="preserve">Men in Armed Conflict,” </w:t>
      </w:r>
      <w:r w:rsidR="00426794" w:rsidRPr="00C77F63">
        <w:rPr>
          <w:rFonts w:cstheme="minorHAnsi"/>
          <w:i/>
          <w:sz w:val="18"/>
          <w:szCs w:val="18"/>
        </w:rPr>
        <w:t>European Journal of International Law</w:t>
      </w:r>
      <w:r w:rsidR="00426794" w:rsidRPr="00C77F63">
        <w:rPr>
          <w:rFonts w:cstheme="minorHAnsi"/>
          <w:sz w:val="18"/>
          <w:szCs w:val="18"/>
        </w:rPr>
        <w:t xml:space="preserve">, 18, no. 2 (2007). </w:t>
      </w:r>
    </w:p>
  </w:footnote>
  <w:footnote w:id="8">
    <w:p w14:paraId="6C64D4AE" w14:textId="77777777" w:rsidR="00B41A69" w:rsidRPr="00201974" w:rsidRDefault="00B41A69" w:rsidP="00B41A69">
      <w:pPr>
        <w:pStyle w:val="FootnoteText"/>
        <w:rPr>
          <w:rFonts w:asciiTheme="majorHAnsi" w:hAnsiTheme="majorHAnsi" w:cstheme="majorHAnsi"/>
          <w:sz w:val="18"/>
          <w:szCs w:val="18"/>
        </w:rPr>
      </w:pPr>
      <w:r w:rsidRPr="00C77F63">
        <w:rPr>
          <w:rStyle w:val="FootnoteReference"/>
          <w:rFonts w:cstheme="minorHAnsi"/>
          <w:sz w:val="18"/>
          <w:szCs w:val="18"/>
        </w:rPr>
        <w:footnoteRef/>
      </w:r>
      <w:r w:rsidRPr="00C77F63">
        <w:rPr>
          <w:rFonts w:cstheme="minorHAnsi"/>
          <w:sz w:val="18"/>
          <w:szCs w:val="18"/>
        </w:rPr>
        <w:t xml:space="preserve"> Jack </w:t>
      </w:r>
      <w:proofErr w:type="spellStart"/>
      <w:r w:rsidRPr="00C77F63">
        <w:rPr>
          <w:rFonts w:cstheme="minorHAnsi"/>
          <w:sz w:val="18"/>
          <w:szCs w:val="18"/>
        </w:rPr>
        <w:t>Detsch</w:t>
      </w:r>
      <w:proofErr w:type="spellEnd"/>
      <w:r w:rsidRPr="00C77F63">
        <w:rPr>
          <w:rFonts w:cstheme="minorHAnsi"/>
          <w:sz w:val="18"/>
          <w:szCs w:val="18"/>
        </w:rPr>
        <w:t xml:space="preserve">, Robbie </w:t>
      </w:r>
      <w:proofErr w:type="spellStart"/>
      <w:r w:rsidRPr="00C77F63">
        <w:rPr>
          <w:rFonts w:cstheme="minorHAnsi"/>
          <w:sz w:val="18"/>
          <w:szCs w:val="18"/>
        </w:rPr>
        <w:t>Gramer</w:t>
      </w:r>
      <w:proofErr w:type="spellEnd"/>
      <w:r w:rsidRPr="00C77F63">
        <w:rPr>
          <w:rFonts w:cstheme="minorHAnsi"/>
          <w:sz w:val="18"/>
          <w:szCs w:val="18"/>
        </w:rPr>
        <w:t xml:space="preserve">, Amy Mackinnon, “Russia Planning Post-Invasion Arrest and Assassination Campaign in Ukraine, US Officials Say,” </w:t>
      </w:r>
      <w:r w:rsidRPr="00C77F63">
        <w:rPr>
          <w:rFonts w:cstheme="minorHAnsi"/>
          <w:i/>
          <w:sz w:val="18"/>
          <w:szCs w:val="18"/>
        </w:rPr>
        <w:t>Foreign Policy</w:t>
      </w:r>
      <w:r w:rsidRPr="00C77F63">
        <w:rPr>
          <w:rFonts w:cstheme="minorHAnsi"/>
          <w:sz w:val="18"/>
          <w:szCs w:val="18"/>
        </w:rPr>
        <w:t>, 18 February 2022, https://foreignpolicy.com/2022/02/18/russia-ukraine-arrest-assassination-invasion/.</w:t>
      </w:r>
    </w:p>
  </w:footnote>
  <w:footnote w:id="9">
    <w:p w14:paraId="175FF827" w14:textId="77777777" w:rsidR="00341E50" w:rsidRPr="00C77F63" w:rsidRDefault="00341E50" w:rsidP="00341E50">
      <w:pPr>
        <w:pStyle w:val="FootnoteText"/>
        <w:rPr>
          <w:rFonts w:cstheme="minorHAnsi"/>
          <w:color w:val="000000" w:themeColor="text1"/>
          <w:sz w:val="18"/>
          <w:szCs w:val="18"/>
        </w:rPr>
      </w:pPr>
      <w:r w:rsidRPr="00C77F63">
        <w:rPr>
          <w:rStyle w:val="FootnoteReference"/>
          <w:rFonts w:cstheme="minorHAnsi"/>
          <w:sz w:val="18"/>
          <w:szCs w:val="18"/>
        </w:rPr>
        <w:footnoteRef/>
      </w:r>
      <w:r w:rsidRPr="00C77F63">
        <w:rPr>
          <w:rFonts w:cstheme="minorHAnsi"/>
          <w:sz w:val="18"/>
          <w:szCs w:val="18"/>
        </w:rPr>
        <w:t xml:space="preserve">Human Rights Watch, “No Support: Russia’s ‘Gay Propaganda’ Law Imperils LGBT Youth, 11 December 2018, </w:t>
      </w:r>
      <w:hyperlink r:id="rId7" w:history="1">
        <w:r w:rsidRPr="00C77F63">
          <w:rPr>
            <w:rStyle w:val="Hyperlink"/>
            <w:rFonts w:cstheme="minorHAnsi"/>
            <w:sz w:val="18"/>
            <w:szCs w:val="18"/>
          </w:rPr>
          <w:t>https://www.hrw.org/report/2018/12/11/no-support/russias-gay-propaganda-law-imperils-lgbt-youth</w:t>
        </w:r>
      </w:hyperlink>
      <w:r w:rsidRPr="00C77F63">
        <w:rPr>
          <w:rFonts w:cstheme="minorHAnsi"/>
          <w:color w:val="000000" w:themeColor="text1"/>
          <w:sz w:val="18"/>
          <w:szCs w:val="18"/>
        </w:rPr>
        <w:t xml:space="preserve">; Alexander </w:t>
      </w:r>
      <w:proofErr w:type="spellStart"/>
      <w:r w:rsidRPr="00C77F63">
        <w:rPr>
          <w:rFonts w:cstheme="minorHAnsi"/>
          <w:color w:val="000000" w:themeColor="text1"/>
          <w:sz w:val="18"/>
          <w:szCs w:val="18"/>
        </w:rPr>
        <w:t>Kondakov</w:t>
      </w:r>
      <w:proofErr w:type="spellEnd"/>
      <w:r w:rsidRPr="00C77F63">
        <w:rPr>
          <w:rFonts w:cstheme="minorHAnsi"/>
          <w:color w:val="000000" w:themeColor="text1"/>
          <w:sz w:val="18"/>
          <w:szCs w:val="18"/>
        </w:rPr>
        <w:t xml:space="preserve">, "The Influence of the ‘Gay Propaganda’ Law on Violence Against LGBTQI People in Russia : Evidence From Criminal Court Rulings," </w:t>
      </w:r>
      <w:r w:rsidRPr="00C77F63">
        <w:rPr>
          <w:rFonts w:cstheme="minorHAnsi"/>
          <w:i/>
          <w:color w:val="000000" w:themeColor="text1"/>
          <w:sz w:val="18"/>
          <w:szCs w:val="18"/>
        </w:rPr>
        <w:t>European Journal of Criminology</w:t>
      </w:r>
      <w:r w:rsidRPr="00C77F63">
        <w:rPr>
          <w:rFonts w:cstheme="minorHAnsi"/>
          <w:color w:val="000000" w:themeColor="text1"/>
          <w:sz w:val="18"/>
          <w:szCs w:val="18"/>
        </w:rPr>
        <w:t xml:space="preserve">, 18, no. 6, (2021), </w:t>
      </w:r>
      <w:hyperlink r:id="rId8" w:history="1">
        <w:r w:rsidRPr="00C77F63">
          <w:rPr>
            <w:rStyle w:val="Hyperlink"/>
            <w:rFonts w:cstheme="minorHAnsi"/>
            <w:sz w:val="18"/>
            <w:szCs w:val="18"/>
          </w:rPr>
          <w:t>https://journals.sagepub.com/doi/10.1177/1477370819887511</w:t>
        </w:r>
      </w:hyperlink>
      <w:r w:rsidRPr="00C77F63">
        <w:rPr>
          <w:rFonts w:cstheme="minorHAnsi"/>
          <w:color w:val="000000" w:themeColor="text1"/>
          <w:sz w:val="18"/>
          <w:szCs w:val="18"/>
        </w:rPr>
        <w:t xml:space="preserve">; "Russia Gay Propaganda Law Fuels homophobic Attacks," </w:t>
      </w:r>
      <w:r w:rsidRPr="00C77F63">
        <w:rPr>
          <w:rFonts w:cstheme="minorHAnsi"/>
          <w:i/>
          <w:color w:val="000000" w:themeColor="text1"/>
          <w:sz w:val="18"/>
          <w:szCs w:val="18"/>
        </w:rPr>
        <w:t>Financial Times</w:t>
      </w:r>
      <w:r w:rsidRPr="00C77F63">
        <w:rPr>
          <w:rFonts w:cstheme="minorHAnsi"/>
          <w:color w:val="000000" w:themeColor="text1"/>
          <w:sz w:val="18"/>
          <w:szCs w:val="18"/>
        </w:rPr>
        <w:t xml:space="preserve">, 16 August 2013, </w:t>
      </w:r>
      <w:hyperlink r:id="rId9" w:history="1">
        <w:r w:rsidRPr="00C77F63">
          <w:rPr>
            <w:rStyle w:val="Hyperlink"/>
            <w:rFonts w:cstheme="minorHAnsi"/>
            <w:sz w:val="18"/>
            <w:szCs w:val="18"/>
          </w:rPr>
          <w:t>https://www.ft.com/content/71eaa49e-0580-11e3-8ed5-00144feab7de</w:t>
        </w:r>
      </w:hyperlink>
      <w:r w:rsidRPr="00C77F63">
        <w:rPr>
          <w:rFonts w:cstheme="minorHAnsi"/>
          <w:sz w:val="18"/>
          <w:szCs w:val="18"/>
        </w:rPr>
        <w:t>.</w:t>
      </w:r>
      <w:r w:rsidRPr="00C77F63">
        <w:rPr>
          <w:rFonts w:cstheme="minorHAnsi"/>
          <w:color w:val="000000" w:themeColor="text1"/>
          <w:sz w:val="18"/>
          <w:szCs w:val="18"/>
        </w:rPr>
        <w:t xml:space="preserve">   </w:t>
      </w:r>
    </w:p>
  </w:footnote>
  <w:footnote w:id="10">
    <w:p w14:paraId="4DC19D87" w14:textId="77777777" w:rsidR="002E7637" w:rsidRPr="00C77F63" w:rsidRDefault="002E7637" w:rsidP="002E7637">
      <w:pPr>
        <w:pStyle w:val="FootnoteText"/>
        <w:rPr>
          <w:rFonts w:cstheme="minorHAnsi"/>
          <w:sz w:val="18"/>
          <w:szCs w:val="18"/>
        </w:rPr>
      </w:pPr>
      <w:r w:rsidRPr="00C77F63">
        <w:rPr>
          <w:rStyle w:val="FootnoteReference"/>
          <w:rFonts w:cstheme="minorHAnsi"/>
          <w:sz w:val="18"/>
          <w:szCs w:val="18"/>
        </w:rPr>
        <w:footnoteRef/>
      </w:r>
      <w:r w:rsidRPr="00C77F63">
        <w:rPr>
          <w:rFonts w:cstheme="minorHAnsi"/>
          <w:sz w:val="18"/>
          <w:szCs w:val="18"/>
        </w:rPr>
        <w:t xml:space="preserve"> UK Government, “LGBT+ inclusive approaches to conflict and the Women, Peace and Security agenda: call for bids” </w:t>
      </w:r>
      <w:hyperlink r:id="rId10" w:history="1">
        <w:r w:rsidRPr="00C77F63">
          <w:rPr>
            <w:rStyle w:val="Hyperlink"/>
            <w:rFonts w:cstheme="minorHAnsi"/>
            <w:sz w:val="18"/>
            <w:szCs w:val="18"/>
          </w:rPr>
          <w:t>https://www.gov.uk/government/publications/lgbt-inclusive-approaches-to-conflict-and-the-women-peace-and-security-agenda-call-for-bids</w:t>
        </w:r>
      </w:hyperlink>
      <w:r w:rsidRPr="00C77F63">
        <w:rPr>
          <w:rFonts w:cstheme="minorHAnsi"/>
          <w:sz w:val="18"/>
          <w:szCs w:val="18"/>
        </w:rPr>
        <w:t xml:space="preserve"> </w:t>
      </w:r>
    </w:p>
  </w:footnote>
  <w:footnote w:id="11">
    <w:p w14:paraId="1B53A08A" w14:textId="77777777" w:rsidR="00A05210" w:rsidRPr="00C77F63" w:rsidRDefault="00A05210" w:rsidP="00A05210">
      <w:pPr>
        <w:pStyle w:val="FootnoteText"/>
        <w:rPr>
          <w:rFonts w:cstheme="minorHAnsi"/>
          <w:sz w:val="18"/>
          <w:szCs w:val="18"/>
        </w:rPr>
      </w:pPr>
      <w:r w:rsidRPr="00C77F63">
        <w:rPr>
          <w:rStyle w:val="FootnoteReference"/>
          <w:rFonts w:cstheme="minorHAnsi"/>
          <w:sz w:val="18"/>
          <w:szCs w:val="18"/>
        </w:rPr>
        <w:footnoteRef/>
      </w:r>
      <w:r w:rsidRPr="00C77F63">
        <w:rPr>
          <w:rFonts w:cstheme="minorHAnsi"/>
          <w:sz w:val="18"/>
          <w:szCs w:val="18"/>
        </w:rPr>
        <w:t xml:space="preserve"> Lily </w:t>
      </w:r>
      <w:proofErr w:type="spellStart"/>
      <w:r w:rsidRPr="00C77F63">
        <w:rPr>
          <w:rFonts w:cstheme="minorHAnsi"/>
          <w:sz w:val="18"/>
          <w:szCs w:val="18"/>
        </w:rPr>
        <w:t>Nellans</w:t>
      </w:r>
      <w:proofErr w:type="spellEnd"/>
      <w:r w:rsidRPr="00C77F63">
        <w:rPr>
          <w:rFonts w:cstheme="minorHAnsi"/>
          <w:sz w:val="18"/>
          <w:szCs w:val="18"/>
        </w:rPr>
        <w:t xml:space="preserve">, "A </w:t>
      </w:r>
      <w:proofErr w:type="gramStart"/>
      <w:r w:rsidRPr="00C77F63">
        <w:rPr>
          <w:rFonts w:cstheme="minorHAnsi"/>
          <w:sz w:val="18"/>
          <w:szCs w:val="18"/>
        </w:rPr>
        <w:t>Queer(</w:t>
      </w:r>
      <w:proofErr w:type="gramEnd"/>
      <w:r w:rsidRPr="00C77F63">
        <w:rPr>
          <w:rFonts w:cstheme="minorHAnsi"/>
          <w:sz w:val="18"/>
          <w:szCs w:val="18"/>
        </w:rPr>
        <w:t xml:space="preserve">Er) Genocide Studies," </w:t>
      </w:r>
      <w:r w:rsidRPr="00C77F63">
        <w:rPr>
          <w:rFonts w:cstheme="minorHAnsi"/>
          <w:i/>
          <w:sz w:val="18"/>
          <w:szCs w:val="18"/>
        </w:rPr>
        <w:t>Genocide Studies and Prevention: An International Journal,</w:t>
      </w:r>
      <w:r w:rsidRPr="00C77F63">
        <w:rPr>
          <w:rFonts w:cstheme="minorHAnsi"/>
          <w:sz w:val="18"/>
          <w:szCs w:val="18"/>
        </w:rPr>
        <w:t xml:space="preserve"> 14, no. 3 (2020): 48-68.</w:t>
      </w:r>
    </w:p>
  </w:footnote>
  <w:footnote w:id="12">
    <w:p w14:paraId="724283C7" w14:textId="77777777" w:rsidR="00A05210" w:rsidRPr="00C77F63" w:rsidRDefault="00A05210" w:rsidP="00A05210">
      <w:pPr>
        <w:pStyle w:val="FootnoteText"/>
        <w:rPr>
          <w:rFonts w:cstheme="minorHAnsi"/>
          <w:sz w:val="18"/>
          <w:szCs w:val="18"/>
        </w:rPr>
      </w:pPr>
      <w:r w:rsidRPr="00C77F63">
        <w:rPr>
          <w:rStyle w:val="FootnoteReference"/>
          <w:rFonts w:cstheme="minorHAnsi"/>
          <w:sz w:val="18"/>
          <w:szCs w:val="18"/>
        </w:rPr>
        <w:footnoteRef/>
      </w:r>
      <w:r w:rsidRPr="00C77F63">
        <w:rPr>
          <w:rFonts w:cstheme="minorHAnsi"/>
          <w:sz w:val="18"/>
          <w:szCs w:val="18"/>
        </w:rPr>
        <w:t xml:space="preserve"> David </w:t>
      </w:r>
      <w:proofErr w:type="spellStart"/>
      <w:r w:rsidRPr="00C77F63">
        <w:rPr>
          <w:rFonts w:cstheme="minorHAnsi"/>
          <w:sz w:val="18"/>
          <w:szCs w:val="18"/>
        </w:rPr>
        <w:t>Eichert</w:t>
      </w:r>
      <w:proofErr w:type="spellEnd"/>
      <w:r w:rsidRPr="00C77F63">
        <w:rPr>
          <w:rFonts w:cstheme="minorHAnsi"/>
          <w:sz w:val="18"/>
          <w:szCs w:val="18"/>
        </w:rPr>
        <w:t xml:space="preserve">, "Expanding the Gender of Genocidal Violence: Towards the Inclusion of Men, Transgender Women, and People Outside the Binary." </w:t>
      </w:r>
      <w:r w:rsidRPr="00C77F63">
        <w:rPr>
          <w:rFonts w:cstheme="minorHAnsi"/>
          <w:i/>
          <w:sz w:val="18"/>
          <w:szCs w:val="18"/>
        </w:rPr>
        <w:t>UCLA Journal of International Law and Foreign Affairs,</w:t>
      </w:r>
      <w:r w:rsidRPr="00C77F63">
        <w:rPr>
          <w:rFonts w:cstheme="minorHAnsi"/>
          <w:sz w:val="18"/>
          <w:szCs w:val="18"/>
        </w:rPr>
        <w:t xml:space="preserve"> 25, no. 2, (2021): 157-201; Matthew Waites, "Genocide and Global Queer Politics," </w:t>
      </w:r>
      <w:r w:rsidRPr="00C77F63">
        <w:rPr>
          <w:rFonts w:cstheme="minorHAnsi"/>
          <w:i/>
          <w:sz w:val="18"/>
          <w:szCs w:val="18"/>
        </w:rPr>
        <w:t>Journal of Genocide Research,</w:t>
      </w:r>
      <w:r w:rsidRPr="00C77F63">
        <w:rPr>
          <w:rFonts w:cstheme="minorHAnsi"/>
          <w:sz w:val="18"/>
          <w:szCs w:val="18"/>
        </w:rPr>
        <w:t xml:space="preserve"> 20, no. 1, (2018): 44-67</w:t>
      </w:r>
    </w:p>
  </w:footnote>
  <w:footnote w:id="13">
    <w:p w14:paraId="7CC66B97" w14:textId="77777777" w:rsidR="00A05210" w:rsidRPr="00C77F63" w:rsidRDefault="00A05210" w:rsidP="00A05210">
      <w:pPr>
        <w:pStyle w:val="FootnoteText"/>
        <w:rPr>
          <w:rFonts w:cstheme="minorHAnsi"/>
          <w:sz w:val="18"/>
          <w:szCs w:val="18"/>
        </w:rPr>
      </w:pPr>
      <w:r w:rsidRPr="00C77F63">
        <w:rPr>
          <w:rStyle w:val="FootnoteReference"/>
          <w:rFonts w:cstheme="minorHAnsi"/>
          <w:sz w:val="18"/>
          <w:szCs w:val="18"/>
        </w:rPr>
        <w:footnoteRef/>
      </w:r>
      <w:r w:rsidRPr="00C77F63">
        <w:rPr>
          <w:rFonts w:cstheme="minorHAnsi"/>
          <w:sz w:val="18"/>
          <w:szCs w:val="18"/>
        </w:rPr>
        <w:t xml:space="preserve"> Lisa Davis, Jaime Todd-</w:t>
      </w:r>
      <w:proofErr w:type="spellStart"/>
      <w:r w:rsidRPr="00C77F63">
        <w:rPr>
          <w:rFonts w:cstheme="minorHAnsi"/>
          <w:sz w:val="18"/>
          <w:szCs w:val="18"/>
        </w:rPr>
        <w:t>Gehr</w:t>
      </w:r>
      <w:proofErr w:type="spellEnd"/>
      <w:r w:rsidRPr="00C77F63">
        <w:rPr>
          <w:rFonts w:cstheme="minorHAnsi"/>
          <w:sz w:val="18"/>
          <w:szCs w:val="18"/>
        </w:rPr>
        <w:t xml:space="preserve">, “Identifying Gender Persecution in Conflict and Atrocities: </w:t>
      </w:r>
      <w:proofErr w:type="gramStart"/>
      <w:r w:rsidRPr="00C77F63">
        <w:rPr>
          <w:rFonts w:cstheme="minorHAnsi"/>
          <w:sz w:val="18"/>
          <w:szCs w:val="18"/>
        </w:rPr>
        <w:t>a</w:t>
      </w:r>
      <w:proofErr w:type="gramEnd"/>
      <w:r w:rsidRPr="00C77F63">
        <w:rPr>
          <w:rFonts w:cstheme="minorHAnsi"/>
          <w:sz w:val="18"/>
          <w:szCs w:val="18"/>
        </w:rPr>
        <w:t xml:space="preserve"> Toolkit for Documenters, Investigators, and Adjudicators of Crimes Against Humanity,” </w:t>
      </w:r>
      <w:r w:rsidRPr="00C77F63">
        <w:rPr>
          <w:rFonts w:cstheme="minorHAnsi"/>
          <w:i/>
          <w:sz w:val="18"/>
          <w:szCs w:val="18"/>
        </w:rPr>
        <w:t>UN Women</w:t>
      </w:r>
      <w:r w:rsidRPr="00C77F63">
        <w:rPr>
          <w:rFonts w:cstheme="minorHAnsi"/>
          <w:sz w:val="18"/>
          <w:szCs w:val="18"/>
        </w:rPr>
        <w:t>, (2021): 4, https://www.unwomen.org/en/digital-library/publications/2022/01/identifying-gender-persecution-in-conflict-and-atrocities.</w:t>
      </w:r>
    </w:p>
  </w:footnote>
  <w:footnote w:id="14">
    <w:p w14:paraId="3F61C59D" w14:textId="409CE990" w:rsidR="002F1C62" w:rsidRDefault="002F1C62">
      <w:pPr>
        <w:pStyle w:val="FootnoteText"/>
      </w:pPr>
      <w:r>
        <w:rPr>
          <w:rStyle w:val="FootnoteReference"/>
        </w:rPr>
        <w:footnoteRef/>
      </w:r>
      <w:r>
        <w:t xml:space="preserve"> </w:t>
      </w:r>
      <w:r w:rsidRPr="00FB533E">
        <w:rPr>
          <w:sz w:val="18"/>
          <w:szCs w:val="18"/>
        </w:rPr>
        <w:t>Davis, Kirby, Stern, Urena, “</w:t>
      </w:r>
      <w:hyperlink r:id="rId11" w:history="1">
        <w:r w:rsidRPr="00FB533E">
          <w:rPr>
            <w:rStyle w:val="Hyperlink"/>
            <w:sz w:val="18"/>
            <w:szCs w:val="18"/>
          </w:rPr>
          <w:t>The Definition of Gender in the Draft Crimes Against Humanity Convention,”</w:t>
        </w:r>
      </w:hyperlink>
      <w:r w:rsidRPr="00FB533E">
        <w:rPr>
          <w:sz w:val="18"/>
          <w:szCs w:val="18"/>
        </w:rPr>
        <w:t xml:space="preserve"> Letter to the International Law Commission, 1 December 2018</w:t>
      </w:r>
    </w:p>
  </w:footnote>
  <w:footnote w:id="15">
    <w:p w14:paraId="7EF35C9A"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Ramesh Thakur, "R2P After Libya and Syria: Engaging Emerging Powers," </w:t>
      </w:r>
      <w:r w:rsidRPr="000E761E">
        <w:rPr>
          <w:rFonts w:cstheme="minorHAnsi"/>
          <w:i/>
          <w:sz w:val="18"/>
          <w:szCs w:val="18"/>
        </w:rPr>
        <w:t>The Washington Quarterly</w:t>
      </w:r>
      <w:r w:rsidRPr="000E761E">
        <w:rPr>
          <w:rFonts w:cstheme="minorHAnsi"/>
          <w:sz w:val="18"/>
          <w:szCs w:val="18"/>
        </w:rPr>
        <w:t>, 36, no. 2, (2013): 61-76.</w:t>
      </w:r>
    </w:p>
  </w:footnote>
  <w:footnote w:id="16">
    <w:p w14:paraId="5934841E"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A 2013 statement from Finland referred to increased protection for minorities including ‘sexual orientation’.</w:t>
      </w:r>
    </w:p>
  </w:footnote>
  <w:footnote w:id="17">
    <w:p w14:paraId="4EBD5C9F"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UN General Assembly, 93</w:t>
      </w:r>
      <w:r w:rsidRPr="000E761E">
        <w:rPr>
          <w:rFonts w:cstheme="minorHAnsi"/>
          <w:sz w:val="18"/>
          <w:szCs w:val="18"/>
          <w:vertAlign w:val="superscript"/>
        </w:rPr>
        <w:t>rd</w:t>
      </w:r>
      <w:r w:rsidRPr="000E761E">
        <w:rPr>
          <w:rFonts w:cstheme="minorHAnsi"/>
          <w:sz w:val="18"/>
          <w:szCs w:val="18"/>
        </w:rPr>
        <w:t xml:space="preserve"> Plenary Meeting, A/73/PV.93, 27 June 2019, </w:t>
      </w:r>
      <w:hyperlink r:id="rId12" w:history="1">
        <w:r w:rsidRPr="000E761E">
          <w:rPr>
            <w:rStyle w:val="Hyperlink"/>
            <w:rFonts w:cstheme="minorHAnsi"/>
            <w:sz w:val="18"/>
            <w:szCs w:val="18"/>
            <w:lang w:val="en-US"/>
          </w:rPr>
          <w:t>https://undocs.org/A/73/PV.93</w:t>
        </w:r>
      </w:hyperlink>
      <w:r w:rsidRPr="000E761E">
        <w:rPr>
          <w:rFonts w:cstheme="minorHAnsi"/>
          <w:sz w:val="18"/>
          <w:szCs w:val="18"/>
          <w:lang w:val="en-US"/>
        </w:rPr>
        <w:t>; UN General Assembly, 94</w:t>
      </w:r>
      <w:r w:rsidRPr="000E761E">
        <w:rPr>
          <w:rFonts w:cstheme="minorHAnsi"/>
          <w:sz w:val="18"/>
          <w:szCs w:val="18"/>
          <w:vertAlign w:val="superscript"/>
          <w:lang w:val="en-US"/>
        </w:rPr>
        <w:t>th</w:t>
      </w:r>
      <w:r w:rsidRPr="000E761E">
        <w:rPr>
          <w:rFonts w:cstheme="minorHAnsi"/>
          <w:sz w:val="18"/>
          <w:szCs w:val="18"/>
          <w:lang w:val="en-US"/>
        </w:rPr>
        <w:t xml:space="preserve"> Plenary Meeting, A/73/PV.94, 27 June 2019, </w:t>
      </w:r>
      <w:hyperlink r:id="rId13" w:history="1">
        <w:r w:rsidRPr="000E761E">
          <w:rPr>
            <w:rStyle w:val="Hyperlink"/>
            <w:rFonts w:cstheme="minorHAnsi"/>
            <w:sz w:val="18"/>
            <w:szCs w:val="18"/>
            <w:lang w:val="en-US"/>
          </w:rPr>
          <w:t>https://undocs.org/A/73/PV.94</w:t>
        </w:r>
      </w:hyperlink>
      <w:r w:rsidRPr="000E761E">
        <w:rPr>
          <w:rFonts w:cstheme="minorHAnsi"/>
          <w:sz w:val="18"/>
          <w:szCs w:val="18"/>
          <w:lang w:val="en-US"/>
        </w:rPr>
        <w:t>.</w:t>
      </w:r>
    </w:p>
  </w:footnote>
  <w:footnote w:id="18">
    <w:p w14:paraId="519724EA"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UN General Assembly, 96</w:t>
      </w:r>
      <w:r w:rsidRPr="000E761E">
        <w:rPr>
          <w:rFonts w:cstheme="minorHAnsi"/>
          <w:sz w:val="18"/>
          <w:szCs w:val="18"/>
          <w:vertAlign w:val="superscript"/>
        </w:rPr>
        <w:t>th</w:t>
      </w:r>
      <w:r w:rsidRPr="000E761E">
        <w:rPr>
          <w:rFonts w:cstheme="minorHAnsi"/>
          <w:sz w:val="18"/>
          <w:szCs w:val="18"/>
        </w:rPr>
        <w:t xml:space="preserve"> Plenary Meeting, A/73/PV.96, 28 June 2019, </w:t>
      </w:r>
      <w:hyperlink r:id="rId14" w:history="1">
        <w:r w:rsidRPr="000E761E">
          <w:rPr>
            <w:rStyle w:val="Hyperlink"/>
            <w:rFonts w:cstheme="minorHAnsi"/>
            <w:sz w:val="18"/>
            <w:szCs w:val="18"/>
            <w:lang w:val="en-US"/>
          </w:rPr>
          <w:t>https://undocs.org/A/73/PV.96</w:t>
        </w:r>
      </w:hyperlink>
      <w:r w:rsidRPr="000E761E">
        <w:rPr>
          <w:rFonts w:cstheme="minorHAnsi"/>
          <w:sz w:val="18"/>
          <w:szCs w:val="18"/>
          <w:lang w:val="en-US"/>
        </w:rPr>
        <w:t>.</w:t>
      </w:r>
    </w:p>
  </w:footnote>
  <w:footnote w:id="19">
    <w:p w14:paraId="2E700717" w14:textId="77777777" w:rsidR="00A05210" w:rsidRPr="007C36FD" w:rsidRDefault="00A05210" w:rsidP="00A05210">
      <w:pPr>
        <w:pStyle w:val="FootnoteText"/>
        <w:rPr>
          <w:rFonts w:asciiTheme="majorHAnsi" w:hAnsiTheme="majorHAnsi" w:cstheme="majorHAnsi"/>
          <w:sz w:val="18"/>
          <w:szCs w:val="18"/>
        </w:rPr>
      </w:pPr>
      <w:r w:rsidRPr="000E761E">
        <w:rPr>
          <w:rStyle w:val="FootnoteReference"/>
          <w:rFonts w:cstheme="minorHAnsi"/>
          <w:sz w:val="18"/>
          <w:szCs w:val="18"/>
        </w:rPr>
        <w:footnoteRef/>
      </w:r>
      <w:r w:rsidRPr="000E761E">
        <w:rPr>
          <w:rFonts w:cstheme="minorHAnsi"/>
          <w:sz w:val="18"/>
          <w:szCs w:val="18"/>
        </w:rPr>
        <w:t xml:space="preserve"> Albert </w:t>
      </w:r>
      <w:proofErr w:type="spellStart"/>
      <w:r w:rsidRPr="000E761E">
        <w:rPr>
          <w:rFonts w:cstheme="minorHAnsi"/>
          <w:sz w:val="18"/>
          <w:szCs w:val="18"/>
        </w:rPr>
        <w:t>Trithart</w:t>
      </w:r>
      <w:proofErr w:type="spellEnd"/>
      <w:r w:rsidRPr="000E761E">
        <w:rPr>
          <w:rFonts w:cstheme="minorHAnsi"/>
          <w:sz w:val="18"/>
          <w:szCs w:val="18"/>
        </w:rPr>
        <w:t xml:space="preserve">, “A UN for All? UN Policy and Programming on Sexual Orientation, Gender Identity and Expression, and Sex Characteristics,” </w:t>
      </w:r>
      <w:r w:rsidRPr="000E761E">
        <w:rPr>
          <w:rFonts w:cstheme="minorHAnsi"/>
          <w:i/>
          <w:sz w:val="18"/>
          <w:szCs w:val="18"/>
        </w:rPr>
        <w:t>International Peace Institute</w:t>
      </w:r>
      <w:r w:rsidRPr="000E761E">
        <w:rPr>
          <w:rFonts w:cstheme="minorHAnsi"/>
          <w:sz w:val="18"/>
          <w:szCs w:val="18"/>
        </w:rPr>
        <w:t xml:space="preserve"> (February 2021): 4, </w:t>
      </w:r>
      <w:hyperlink r:id="rId15" w:history="1">
        <w:r w:rsidRPr="000E761E">
          <w:rPr>
            <w:rStyle w:val="Hyperlink"/>
            <w:rFonts w:cstheme="minorHAnsi"/>
            <w:sz w:val="18"/>
            <w:szCs w:val="18"/>
          </w:rPr>
          <w:t>https://www.ipinst.org/2021/02/un-policy-programming-on-sexual-orientation-gender-identity-expression-and-sex-characteristics</w:t>
        </w:r>
      </w:hyperlink>
      <w:r w:rsidRPr="000E761E">
        <w:rPr>
          <w:rFonts w:cstheme="minorHAnsi"/>
          <w:sz w:val="18"/>
          <w:szCs w:val="18"/>
        </w:rPr>
        <w:t>.</w:t>
      </w:r>
    </w:p>
  </w:footnote>
  <w:footnote w:id="20">
    <w:p w14:paraId="611C3424"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Albert </w:t>
      </w:r>
      <w:proofErr w:type="spellStart"/>
      <w:r w:rsidRPr="000E761E">
        <w:rPr>
          <w:rFonts w:cstheme="minorHAnsi"/>
          <w:sz w:val="18"/>
          <w:szCs w:val="18"/>
        </w:rPr>
        <w:t>Trithart</w:t>
      </w:r>
      <w:proofErr w:type="spellEnd"/>
      <w:r w:rsidRPr="000E761E">
        <w:rPr>
          <w:rFonts w:cstheme="minorHAnsi"/>
          <w:sz w:val="18"/>
          <w:szCs w:val="18"/>
        </w:rPr>
        <w:t xml:space="preserve">, “A UN For </w:t>
      </w:r>
      <w:proofErr w:type="gramStart"/>
      <w:r w:rsidRPr="000E761E">
        <w:rPr>
          <w:rFonts w:cstheme="minorHAnsi"/>
          <w:sz w:val="18"/>
          <w:szCs w:val="18"/>
        </w:rPr>
        <w:t>All?,</w:t>
      </w:r>
      <w:proofErr w:type="gramEnd"/>
      <w:r w:rsidRPr="000E761E">
        <w:rPr>
          <w:rFonts w:cstheme="minorHAnsi"/>
          <w:sz w:val="18"/>
          <w:szCs w:val="18"/>
        </w:rPr>
        <w:t>” 2021.</w:t>
      </w:r>
    </w:p>
  </w:footnote>
  <w:footnote w:id="21">
    <w:p w14:paraId="12093773"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Albert </w:t>
      </w:r>
      <w:proofErr w:type="spellStart"/>
      <w:r w:rsidRPr="000E761E">
        <w:rPr>
          <w:rFonts w:cstheme="minorHAnsi"/>
          <w:sz w:val="18"/>
          <w:szCs w:val="18"/>
        </w:rPr>
        <w:t>Trithart</w:t>
      </w:r>
      <w:proofErr w:type="spellEnd"/>
      <w:r w:rsidRPr="000E761E">
        <w:rPr>
          <w:rFonts w:cstheme="minorHAnsi"/>
          <w:sz w:val="18"/>
          <w:szCs w:val="18"/>
        </w:rPr>
        <w:t xml:space="preserve">, “A UN For </w:t>
      </w:r>
      <w:proofErr w:type="gramStart"/>
      <w:r w:rsidRPr="000E761E">
        <w:rPr>
          <w:rFonts w:cstheme="minorHAnsi"/>
          <w:sz w:val="18"/>
          <w:szCs w:val="18"/>
        </w:rPr>
        <w:t>All?,</w:t>
      </w:r>
      <w:proofErr w:type="gramEnd"/>
      <w:r w:rsidRPr="000E761E">
        <w:rPr>
          <w:rFonts w:cstheme="minorHAnsi"/>
          <w:sz w:val="18"/>
          <w:szCs w:val="18"/>
        </w:rPr>
        <w:t>” 2021.</w:t>
      </w:r>
    </w:p>
  </w:footnote>
  <w:footnote w:id="22">
    <w:p w14:paraId="06A0FF9D" w14:textId="77777777" w:rsidR="00A05210" w:rsidRPr="000E761E" w:rsidRDefault="00A05210" w:rsidP="00A05210">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Jamie J. Hagen, "Queering Women, Peace and Security," </w:t>
      </w:r>
      <w:r w:rsidRPr="000E761E">
        <w:rPr>
          <w:rFonts w:cstheme="minorHAnsi"/>
          <w:i/>
          <w:sz w:val="18"/>
          <w:szCs w:val="18"/>
        </w:rPr>
        <w:t>International Affairs</w:t>
      </w:r>
      <w:r w:rsidRPr="000E761E">
        <w:rPr>
          <w:rFonts w:cstheme="minorHAnsi"/>
          <w:sz w:val="18"/>
          <w:szCs w:val="18"/>
        </w:rPr>
        <w:t xml:space="preserve">, 92, no. 2 (2016): 313-32. </w:t>
      </w:r>
    </w:p>
  </w:footnote>
  <w:footnote w:id="23">
    <w:p w14:paraId="530B3109" w14:textId="77777777" w:rsidR="00924AF7" w:rsidRPr="000E761E" w:rsidRDefault="00924AF7" w:rsidP="00924AF7">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Jennifer </w:t>
      </w:r>
      <w:proofErr w:type="spellStart"/>
      <w:r w:rsidRPr="000E761E">
        <w:rPr>
          <w:rFonts w:cstheme="minorHAnsi"/>
          <w:sz w:val="18"/>
          <w:szCs w:val="18"/>
        </w:rPr>
        <w:t>Rumbach</w:t>
      </w:r>
      <w:proofErr w:type="spellEnd"/>
      <w:r w:rsidRPr="000E761E">
        <w:rPr>
          <w:rFonts w:cstheme="minorHAnsi"/>
          <w:sz w:val="18"/>
          <w:szCs w:val="18"/>
        </w:rPr>
        <w:t xml:space="preserve">, Kyle Knight, "Sexual and Gender Minorities in Humanitarian Emergencies," in </w:t>
      </w:r>
      <w:r w:rsidRPr="000E761E">
        <w:rPr>
          <w:rFonts w:cstheme="minorHAnsi"/>
          <w:i/>
          <w:sz w:val="18"/>
          <w:szCs w:val="18"/>
        </w:rPr>
        <w:t>Issues of Gender and Sexual Orientation in Humanitarian Emergencies: Risk and Risk Reduction</w:t>
      </w:r>
      <w:r w:rsidRPr="000E761E">
        <w:rPr>
          <w:rFonts w:cstheme="minorHAnsi"/>
          <w:sz w:val="18"/>
          <w:szCs w:val="18"/>
        </w:rPr>
        <w:t xml:space="preserve">, ed. Larry W. Roeder (New York: Springer, 2014): 33-74. </w:t>
      </w:r>
    </w:p>
  </w:footnote>
  <w:footnote w:id="24">
    <w:p w14:paraId="51E2016A" w14:textId="77777777" w:rsidR="00924AF7" w:rsidRPr="00A95F75" w:rsidRDefault="00924AF7" w:rsidP="00924AF7">
      <w:pPr>
        <w:pStyle w:val="FootnoteText"/>
        <w:rPr>
          <w:rFonts w:asciiTheme="majorHAnsi" w:hAnsiTheme="majorHAnsi" w:cstheme="majorHAnsi"/>
          <w:sz w:val="18"/>
          <w:szCs w:val="18"/>
          <w:u w:val="double"/>
        </w:rPr>
      </w:pPr>
      <w:r w:rsidRPr="00C77F63">
        <w:rPr>
          <w:rStyle w:val="FootnoteReference"/>
          <w:rFonts w:cstheme="minorHAnsi"/>
          <w:sz w:val="18"/>
          <w:szCs w:val="18"/>
        </w:rPr>
        <w:footnoteRef/>
      </w:r>
      <w:r w:rsidRPr="00C77F63">
        <w:rPr>
          <w:rFonts w:cstheme="minorHAnsi"/>
          <w:sz w:val="18"/>
          <w:szCs w:val="18"/>
        </w:rPr>
        <w:t xml:space="preserve"> Melinda W. Moore, John R. </w:t>
      </w:r>
      <w:proofErr w:type="spellStart"/>
      <w:r w:rsidRPr="00C77F63">
        <w:rPr>
          <w:rFonts w:cstheme="minorHAnsi"/>
          <w:sz w:val="18"/>
          <w:szCs w:val="18"/>
        </w:rPr>
        <w:t>Barner</w:t>
      </w:r>
      <w:proofErr w:type="spellEnd"/>
      <w:r w:rsidRPr="00C77F63">
        <w:rPr>
          <w:rFonts w:cstheme="minorHAnsi"/>
          <w:sz w:val="18"/>
          <w:szCs w:val="18"/>
        </w:rPr>
        <w:t xml:space="preserve">, "Sexual Minorities in Conflict Zones: A Review of the Literature," </w:t>
      </w:r>
      <w:r w:rsidRPr="00C77F63">
        <w:rPr>
          <w:rFonts w:cstheme="minorHAnsi"/>
          <w:i/>
          <w:sz w:val="18"/>
          <w:szCs w:val="18"/>
        </w:rPr>
        <w:t xml:space="preserve">Aggression and Violent </w:t>
      </w:r>
      <w:proofErr w:type="spellStart"/>
      <w:r w:rsidRPr="00C77F63">
        <w:rPr>
          <w:rFonts w:cstheme="minorHAnsi"/>
          <w:i/>
          <w:sz w:val="18"/>
          <w:szCs w:val="18"/>
        </w:rPr>
        <w:t>Behavior</w:t>
      </w:r>
      <w:proofErr w:type="spellEnd"/>
      <w:r w:rsidRPr="00C77F63">
        <w:rPr>
          <w:rFonts w:cstheme="minorHAnsi"/>
          <w:sz w:val="18"/>
          <w:szCs w:val="18"/>
        </w:rPr>
        <w:t>, 35 (2017): 36.</w:t>
      </w:r>
      <w:r w:rsidRPr="00A95F75">
        <w:rPr>
          <w:rFonts w:asciiTheme="majorHAnsi" w:hAnsiTheme="majorHAnsi" w:cstheme="majorHAnsi"/>
          <w:sz w:val="18"/>
          <w:szCs w:val="18"/>
        </w:rPr>
        <w:t xml:space="preserve"> </w:t>
      </w:r>
    </w:p>
  </w:footnote>
  <w:footnote w:id="25">
    <w:p w14:paraId="6F64F970" w14:textId="77777777" w:rsidR="00924AF7" w:rsidRPr="000E761E" w:rsidRDefault="00924AF7" w:rsidP="00924AF7">
      <w:pPr>
        <w:pStyle w:val="FootnoteText"/>
        <w:rPr>
          <w:rFonts w:cstheme="minorHAnsi"/>
          <w:sz w:val="18"/>
          <w:szCs w:val="18"/>
        </w:rPr>
      </w:pPr>
      <w:r w:rsidRPr="000E761E">
        <w:rPr>
          <w:rStyle w:val="FootnoteReference"/>
          <w:rFonts w:cstheme="minorHAnsi"/>
          <w:sz w:val="18"/>
          <w:szCs w:val="18"/>
        </w:rPr>
        <w:footnoteRef/>
      </w:r>
      <w:r w:rsidRPr="000E761E">
        <w:rPr>
          <w:rFonts w:cstheme="minorHAnsi"/>
          <w:sz w:val="18"/>
          <w:szCs w:val="18"/>
        </w:rPr>
        <w:t xml:space="preserve"> Humanitarian Advisory Group, “Taking Sexual and Gender Minorities out of the Too-Hard Basket,” Humanitarian Horizons Practice Paper Series (June 2018), https://humanitarianadvisorygroup.org/wp-content/uploads/2020/12/HH_Practice-Paper-Sexual-and-Gender-Minorities-in-humanitarian-response.pdf.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A356" w14:textId="79E361F3" w:rsidR="00101C74" w:rsidRDefault="00101C74" w:rsidP="003B3204">
    <w:pPr>
      <w:pStyle w:val="Header"/>
      <w:jc w:val="right"/>
    </w:pPr>
    <w:r>
      <w:rPr>
        <w:noProof/>
      </w:rPr>
      <w:drawing>
        <wp:anchor distT="0" distB="0" distL="114300" distR="114300" simplePos="0" relativeHeight="251658240" behindDoc="1" locked="0" layoutInCell="1" allowOverlap="1" wp14:anchorId="23319101" wp14:editId="6A4EB907">
          <wp:simplePos x="0" y="0"/>
          <wp:positionH relativeFrom="margin">
            <wp:posOffset>4159885</wp:posOffset>
          </wp:positionH>
          <wp:positionV relativeFrom="paragraph">
            <wp:posOffset>-220980</wp:posOffset>
          </wp:positionV>
          <wp:extent cx="1680057" cy="59470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0057" cy="5947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9A1"/>
    <w:multiLevelType w:val="hybridMultilevel"/>
    <w:tmpl w:val="375AFEF6"/>
    <w:lvl w:ilvl="0" w:tplc="0FCE9F6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F6AEE"/>
    <w:multiLevelType w:val="hybridMultilevel"/>
    <w:tmpl w:val="126AD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02118"/>
    <w:multiLevelType w:val="hybridMultilevel"/>
    <w:tmpl w:val="6D688F42"/>
    <w:lvl w:ilvl="0" w:tplc="6818EF5A">
      <w:start w:val="1"/>
      <w:numFmt w:val="decimal"/>
      <w:lvlText w:val="2.%1"/>
      <w:lvlJc w:val="left"/>
      <w:pPr>
        <w:ind w:left="720" w:hanging="360"/>
      </w:pPr>
      <w:rPr>
        <w:rFonts w:cs="Times New Roman"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0335B"/>
    <w:multiLevelType w:val="multilevel"/>
    <w:tmpl w:val="C9020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0C55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EAF772C"/>
    <w:multiLevelType w:val="hybridMultilevel"/>
    <w:tmpl w:val="68F28E4E"/>
    <w:lvl w:ilvl="0" w:tplc="DCEE3D8E">
      <w:start w:val="1"/>
      <w:numFmt w:val="decimal"/>
      <w:lvlText w:val="3.%1"/>
      <w:lvlJc w:val="left"/>
      <w:pPr>
        <w:ind w:left="720" w:hanging="360"/>
      </w:pPr>
      <w:rPr>
        <w:rFonts w:cs="Times New Roman"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589800">
    <w:abstractNumId w:val="1"/>
  </w:num>
  <w:num w:numId="2" w16cid:durableId="990981829">
    <w:abstractNumId w:val="4"/>
  </w:num>
  <w:num w:numId="3" w16cid:durableId="1825464743">
    <w:abstractNumId w:val="0"/>
  </w:num>
  <w:num w:numId="4" w16cid:durableId="1443186041">
    <w:abstractNumId w:val="2"/>
  </w:num>
  <w:num w:numId="5" w16cid:durableId="1207377065">
    <w:abstractNumId w:val="5"/>
  </w:num>
  <w:num w:numId="6" w16cid:durableId="1959793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A2"/>
    <w:rsid w:val="00000A45"/>
    <w:rsid w:val="00020D4C"/>
    <w:rsid w:val="00022D50"/>
    <w:rsid w:val="00024029"/>
    <w:rsid w:val="00034532"/>
    <w:rsid w:val="00051048"/>
    <w:rsid w:val="00063D70"/>
    <w:rsid w:val="00067AB3"/>
    <w:rsid w:val="00070C13"/>
    <w:rsid w:val="00077990"/>
    <w:rsid w:val="000861F1"/>
    <w:rsid w:val="00095F8F"/>
    <w:rsid w:val="000D168C"/>
    <w:rsid w:val="000D6769"/>
    <w:rsid w:val="000E761E"/>
    <w:rsid w:val="000F1715"/>
    <w:rsid w:val="00101C74"/>
    <w:rsid w:val="00122507"/>
    <w:rsid w:val="0012385C"/>
    <w:rsid w:val="001245D8"/>
    <w:rsid w:val="0013240C"/>
    <w:rsid w:val="00135923"/>
    <w:rsid w:val="00145FB9"/>
    <w:rsid w:val="00152DCF"/>
    <w:rsid w:val="00164091"/>
    <w:rsid w:val="001678A6"/>
    <w:rsid w:val="00190DAB"/>
    <w:rsid w:val="00194FF9"/>
    <w:rsid w:val="001A3016"/>
    <w:rsid w:val="001C12F4"/>
    <w:rsid w:val="001C1783"/>
    <w:rsid w:val="001D19F8"/>
    <w:rsid w:val="001E012E"/>
    <w:rsid w:val="00216121"/>
    <w:rsid w:val="00241435"/>
    <w:rsid w:val="00247D96"/>
    <w:rsid w:val="0026639F"/>
    <w:rsid w:val="002709B1"/>
    <w:rsid w:val="00286F25"/>
    <w:rsid w:val="00287DED"/>
    <w:rsid w:val="00291925"/>
    <w:rsid w:val="00295EB7"/>
    <w:rsid w:val="002C79E3"/>
    <w:rsid w:val="002E5A9C"/>
    <w:rsid w:val="002E7637"/>
    <w:rsid w:val="002F1C62"/>
    <w:rsid w:val="00320113"/>
    <w:rsid w:val="00321280"/>
    <w:rsid w:val="00341E50"/>
    <w:rsid w:val="003605FC"/>
    <w:rsid w:val="0039319B"/>
    <w:rsid w:val="003A7294"/>
    <w:rsid w:val="003B3204"/>
    <w:rsid w:val="003C29C3"/>
    <w:rsid w:val="003F2931"/>
    <w:rsid w:val="003F59EE"/>
    <w:rsid w:val="00411ECB"/>
    <w:rsid w:val="004142DB"/>
    <w:rsid w:val="004217A2"/>
    <w:rsid w:val="00426794"/>
    <w:rsid w:val="00466C27"/>
    <w:rsid w:val="00470AD0"/>
    <w:rsid w:val="00481D62"/>
    <w:rsid w:val="00483E4F"/>
    <w:rsid w:val="004C0167"/>
    <w:rsid w:val="004C3EFD"/>
    <w:rsid w:val="004E1B56"/>
    <w:rsid w:val="004F02D0"/>
    <w:rsid w:val="00532850"/>
    <w:rsid w:val="00536904"/>
    <w:rsid w:val="00536BA2"/>
    <w:rsid w:val="00542C33"/>
    <w:rsid w:val="00543339"/>
    <w:rsid w:val="00545847"/>
    <w:rsid w:val="00546891"/>
    <w:rsid w:val="005678C7"/>
    <w:rsid w:val="005B6768"/>
    <w:rsid w:val="005D3FE1"/>
    <w:rsid w:val="005E1DAC"/>
    <w:rsid w:val="00605347"/>
    <w:rsid w:val="00620547"/>
    <w:rsid w:val="00622348"/>
    <w:rsid w:val="00645424"/>
    <w:rsid w:val="00677629"/>
    <w:rsid w:val="00680266"/>
    <w:rsid w:val="00681266"/>
    <w:rsid w:val="00696F64"/>
    <w:rsid w:val="006A3078"/>
    <w:rsid w:val="006B02F6"/>
    <w:rsid w:val="006B03D4"/>
    <w:rsid w:val="006B163E"/>
    <w:rsid w:val="006B5DD7"/>
    <w:rsid w:val="006E6071"/>
    <w:rsid w:val="006F261A"/>
    <w:rsid w:val="0070379E"/>
    <w:rsid w:val="00734F33"/>
    <w:rsid w:val="00751FB0"/>
    <w:rsid w:val="00755B54"/>
    <w:rsid w:val="0077520C"/>
    <w:rsid w:val="00781005"/>
    <w:rsid w:val="00785CBB"/>
    <w:rsid w:val="00796A33"/>
    <w:rsid w:val="007A408D"/>
    <w:rsid w:val="007A529D"/>
    <w:rsid w:val="007D596A"/>
    <w:rsid w:val="007F14D6"/>
    <w:rsid w:val="007F388C"/>
    <w:rsid w:val="0081755F"/>
    <w:rsid w:val="0081786F"/>
    <w:rsid w:val="00830F1D"/>
    <w:rsid w:val="00846CAB"/>
    <w:rsid w:val="008473C0"/>
    <w:rsid w:val="00871D8A"/>
    <w:rsid w:val="00874A24"/>
    <w:rsid w:val="008764AE"/>
    <w:rsid w:val="00894382"/>
    <w:rsid w:val="008C3050"/>
    <w:rsid w:val="008C3331"/>
    <w:rsid w:val="008C53DD"/>
    <w:rsid w:val="008D6632"/>
    <w:rsid w:val="008E5D72"/>
    <w:rsid w:val="008F48D2"/>
    <w:rsid w:val="00907349"/>
    <w:rsid w:val="00924AF7"/>
    <w:rsid w:val="00944BE7"/>
    <w:rsid w:val="00944E93"/>
    <w:rsid w:val="0094555A"/>
    <w:rsid w:val="009759B0"/>
    <w:rsid w:val="009901E2"/>
    <w:rsid w:val="00994C1A"/>
    <w:rsid w:val="009B5BC6"/>
    <w:rsid w:val="009D62FB"/>
    <w:rsid w:val="009E4D11"/>
    <w:rsid w:val="009F7E85"/>
    <w:rsid w:val="00A03D44"/>
    <w:rsid w:val="00A05210"/>
    <w:rsid w:val="00A15121"/>
    <w:rsid w:val="00A2160C"/>
    <w:rsid w:val="00A47404"/>
    <w:rsid w:val="00A7155C"/>
    <w:rsid w:val="00A92535"/>
    <w:rsid w:val="00AB2044"/>
    <w:rsid w:val="00AC28EB"/>
    <w:rsid w:val="00AF6048"/>
    <w:rsid w:val="00B103AF"/>
    <w:rsid w:val="00B23A74"/>
    <w:rsid w:val="00B41A69"/>
    <w:rsid w:val="00B649F3"/>
    <w:rsid w:val="00B70DAC"/>
    <w:rsid w:val="00B723A3"/>
    <w:rsid w:val="00B7600D"/>
    <w:rsid w:val="00B853F7"/>
    <w:rsid w:val="00B92998"/>
    <w:rsid w:val="00BA7A34"/>
    <w:rsid w:val="00BB0948"/>
    <w:rsid w:val="00BC66CF"/>
    <w:rsid w:val="00BD2BD3"/>
    <w:rsid w:val="00BD5C30"/>
    <w:rsid w:val="00BE302B"/>
    <w:rsid w:val="00BF345D"/>
    <w:rsid w:val="00BF476A"/>
    <w:rsid w:val="00C41B1A"/>
    <w:rsid w:val="00C4403A"/>
    <w:rsid w:val="00C458CC"/>
    <w:rsid w:val="00C50D3A"/>
    <w:rsid w:val="00C56BD0"/>
    <w:rsid w:val="00C77F63"/>
    <w:rsid w:val="00C9231F"/>
    <w:rsid w:val="00CB2C33"/>
    <w:rsid w:val="00CC3E64"/>
    <w:rsid w:val="00CC59CD"/>
    <w:rsid w:val="00D07CDB"/>
    <w:rsid w:val="00D31A8B"/>
    <w:rsid w:val="00D32F1D"/>
    <w:rsid w:val="00D50123"/>
    <w:rsid w:val="00D52BBA"/>
    <w:rsid w:val="00D57ABC"/>
    <w:rsid w:val="00D65909"/>
    <w:rsid w:val="00D874DC"/>
    <w:rsid w:val="00DB0273"/>
    <w:rsid w:val="00DC56A1"/>
    <w:rsid w:val="00DF5254"/>
    <w:rsid w:val="00DF751A"/>
    <w:rsid w:val="00E74E23"/>
    <w:rsid w:val="00E775B9"/>
    <w:rsid w:val="00E81BD1"/>
    <w:rsid w:val="00E91679"/>
    <w:rsid w:val="00EA5266"/>
    <w:rsid w:val="00F05170"/>
    <w:rsid w:val="00F15F0E"/>
    <w:rsid w:val="00F511C2"/>
    <w:rsid w:val="00F65FB8"/>
    <w:rsid w:val="00F66AFE"/>
    <w:rsid w:val="00F71F50"/>
    <w:rsid w:val="00F84703"/>
    <w:rsid w:val="00FB533E"/>
    <w:rsid w:val="00FC627E"/>
    <w:rsid w:val="00FF0237"/>
    <w:rsid w:val="00FF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ED31"/>
  <w15:chartTrackingRefBased/>
  <w15:docId w15:val="{13B28B50-E660-421E-AF88-71E0BF1E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A2"/>
    <w:rPr>
      <w:color w:val="0563C1" w:themeColor="hyperlink"/>
      <w:u w:val="single"/>
    </w:rPr>
  </w:style>
  <w:style w:type="character" w:styleId="UnresolvedMention">
    <w:name w:val="Unresolved Mention"/>
    <w:basedOn w:val="DefaultParagraphFont"/>
    <w:uiPriority w:val="99"/>
    <w:semiHidden/>
    <w:unhideWhenUsed/>
    <w:rsid w:val="00536BA2"/>
    <w:rPr>
      <w:color w:val="605E5C"/>
      <w:shd w:val="clear" w:color="auto" w:fill="E1DFDD"/>
    </w:rPr>
  </w:style>
  <w:style w:type="paragraph" w:styleId="ListParagraph">
    <w:name w:val="List Paragraph"/>
    <w:basedOn w:val="Normal"/>
    <w:uiPriority w:val="34"/>
    <w:qFormat/>
    <w:rsid w:val="00536BA2"/>
    <w:pPr>
      <w:ind w:left="720"/>
      <w:contextualSpacing/>
    </w:pPr>
  </w:style>
  <w:style w:type="paragraph" w:styleId="FootnoteText">
    <w:name w:val="footnote text"/>
    <w:basedOn w:val="Normal"/>
    <w:link w:val="FootnoteTextChar"/>
    <w:uiPriority w:val="99"/>
    <w:unhideWhenUsed/>
    <w:rsid w:val="00070C13"/>
    <w:rPr>
      <w:sz w:val="20"/>
      <w:szCs w:val="20"/>
    </w:rPr>
  </w:style>
  <w:style w:type="character" w:customStyle="1" w:styleId="FootnoteTextChar">
    <w:name w:val="Footnote Text Char"/>
    <w:basedOn w:val="DefaultParagraphFont"/>
    <w:link w:val="FootnoteText"/>
    <w:uiPriority w:val="99"/>
    <w:rsid w:val="00070C13"/>
    <w:rPr>
      <w:sz w:val="20"/>
      <w:szCs w:val="20"/>
    </w:rPr>
  </w:style>
  <w:style w:type="character" w:styleId="FootnoteReference">
    <w:name w:val="footnote reference"/>
    <w:basedOn w:val="DefaultParagraphFont"/>
    <w:uiPriority w:val="99"/>
    <w:semiHidden/>
    <w:unhideWhenUsed/>
    <w:rsid w:val="00070C13"/>
    <w:rPr>
      <w:vertAlign w:val="superscript"/>
    </w:rPr>
  </w:style>
  <w:style w:type="paragraph" w:styleId="Header">
    <w:name w:val="header"/>
    <w:basedOn w:val="Normal"/>
    <w:link w:val="HeaderChar"/>
    <w:uiPriority w:val="99"/>
    <w:unhideWhenUsed/>
    <w:rsid w:val="003C29C3"/>
    <w:pPr>
      <w:tabs>
        <w:tab w:val="center" w:pos="4513"/>
        <w:tab w:val="right" w:pos="9026"/>
      </w:tabs>
    </w:pPr>
  </w:style>
  <w:style w:type="character" w:customStyle="1" w:styleId="HeaderChar">
    <w:name w:val="Header Char"/>
    <w:basedOn w:val="DefaultParagraphFont"/>
    <w:link w:val="Header"/>
    <w:uiPriority w:val="99"/>
    <w:rsid w:val="003C29C3"/>
  </w:style>
  <w:style w:type="paragraph" w:styleId="Footer">
    <w:name w:val="footer"/>
    <w:basedOn w:val="Normal"/>
    <w:link w:val="FooterChar"/>
    <w:uiPriority w:val="99"/>
    <w:unhideWhenUsed/>
    <w:rsid w:val="003C29C3"/>
    <w:pPr>
      <w:tabs>
        <w:tab w:val="center" w:pos="4513"/>
        <w:tab w:val="right" w:pos="9026"/>
      </w:tabs>
    </w:pPr>
  </w:style>
  <w:style w:type="character" w:customStyle="1" w:styleId="FooterChar">
    <w:name w:val="Footer Char"/>
    <w:basedOn w:val="DefaultParagraphFont"/>
    <w:link w:val="Footer"/>
    <w:uiPriority w:val="99"/>
    <w:rsid w:val="003C29C3"/>
  </w:style>
  <w:style w:type="character" w:styleId="CommentReference">
    <w:name w:val="annotation reference"/>
    <w:basedOn w:val="DefaultParagraphFont"/>
    <w:uiPriority w:val="99"/>
    <w:semiHidden/>
    <w:unhideWhenUsed/>
    <w:rsid w:val="00DC56A1"/>
    <w:rPr>
      <w:sz w:val="16"/>
      <w:szCs w:val="16"/>
    </w:rPr>
  </w:style>
  <w:style w:type="paragraph" w:styleId="CommentText">
    <w:name w:val="annotation text"/>
    <w:basedOn w:val="Normal"/>
    <w:link w:val="CommentTextChar"/>
    <w:uiPriority w:val="99"/>
    <w:unhideWhenUsed/>
    <w:rsid w:val="00DC56A1"/>
    <w:rPr>
      <w:sz w:val="20"/>
      <w:szCs w:val="20"/>
    </w:rPr>
  </w:style>
  <w:style w:type="character" w:customStyle="1" w:styleId="CommentTextChar">
    <w:name w:val="Comment Text Char"/>
    <w:basedOn w:val="DefaultParagraphFont"/>
    <w:link w:val="CommentText"/>
    <w:uiPriority w:val="99"/>
    <w:rsid w:val="00DC56A1"/>
    <w:rPr>
      <w:sz w:val="20"/>
      <w:szCs w:val="20"/>
    </w:rPr>
  </w:style>
  <w:style w:type="paragraph" w:styleId="CommentSubject">
    <w:name w:val="annotation subject"/>
    <w:basedOn w:val="CommentText"/>
    <w:next w:val="CommentText"/>
    <w:link w:val="CommentSubjectChar"/>
    <w:uiPriority w:val="99"/>
    <w:semiHidden/>
    <w:unhideWhenUsed/>
    <w:rsid w:val="00DC56A1"/>
    <w:rPr>
      <w:b/>
      <w:bCs/>
    </w:rPr>
  </w:style>
  <w:style w:type="character" w:customStyle="1" w:styleId="CommentSubjectChar">
    <w:name w:val="Comment Subject Char"/>
    <w:basedOn w:val="CommentTextChar"/>
    <w:link w:val="CommentSubject"/>
    <w:uiPriority w:val="99"/>
    <w:semiHidden/>
    <w:rsid w:val="00DC5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6504">
      <w:bodyDiv w:val="1"/>
      <w:marLeft w:val="0"/>
      <w:marRight w:val="0"/>
      <w:marTop w:val="0"/>
      <w:marBottom w:val="0"/>
      <w:divBdr>
        <w:top w:val="none" w:sz="0" w:space="0" w:color="auto"/>
        <w:left w:val="none" w:sz="0" w:space="0" w:color="auto"/>
        <w:bottom w:val="none" w:sz="0" w:space="0" w:color="auto"/>
        <w:right w:val="none" w:sz="0" w:space="0" w:color="auto"/>
      </w:divBdr>
    </w:div>
    <w:div w:id="1473669207">
      <w:bodyDiv w:val="1"/>
      <w:marLeft w:val="0"/>
      <w:marRight w:val="0"/>
      <w:marTop w:val="0"/>
      <w:marBottom w:val="0"/>
      <w:divBdr>
        <w:top w:val="none" w:sz="0" w:space="0" w:color="auto"/>
        <w:left w:val="none" w:sz="0" w:space="0" w:color="auto"/>
        <w:bottom w:val="none" w:sz="0" w:space="0" w:color="auto"/>
        <w:right w:val="none" w:sz="0" w:space="0" w:color="auto"/>
      </w:divBdr>
    </w:div>
    <w:div w:id="1663584648">
      <w:bodyDiv w:val="1"/>
      <w:marLeft w:val="0"/>
      <w:marRight w:val="0"/>
      <w:marTop w:val="0"/>
      <w:marBottom w:val="0"/>
      <w:divBdr>
        <w:top w:val="none" w:sz="0" w:space="0" w:color="auto"/>
        <w:left w:val="none" w:sz="0" w:space="0" w:color="auto"/>
        <w:bottom w:val="none" w:sz="0" w:space="0" w:color="auto"/>
        <w:right w:val="none" w:sz="0" w:space="0" w:color="auto"/>
      </w:divBdr>
    </w:div>
    <w:div w:id="1689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ionapproaches.org"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rotectionapproaches.or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topical-events/safe-to-be-me-a-global-equality-confer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tectionapproaches.org/news/f/press-release-stonewall-protection-approaches-launch-project" TargetMode="External"/><Relationship Id="rId4" Type="http://schemas.openxmlformats.org/officeDocument/2006/relationships/webSettings" Target="webSettings.xml"/><Relationship Id="rId9" Type="http://schemas.openxmlformats.org/officeDocument/2006/relationships/hyperlink" Target="mailto:kate.ferguson@protectionapproache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sagepub.com/doi/10.1177/1477370819887511" TargetMode="External"/><Relationship Id="rId13" Type="http://schemas.openxmlformats.org/officeDocument/2006/relationships/hyperlink" Target="https://undocs.org/A/73/PV.94" TargetMode="External"/><Relationship Id="rId3" Type="http://schemas.openxmlformats.org/officeDocument/2006/relationships/hyperlink" Target="https://www.hmd.org.uk/learn-about-the-holocaust-and-genocides/nazi-persecution/gay-people/" TargetMode="External"/><Relationship Id="rId7" Type="http://schemas.openxmlformats.org/officeDocument/2006/relationships/hyperlink" Target="https://www.hrw.org/report/2018/12/11/no-support/russias-gay-propaganda-law-imperils-lgbt-youth" TargetMode="External"/><Relationship Id="rId12" Type="http://schemas.openxmlformats.org/officeDocument/2006/relationships/hyperlink" Target="https://undocs.org/A/73/PV.93" TargetMode="External"/><Relationship Id="rId2" Type="http://schemas.openxmlformats.org/officeDocument/2006/relationships/hyperlink" Target="https://protectionapproaches.org/being-the-difference" TargetMode="External"/><Relationship Id="rId1" Type="http://schemas.openxmlformats.org/officeDocument/2006/relationships/hyperlink" Target="https://rusi.org/explore-our-research/publications/rusi-newsbrief/between-war-and-peace-preventing-mass-atrocities-outside-armed-conflict" TargetMode="External"/><Relationship Id="rId6" Type="http://schemas.openxmlformats.org/officeDocument/2006/relationships/hyperlink" Target="https://foreignpolicy.com/2014/12/12/egypt-gay-bath-house-cairo-lgbt/" TargetMode="External"/><Relationship Id="rId11" Type="http://schemas.openxmlformats.org/officeDocument/2006/relationships/hyperlink" Target="https://www.law.cuny.edu/wp-content/uploads/page-assets/academics/clinics/hrgj/New-Final-Submission-Letter-CUNY-MADRE-OutRight-Los-Andes.pdf" TargetMode="External"/><Relationship Id="rId5" Type="http://schemas.openxmlformats.org/officeDocument/2006/relationships/hyperlink" Target="https://carnegieendowment.org/sada/57574" TargetMode="External"/><Relationship Id="rId15" Type="http://schemas.openxmlformats.org/officeDocument/2006/relationships/hyperlink" Target="https://www.ipinst.org/2021/02/un-policy-programming-on-sexual-orientation-gender-identity-expression-and-sex-characteristics" TargetMode="External"/><Relationship Id="rId10" Type="http://schemas.openxmlformats.org/officeDocument/2006/relationships/hyperlink" Target="https://www.gov.uk/government/publications/lgbt-inclusive-approaches-to-conflict-and-the-women-peace-and-security-agenda-call-for-bids" TargetMode="External"/><Relationship Id="rId4" Type="http://schemas.openxmlformats.org/officeDocument/2006/relationships/hyperlink" Target="https://www.ushmm.org/m/pdfs/The_Future_of_Mass_Atrocities_and_Atrocity_Prevention.docx.pdf" TargetMode="External"/><Relationship Id="rId9" Type="http://schemas.openxmlformats.org/officeDocument/2006/relationships/hyperlink" Target="https://www.ft.com/content/71eaa49e-0580-11e3-8ed5-00144feab7de" TargetMode="External"/><Relationship Id="rId14" Type="http://schemas.openxmlformats.org/officeDocument/2006/relationships/hyperlink" Target="https://undocs.org/A/73/PV.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058661C-32BC-4CB0-8EE5-A861F97A880C}"/>
</file>

<file path=customXml/itemProps2.xml><?xml version="1.0" encoding="utf-8"?>
<ds:datastoreItem xmlns:ds="http://schemas.openxmlformats.org/officeDocument/2006/customXml" ds:itemID="{B2972D46-4D0A-4951-A2BB-73EA1A7BAFA4}"/>
</file>

<file path=customXml/itemProps3.xml><?xml version="1.0" encoding="utf-8"?>
<ds:datastoreItem xmlns:ds="http://schemas.openxmlformats.org/officeDocument/2006/customXml" ds:itemID="{230FB60F-2FCA-4AFF-A9B7-C6904663A27D}"/>
</file>

<file path=docProps/app.xml><?xml version="1.0" encoding="utf-8"?>
<Properties xmlns="http://schemas.openxmlformats.org/officeDocument/2006/extended-properties" xmlns:vt="http://schemas.openxmlformats.org/officeDocument/2006/docPropsVTypes">
  <Template>Normal</Template>
  <TotalTime>33</TotalTime>
  <Pages>7</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Detmer Kremer</dc:creator>
  <cp:keywords/>
  <dc:description/>
  <cp:lastModifiedBy>Detmer Kremer</cp:lastModifiedBy>
  <cp:revision>34</cp:revision>
  <dcterms:created xsi:type="dcterms:W3CDTF">2022-04-12T09:51:00Z</dcterms:created>
  <dcterms:modified xsi:type="dcterms:W3CDTF">2022-04-12T10:21:00Z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