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ACD" w14:textId="77777777" w:rsidR="00F83898" w:rsidRPr="003673FF" w:rsidRDefault="00F83898" w:rsidP="00865DCE">
      <w:pPr>
        <w:spacing w:before="240" w:line="240" w:lineRule="auto"/>
        <w:jc w:val="both"/>
        <w:rPr>
          <w:rFonts w:asciiTheme="majorBidi" w:hAnsiTheme="majorBidi" w:cstheme="majorBidi"/>
          <w:sz w:val="24"/>
          <w:szCs w:val="24"/>
        </w:rPr>
      </w:pPr>
      <w:r w:rsidRPr="003673FF">
        <w:rPr>
          <w:rFonts w:asciiTheme="majorBidi" w:hAnsiTheme="majorBidi" w:cstheme="majorBidi"/>
          <w:sz w:val="24"/>
          <w:szCs w:val="24"/>
        </w:rPr>
        <w:t xml:space="preserve">Date:  </w:t>
      </w:r>
      <w:r w:rsidR="00952B0B" w:rsidRPr="003673FF">
        <w:rPr>
          <w:rFonts w:asciiTheme="majorBidi" w:hAnsiTheme="majorBidi" w:cstheme="majorBidi"/>
          <w:sz w:val="24"/>
          <w:szCs w:val="24"/>
        </w:rPr>
        <w:t>March</w:t>
      </w:r>
      <w:r w:rsidR="008606CE" w:rsidRPr="003673FF">
        <w:rPr>
          <w:rFonts w:asciiTheme="majorBidi" w:hAnsiTheme="majorBidi" w:cstheme="majorBidi"/>
          <w:sz w:val="24"/>
          <w:szCs w:val="24"/>
        </w:rPr>
        <w:t xml:space="preserve"> </w:t>
      </w:r>
      <w:r w:rsidR="002B1DA3" w:rsidRPr="003673FF">
        <w:rPr>
          <w:rFonts w:asciiTheme="majorBidi" w:hAnsiTheme="majorBidi" w:cstheme="majorBidi"/>
          <w:sz w:val="24"/>
          <w:szCs w:val="24"/>
        </w:rPr>
        <w:t>2</w:t>
      </w:r>
      <w:r w:rsidR="00865DCE" w:rsidRPr="003673FF">
        <w:rPr>
          <w:rFonts w:asciiTheme="majorBidi" w:hAnsiTheme="majorBidi" w:cstheme="majorBidi"/>
          <w:sz w:val="24"/>
          <w:szCs w:val="24"/>
        </w:rPr>
        <w:t>3</w:t>
      </w:r>
      <w:r w:rsidR="008606CE" w:rsidRPr="003673FF">
        <w:rPr>
          <w:rFonts w:asciiTheme="majorBidi" w:hAnsiTheme="majorBidi" w:cstheme="majorBidi"/>
          <w:sz w:val="24"/>
          <w:szCs w:val="24"/>
        </w:rPr>
        <w:t>, 2022</w:t>
      </w:r>
    </w:p>
    <w:p w14:paraId="4C05112A" w14:textId="77777777" w:rsidR="00F83898" w:rsidRPr="00952B0B" w:rsidRDefault="00865DCE" w:rsidP="00865DCE">
      <w:pPr>
        <w:spacing w:before="240" w:line="240" w:lineRule="auto"/>
        <w:jc w:val="both"/>
        <w:rPr>
          <w:rFonts w:asciiTheme="majorBidi" w:hAnsiTheme="majorBidi" w:cstheme="majorBidi"/>
          <w:sz w:val="24"/>
          <w:szCs w:val="24"/>
          <w:rtl/>
        </w:rPr>
      </w:pPr>
      <w:r w:rsidRPr="003673FF">
        <w:rPr>
          <w:rFonts w:asciiTheme="majorBidi" w:hAnsiTheme="majorBidi" w:cstheme="majorBidi"/>
          <w:sz w:val="24"/>
          <w:szCs w:val="24"/>
        </w:rPr>
        <w:t>20</w:t>
      </w:r>
      <w:r w:rsidR="002B1DA3" w:rsidRPr="003673FF">
        <w:rPr>
          <w:rFonts w:asciiTheme="majorBidi" w:hAnsiTheme="majorBidi" w:cstheme="majorBidi"/>
          <w:sz w:val="24"/>
          <w:szCs w:val="24"/>
        </w:rPr>
        <w:t xml:space="preserve"> </w:t>
      </w:r>
      <w:r w:rsidR="008606CE" w:rsidRPr="003673FF">
        <w:rPr>
          <w:rFonts w:asciiTheme="majorBidi" w:hAnsiTheme="majorBidi" w:cstheme="majorBidi"/>
          <w:sz w:val="24"/>
          <w:szCs w:val="24"/>
        </w:rPr>
        <w:t xml:space="preserve">Adar </w:t>
      </w:r>
      <w:r w:rsidR="00952B0B" w:rsidRPr="003673FF">
        <w:rPr>
          <w:rFonts w:asciiTheme="majorBidi" w:hAnsiTheme="majorBidi" w:cstheme="majorBidi"/>
          <w:sz w:val="24"/>
          <w:szCs w:val="24"/>
        </w:rPr>
        <w:t>II</w:t>
      </w:r>
      <w:r w:rsidR="008606CE" w:rsidRPr="003673FF">
        <w:rPr>
          <w:rFonts w:asciiTheme="majorBidi" w:hAnsiTheme="majorBidi" w:cstheme="majorBidi"/>
          <w:sz w:val="24"/>
          <w:szCs w:val="24"/>
        </w:rPr>
        <w:t>, 5782</w:t>
      </w:r>
    </w:p>
    <w:p w14:paraId="7970582A" w14:textId="77777777" w:rsidR="00952B0B" w:rsidRDefault="00952B0B" w:rsidP="00DB6451">
      <w:pPr>
        <w:bidi w:val="0"/>
        <w:spacing w:before="240" w:line="360" w:lineRule="auto"/>
        <w:jc w:val="both"/>
        <w:rPr>
          <w:rFonts w:asciiTheme="majorBidi" w:hAnsiTheme="majorBidi" w:cstheme="majorBidi"/>
          <w:sz w:val="24"/>
          <w:szCs w:val="24"/>
        </w:rPr>
      </w:pPr>
    </w:p>
    <w:p w14:paraId="65F33047" w14:textId="77777777" w:rsidR="00E6239C" w:rsidRPr="00952B0B" w:rsidRDefault="00F83898" w:rsidP="00DB6451">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 xml:space="preserve">To: </w:t>
      </w:r>
      <w:r w:rsidR="009E4E46" w:rsidRPr="00952B0B">
        <w:rPr>
          <w:rFonts w:asciiTheme="majorBidi" w:hAnsiTheme="majorBidi" w:cstheme="majorBidi"/>
          <w:sz w:val="24"/>
          <w:szCs w:val="24"/>
        </w:rPr>
        <w:t>Mr. Tomoya Obokata</w:t>
      </w:r>
      <w:r w:rsidRPr="00952B0B">
        <w:rPr>
          <w:rFonts w:asciiTheme="majorBidi" w:hAnsiTheme="majorBidi" w:cstheme="majorBidi"/>
          <w:sz w:val="24"/>
          <w:szCs w:val="24"/>
        </w:rPr>
        <w:t xml:space="preserve">, </w:t>
      </w:r>
      <w:r w:rsidR="009E4E46" w:rsidRPr="00952B0B">
        <w:rPr>
          <w:rFonts w:asciiTheme="majorBidi" w:hAnsiTheme="majorBidi" w:cstheme="majorBidi"/>
          <w:sz w:val="24"/>
          <w:szCs w:val="24"/>
        </w:rPr>
        <w:t>Special Rapporteur on contemporary forms of slavery, including its causes and consequences</w:t>
      </w:r>
    </w:p>
    <w:p w14:paraId="3D8FF8B9" w14:textId="77777777" w:rsidR="009E4E46" w:rsidRPr="00952B0B" w:rsidRDefault="00F83898" w:rsidP="00DB6451">
      <w:pPr>
        <w:bidi w:val="0"/>
        <w:spacing w:before="240" w:line="360" w:lineRule="auto"/>
        <w:jc w:val="center"/>
        <w:rPr>
          <w:rFonts w:asciiTheme="majorBidi" w:hAnsiTheme="majorBidi" w:cstheme="majorBidi"/>
          <w:b/>
          <w:bCs/>
          <w:sz w:val="24"/>
          <w:szCs w:val="24"/>
          <w:u w:val="single"/>
        </w:rPr>
      </w:pPr>
      <w:r w:rsidRPr="00952B0B">
        <w:rPr>
          <w:rFonts w:asciiTheme="majorBidi" w:hAnsiTheme="majorBidi" w:cstheme="majorBidi"/>
          <w:sz w:val="24"/>
          <w:szCs w:val="24"/>
        </w:rPr>
        <w:t xml:space="preserve">Subject: </w:t>
      </w:r>
      <w:r w:rsidRPr="00952B0B">
        <w:rPr>
          <w:rFonts w:asciiTheme="majorBidi" w:hAnsiTheme="majorBidi" w:cstheme="majorBidi"/>
          <w:b/>
          <w:bCs/>
          <w:sz w:val="24"/>
          <w:szCs w:val="24"/>
          <w:u w:val="single"/>
        </w:rPr>
        <w:t xml:space="preserve">The State of Israel's Submission to the </w:t>
      </w:r>
      <w:r w:rsidR="0009683B" w:rsidRPr="00952B0B">
        <w:rPr>
          <w:rFonts w:asciiTheme="majorBidi" w:hAnsiTheme="majorBidi" w:cstheme="majorBidi"/>
          <w:b/>
          <w:bCs/>
          <w:sz w:val="24"/>
          <w:szCs w:val="24"/>
          <w:u w:val="single"/>
        </w:rPr>
        <w:t>Special Rapporteur on Contemporary Forms of S</w:t>
      </w:r>
      <w:r w:rsidR="009E4E46" w:rsidRPr="00952B0B">
        <w:rPr>
          <w:rFonts w:asciiTheme="majorBidi" w:hAnsiTheme="majorBidi" w:cstheme="majorBidi"/>
          <w:b/>
          <w:bCs/>
          <w:sz w:val="24"/>
          <w:szCs w:val="24"/>
          <w:u w:val="single"/>
        </w:rPr>
        <w:t>lavery, inclu</w:t>
      </w:r>
      <w:r w:rsidR="0009683B" w:rsidRPr="00952B0B">
        <w:rPr>
          <w:rFonts w:asciiTheme="majorBidi" w:hAnsiTheme="majorBidi" w:cstheme="majorBidi"/>
          <w:b/>
          <w:bCs/>
          <w:sz w:val="24"/>
          <w:szCs w:val="24"/>
          <w:u w:val="single"/>
        </w:rPr>
        <w:t>ding its Causes and C</w:t>
      </w:r>
      <w:r w:rsidR="009E4E46" w:rsidRPr="00952B0B">
        <w:rPr>
          <w:rFonts w:asciiTheme="majorBidi" w:hAnsiTheme="majorBidi" w:cstheme="majorBidi"/>
          <w:b/>
          <w:bCs/>
          <w:sz w:val="24"/>
          <w:szCs w:val="24"/>
          <w:u w:val="single"/>
        </w:rPr>
        <w:t>onsequence</w:t>
      </w:r>
      <w:r w:rsidRPr="00952B0B">
        <w:rPr>
          <w:rFonts w:asciiTheme="majorBidi" w:hAnsiTheme="majorBidi" w:cstheme="majorBidi"/>
          <w:b/>
          <w:bCs/>
          <w:sz w:val="24"/>
          <w:szCs w:val="24"/>
          <w:u w:val="single"/>
        </w:rPr>
        <w:t>s</w:t>
      </w:r>
      <w:r w:rsidR="009E4E46" w:rsidRPr="00952B0B">
        <w:rPr>
          <w:rFonts w:asciiTheme="majorBidi" w:hAnsiTheme="majorBidi" w:cstheme="majorBidi"/>
          <w:b/>
          <w:bCs/>
          <w:sz w:val="24"/>
          <w:szCs w:val="24"/>
          <w:u w:val="single"/>
        </w:rPr>
        <w:t>'</w:t>
      </w:r>
      <w:r w:rsidRPr="00952B0B">
        <w:rPr>
          <w:rFonts w:asciiTheme="majorBidi" w:hAnsiTheme="majorBidi" w:cstheme="majorBidi"/>
          <w:b/>
          <w:bCs/>
          <w:sz w:val="24"/>
          <w:szCs w:val="24"/>
          <w:u w:val="single"/>
        </w:rPr>
        <w:t xml:space="preserve"> Report</w:t>
      </w:r>
      <w:r w:rsidR="0009683B" w:rsidRPr="00952B0B">
        <w:rPr>
          <w:rFonts w:asciiTheme="majorBidi" w:hAnsiTheme="majorBidi" w:cstheme="majorBidi"/>
          <w:b/>
          <w:bCs/>
          <w:sz w:val="24"/>
          <w:szCs w:val="24"/>
          <w:u w:val="single"/>
        </w:rPr>
        <w:t xml:space="preserve"> on</w:t>
      </w:r>
      <w:r w:rsidRPr="00952B0B">
        <w:rPr>
          <w:rFonts w:asciiTheme="majorBidi" w:hAnsiTheme="majorBidi" w:cstheme="majorBidi"/>
          <w:b/>
          <w:bCs/>
          <w:sz w:val="24"/>
          <w:szCs w:val="24"/>
          <w:u w:val="single"/>
        </w:rPr>
        <w:t xml:space="preserve"> </w:t>
      </w:r>
      <w:r w:rsidR="0009683B" w:rsidRPr="00952B0B">
        <w:rPr>
          <w:rFonts w:asciiTheme="majorBidi" w:hAnsiTheme="majorBidi" w:cstheme="majorBidi"/>
          <w:b/>
          <w:bCs/>
          <w:sz w:val="24"/>
          <w:szCs w:val="24"/>
          <w:u w:val="single"/>
        </w:rPr>
        <w:t>C</w:t>
      </w:r>
      <w:r w:rsidR="009E4E46" w:rsidRPr="00952B0B">
        <w:rPr>
          <w:rFonts w:asciiTheme="majorBidi" w:hAnsiTheme="majorBidi" w:cstheme="majorBidi"/>
          <w:b/>
          <w:bCs/>
          <w:sz w:val="24"/>
          <w:szCs w:val="24"/>
          <w:u w:val="single"/>
        </w:rPr>
        <w:t xml:space="preserve">ontemporary </w:t>
      </w:r>
      <w:r w:rsidR="0009683B" w:rsidRPr="00952B0B">
        <w:rPr>
          <w:rFonts w:asciiTheme="majorBidi" w:hAnsiTheme="majorBidi" w:cstheme="majorBidi"/>
          <w:b/>
          <w:bCs/>
          <w:sz w:val="24"/>
          <w:szCs w:val="24"/>
          <w:u w:val="single"/>
        </w:rPr>
        <w:t>Forms of S</w:t>
      </w:r>
      <w:r w:rsidR="009E4E46" w:rsidRPr="00952B0B">
        <w:rPr>
          <w:rFonts w:asciiTheme="majorBidi" w:hAnsiTheme="majorBidi" w:cstheme="majorBidi"/>
          <w:b/>
          <w:bCs/>
          <w:sz w:val="24"/>
          <w:szCs w:val="24"/>
          <w:u w:val="single"/>
        </w:rPr>
        <w:t xml:space="preserve">lavery as </w:t>
      </w:r>
      <w:r w:rsidR="0009683B" w:rsidRPr="00952B0B">
        <w:rPr>
          <w:rFonts w:asciiTheme="majorBidi" w:hAnsiTheme="majorBidi" w:cstheme="majorBidi"/>
          <w:b/>
          <w:bCs/>
          <w:sz w:val="24"/>
          <w:szCs w:val="24"/>
          <w:u w:val="single"/>
        </w:rPr>
        <w:t>A</w:t>
      </w:r>
      <w:r w:rsidR="009E4E46" w:rsidRPr="00952B0B">
        <w:rPr>
          <w:rFonts w:asciiTheme="majorBidi" w:hAnsiTheme="majorBidi" w:cstheme="majorBidi"/>
          <w:b/>
          <w:bCs/>
          <w:sz w:val="24"/>
          <w:szCs w:val="24"/>
          <w:u w:val="single"/>
        </w:rPr>
        <w:t xml:space="preserve">ffecting </w:t>
      </w:r>
      <w:r w:rsidR="0009683B" w:rsidRPr="00952B0B">
        <w:rPr>
          <w:rFonts w:asciiTheme="majorBidi" w:hAnsiTheme="majorBidi" w:cstheme="majorBidi"/>
          <w:b/>
          <w:bCs/>
          <w:sz w:val="24"/>
          <w:szCs w:val="24"/>
          <w:u w:val="single"/>
        </w:rPr>
        <w:t>P</w:t>
      </w:r>
      <w:r w:rsidR="009E4E46" w:rsidRPr="00952B0B">
        <w:rPr>
          <w:rFonts w:asciiTheme="majorBidi" w:hAnsiTheme="majorBidi" w:cstheme="majorBidi"/>
          <w:b/>
          <w:bCs/>
          <w:sz w:val="24"/>
          <w:szCs w:val="24"/>
          <w:u w:val="single"/>
        </w:rPr>
        <w:t xml:space="preserve">ersons </w:t>
      </w:r>
      <w:r w:rsidR="0009683B" w:rsidRPr="00952B0B">
        <w:rPr>
          <w:rFonts w:asciiTheme="majorBidi" w:hAnsiTheme="majorBidi" w:cstheme="majorBidi"/>
          <w:b/>
          <w:bCs/>
          <w:sz w:val="24"/>
          <w:szCs w:val="24"/>
          <w:u w:val="single"/>
        </w:rPr>
        <w:t>B</w:t>
      </w:r>
      <w:r w:rsidR="009E4E46" w:rsidRPr="00952B0B">
        <w:rPr>
          <w:rFonts w:asciiTheme="majorBidi" w:hAnsiTheme="majorBidi" w:cstheme="majorBidi"/>
          <w:b/>
          <w:bCs/>
          <w:sz w:val="24"/>
          <w:szCs w:val="24"/>
          <w:u w:val="single"/>
        </w:rPr>
        <w:t xml:space="preserve">elonging to </w:t>
      </w:r>
      <w:r w:rsidR="0009683B" w:rsidRPr="00952B0B">
        <w:rPr>
          <w:rFonts w:asciiTheme="majorBidi" w:hAnsiTheme="majorBidi" w:cstheme="majorBidi"/>
          <w:b/>
          <w:bCs/>
          <w:sz w:val="24"/>
          <w:szCs w:val="24"/>
          <w:u w:val="single"/>
        </w:rPr>
        <w:t>E</w:t>
      </w:r>
      <w:r w:rsidR="009E4E46" w:rsidRPr="00952B0B">
        <w:rPr>
          <w:rFonts w:asciiTheme="majorBidi" w:hAnsiTheme="majorBidi" w:cstheme="majorBidi"/>
          <w:b/>
          <w:bCs/>
          <w:sz w:val="24"/>
          <w:szCs w:val="24"/>
          <w:u w:val="single"/>
        </w:rPr>
        <w:t xml:space="preserve">thnic, </w:t>
      </w:r>
      <w:r w:rsidR="0009683B" w:rsidRPr="00952B0B">
        <w:rPr>
          <w:rFonts w:asciiTheme="majorBidi" w:hAnsiTheme="majorBidi" w:cstheme="majorBidi"/>
          <w:b/>
          <w:bCs/>
          <w:sz w:val="24"/>
          <w:szCs w:val="24"/>
          <w:u w:val="single"/>
        </w:rPr>
        <w:t>R</w:t>
      </w:r>
      <w:r w:rsidR="009E4E46" w:rsidRPr="00952B0B">
        <w:rPr>
          <w:rFonts w:asciiTheme="majorBidi" w:hAnsiTheme="majorBidi" w:cstheme="majorBidi"/>
          <w:b/>
          <w:bCs/>
          <w:sz w:val="24"/>
          <w:szCs w:val="24"/>
          <w:u w:val="single"/>
        </w:rPr>
        <w:t xml:space="preserve">eligious and </w:t>
      </w:r>
      <w:r w:rsidR="0009683B" w:rsidRPr="00952B0B">
        <w:rPr>
          <w:rFonts w:asciiTheme="majorBidi" w:hAnsiTheme="majorBidi" w:cstheme="majorBidi"/>
          <w:b/>
          <w:bCs/>
          <w:sz w:val="24"/>
          <w:szCs w:val="24"/>
          <w:u w:val="single"/>
        </w:rPr>
        <w:t>L</w:t>
      </w:r>
      <w:r w:rsidR="009E4E46" w:rsidRPr="00952B0B">
        <w:rPr>
          <w:rFonts w:asciiTheme="majorBidi" w:hAnsiTheme="majorBidi" w:cstheme="majorBidi"/>
          <w:b/>
          <w:bCs/>
          <w:sz w:val="24"/>
          <w:szCs w:val="24"/>
          <w:u w:val="single"/>
        </w:rPr>
        <w:t xml:space="preserve">inguistic </w:t>
      </w:r>
      <w:r w:rsidR="0009683B" w:rsidRPr="00952B0B">
        <w:rPr>
          <w:rFonts w:asciiTheme="majorBidi" w:hAnsiTheme="majorBidi" w:cstheme="majorBidi"/>
          <w:b/>
          <w:bCs/>
          <w:sz w:val="24"/>
          <w:szCs w:val="24"/>
          <w:u w:val="single"/>
        </w:rPr>
        <w:t>M</w:t>
      </w:r>
      <w:r w:rsidR="009E4E46" w:rsidRPr="00952B0B">
        <w:rPr>
          <w:rFonts w:asciiTheme="majorBidi" w:hAnsiTheme="majorBidi" w:cstheme="majorBidi"/>
          <w:b/>
          <w:bCs/>
          <w:sz w:val="24"/>
          <w:szCs w:val="24"/>
          <w:u w:val="single"/>
        </w:rPr>
        <w:t xml:space="preserve">inority </w:t>
      </w:r>
      <w:r w:rsidR="0009683B" w:rsidRPr="00952B0B">
        <w:rPr>
          <w:rFonts w:asciiTheme="majorBidi" w:hAnsiTheme="majorBidi" w:cstheme="majorBidi"/>
          <w:b/>
          <w:bCs/>
          <w:sz w:val="24"/>
          <w:szCs w:val="24"/>
          <w:u w:val="single"/>
        </w:rPr>
        <w:t>C</w:t>
      </w:r>
      <w:r w:rsidR="009E4E46" w:rsidRPr="00952B0B">
        <w:rPr>
          <w:rFonts w:asciiTheme="majorBidi" w:hAnsiTheme="majorBidi" w:cstheme="majorBidi"/>
          <w:b/>
          <w:bCs/>
          <w:sz w:val="24"/>
          <w:szCs w:val="24"/>
          <w:u w:val="single"/>
        </w:rPr>
        <w:t>ommunities</w:t>
      </w:r>
    </w:p>
    <w:p w14:paraId="57459E62" w14:textId="77777777" w:rsidR="00952B0B" w:rsidRDefault="00952B0B" w:rsidP="00DB6451">
      <w:pPr>
        <w:bidi w:val="0"/>
        <w:spacing w:before="240" w:line="360" w:lineRule="auto"/>
        <w:jc w:val="both"/>
        <w:rPr>
          <w:rFonts w:asciiTheme="majorBidi" w:hAnsiTheme="majorBidi" w:cstheme="majorBidi"/>
          <w:sz w:val="24"/>
          <w:szCs w:val="24"/>
        </w:rPr>
      </w:pPr>
    </w:p>
    <w:p w14:paraId="24D9F2E4" w14:textId="77777777" w:rsidR="00E6239C" w:rsidRPr="00952B0B" w:rsidRDefault="00E6239C" w:rsidP="00DB6451">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 xml:space="preserve">The State of Israel respectfully submits its contribution in relation to the above-mentioned questionnaire. </w:t>
      </w:r>
    </w:p>
    <w:p w14:paraId="5847CDC6" w14:textId="77777777" w:rsidR="00952B0B" w:rsidRDefault="00952B0B" w:rsidP="00DB6451">
      <w:pPr>
        <w:bidi w:val="0"/>
        <w:spacing w:before="240" w:line="360" w:lineRule="auto"/>
        <w:jc w:val="both"/>
        <w:rPr>
          <w:rFonts w:asciiTheme="majorBidi" w:hAnsiTheme="majorBidi" w:cstheme="majorBidi"/>
          <w:b/>
          <w:bCs/>
          <w:sz w:val="24"/>
          <w:szCs w:val="24"/>
          <w:u w:val="single"/>
        </w:rPr>
      </w:pPr>
    </w:p>
    <w:p w14:paraId="55AE0091" w14:textId="77777777" w:rsidR="009E4E46" w:rsidRPr="00952B0B" w:rsidRDefault="009E4E46" w:rsidP="00DB6451">
      <w:pPr>
        <w:bidi w:val="0"/>
        <w:spacing w:before="240" w:line="360" w:lineRule="auto"/>
        <w:jc w:val="both"/>
        <w:rPr>
          <w:rFonts w:asciiTheme="majorBidi" w:hAnsiTheme="majorBidi" w:cstheme="majorBidi"/>
          <w:b/>
          <w:bCs/>
          <w:sz w:val="24"/>
          <w:szCs w:val="24"/>
          <w:u w:val="single"/>
        </w:rPr>
      </w:pPr>
      <w:r w:rsidRPr="00952B0B">
        <w:rPr>
          <w:rFonts w:asciiTheme="majorBidi" w:hAnsiTheme="majorBidi" w:cstheme="majorBidi"/>
          <w:b/>
          <w:bCs/>
          <w:sz w:val="24"/>
          <w:szCs w:val="24"/>
          <w:u w:val="single"/>
        </w:rPr>
        <w:t>Minorities Subjected to Contemporary Forms of Slavery</w:t>
      </w:r>
    </w:p>
    <w:p w14:paraId="0F589A23" w14:textId="77777777" w:rsidR="00117490" w:rsidRPr="00952B0B" w:rsidRDefault="00117490" w:rsidP="00DB6451">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The Government of Israel is committed to combatting the phenomenon of trafficking in persons at large</w:t>
      </w:r>
      <w:r w:rsidR="00FA1292" w:rsidRPr="00952B0B">
        <w:rPr>
          <w:rFonts w:asciiTheme="majorBidi" w:hAnsiTheme="majorBidi" w:cstheme="majorBidi"/>
          <w:sz w:val="24"/>
          <w:szCs w:val="24"/>
        </w:rPr>
        <w:t>, as well as contemporary forms of slavery</w:t>
      </w:r>
      <w:r w:rsidRPr="00952B0B">
        <w:rPr>
          <w:rFonts w:asciiTheme="majorBidi" w:hAnsiTheme="majorBidi" w:cstheme="majorBidi"/>
          <w:sz w:val="24"/>
          <w:szCs w:val="24"/>
        </w:rPr>
        <w:t>. The Government focuses on both aspects of prevention and awareness</w:t>
      </w:r>
      <w:r w:rsidR="00B713F5">
        <w:rPr>
          <w:rFonts w:asciiTheme="majorBidi" w:hAnsiTheme="majorBidi" w:cstheme="majorBidi"/>
          <w:sz w:val="24"/>
          <w:szCs w:val="24"/>
        </w:rPr>
        <w:t xml:space="preserve"> </w:t>
      </w:r>
      <w:r w:rsidRPr="00952B0B">
        <w:rPr>
          <w:rFonts w:asciiTheme="majorBidi" w:hAnsiTheme="majorBidi" w:cstheme="majorBidi"/>
          <w:sz w:val="24"/>
          <w:szCs w:val="24"/>
        </w:rPr>
        <w:t>raising, alongside rigorous prosecution in relevant cases</w:t>
      </w:r>
      <w:r w:rsidR="00DF3880" w:rsidRPr="00952B0B">
        <w:rPr>
          <w:rFonts w:asciiTheme="majorBidi" w:hAnsiTheme="majorBidi" w:cstheme="majorBidi"/>
          <w:sz w:val="24"/>
          <w:szCs w:val="24"/>
        </w:rPr>
        <w:t xml:space="preserve"> and measures to protect and empower victims</w:t>
      </w:r>
      <w:r w:rsidRPr="00952B0B">
        <w:rPr>
          <w:rFonts w:asciiTheme="majorBidi" w:hAnsiTheme="majorBidi" w:cstheme="majorBidi"/>
          <w:sz w:val="24"/>
          <w:szCs w:val="24"/>
        </w:rPr>
        <w:t xml:space="preserve">. Hereinafter is an outline of </w:t>
      </w:r>
      <w:r w:rsidR="00B713F5" w:rsidRPr="00952B0B">
        <w:rPr>
          <w:rFonts w:asciiTheme="majorBidi" w:hAnsiTheme="majorBidi" w:cstheme="majorBidi"/>
          <w:sz w:val="24"/>
          <w:szCs w:val="24"/>
        </w:rPr>
        <w:t>cases that</w:t>
      </w:r>
      <w:r w:rsidRPr="00952B0B">
        <w:rPr>
          <w:rFonts w:asciiTheme="majorBidi" w:hAnsiTheme="majorBidi" w:cstheme="majorBidi"/>
          <w:sz w:val="24"/>
          <w:szCs w:val="24"/>
        </w:rPr>
        <w:t xml:space="preserve"> have been identified, as well as examples of </w:t>
      </w:r>
      <w:r w:rsidR="0009683B" w:rsidRPr="00952B0B">
        <w:rPr>
          <w:rFonts w:asciiTheme="majorBidi" w:hAnsiTheme="majorBidi" w:cstheme="majorBidi"/>
          <w:sz w:val="24"/>
          <w:szCs w:val="24"/>
        </w:rPr>
        <w:t xml:space="preserve">some of </w:t>
      </w:r>
      <w:r w:rsidRPr="00952B0B">
        <w:rPr>
          <w:rFonts w:asciiTheme="majorBidi" w:hAnsiTheme="majorBidi" w:cstheme="majorBidi"/>
          <w:sz w:val="24"/>
          <w:szCs w:val="24"/>
        </w:rPr>
        <w:t xml:space="preserve">the prevention </w:t>
      </w:r>
      <w:r w:rsidR="00DF3880" w:rsidRPr="00952B0B">
        <w:rPr>
          <w:rFonts w:asciiTheme="majorBidi" w:hAnsiTheme="majorBidi" w:cstheme="majorBidi"/>
          <w:sz w:val="24"/>
          <w:szCs w:val="24"/>
        </w:rPr>
        <w:t xml:space="preserve">and protection </w:t>
      </w:r>
      <w:r w:rsidRPr="00952B0B">
        <w:rPr>
          <w:rFonts w:asciiTheme="majorBidi" w:hAnsiTheme="majorBidi" w:cstheme="majorBidi"/>
          <w:sz w:val="24"/>
          <w:szCs w:val="24"/>
        </w:rPr>
        <w:t xml:space="preserve">actions the Government conducts. Israel acknowledges the added vulnerability that </w:t>
      </w:r>
      <w:r w:rsidR="00DF3880" w:rsidRPr="00952B0B">
        <w:rPr>
          <w:rFonts w:asciiTheme="majorBidi" w:hAnsiTheme="majorBidi" w:cstheme="majorBidi"/>
          <w:sz w:val="24"/>
          <w:szCs w:val="24"/>
        </w:rPr>
        <w:t xml:space="preserve">persons belonging to </w:t>
      </w:r>
      <w:r w:rsidRPr="00952B0B">
        <w:rPr>
          <w:rFonts w:asciiTheme="majorBidi" w:hAnsiTheme="majorBidi" w:cstheme="majorBidi"/>
          <w:sz w:val="24"/>
          <w:szCs w:val="24"/>
        </w:rPr>
        <w:t xml:space="preserve">minorities face, and therefore, as will be demonstrated, many actions specifically address </w:t>
      </w:r>
      <w:r w:rsidR="0009683B" w:rsidRPr="00952B0B">
        <w:rPr>
          <w:rFonts w:asciiTheme="majorBidi" w:hAnsiTheme="majorBidi" w:cstheme="majorBidi"/>
          <w:sz w:val="24"/>
          <w:szCs w:val="24"/>
        </w:rPr>
        <w:t>minority communities</w:t>
      </w:r>
      <w:r w:rsidRPr="00952B0B">
        <w:rPr>
          <w:rFonts w:asciiTheme="majorBidi" w:hAnsiTheme="majorBidi" w:cstheme="majorBidi"/>
          <w:sz w:val="24"/>
          <w:szCs w:val="24"/>
        </w:rPr>
        <w:t xml:space="preserve">.  </w:t>
      </w:r>
    </w:p>
    <w:p w14:paraId="551DF3ED" w14:textId="77777777" w:rsidR="00117490" w:rsidRPr="00952B0B" w:rsidRDefault="00FA1292" w:rsidP="00DB6451">
      <w:pPr>
        <w:pStyle w:val="ListParagraph"/>
        <w:numPr>
          <w:ilvl w:val="0"/>
          <w:numId w:val="13"/>
        </w:numPr>
        <w:bidi w:val="0"/>
        <w:spacing w:before="240" w:line="360" w:lineRule="auto"/>
        <w:jc w:val="both"/>
        <w:rPr>
          <w:rFonts w:asciiTheme="majorBidi" w:hAnsiTheme="majorBidi" w:cstheme="majorBidi"/>
          <w:b/>
          <w:bCs/>
          <w:sz w:val="24"/>
          <w:szCs w:val="24"/>
          <w:u w:val="single"/>
        </w:rPr>
      </w:pPr>
      <w:r w:rsidRPr="00952B0B">
        <w:rPr>
          <w:rFonts w:asciiTheme="majorBidi" w:hAnsiTheme="majorBidi" w:cstheme="majorBidi"/>
          <w:b/>
          <w:bCs/>
          <w:sz w:val="24"/>
          <w:szCs w:val="24"/>
          <w:u w:val="single"/>
        </w:rPr>
        <w:lastRenderedPageBreak/>
        <w:t xml:space="preserve">Enforcement and </w:t>
      </w:r>
      <w:r w:rsidR="00117490" w:rsidRPr="00952B0B">
        <w:rPr>
          <w:rFonts w:asciiTheme="majorBidi" w:hAnsiTheme="majorBidi" w:cstheme="majorBidi"/>
          <w:b/>
          <w:bCs/>
          <w:sz w:val="24"/>
          <w:szCs w:val="24"/>
          <w:u w:val="single"/>
        </w:rPr>
        <w:t>Prosecution</w:t>
      </w:r>
    </w:p>
    <w:p w14:paraId="7923A250" w14:textId="77777777" w:rsidR="0008531E" w:rsidRPr="00952B0B" w:rsidRDefault="0008531E" w:rsidP="00DB6451">
      <w:pPr>
        <w:bidi w:val="0"/>
        <w:spacing w:before="240" w:line="360" w:lineRule="auto"/>
        <w:jc w:val="both"/>
        <w:rPr>
          <w:rFonts w:asciiTheme="majorBidi" w:hAnsiTheme="majorBidi" w:cstheme="majorBidi"/>
          <w:b/>
          <w:bCs/>
          <w:sz w:val="24"/>
          <w:szCs w:val="24"/>
        </w:rPr>
      </w:pPr>
      <w:r w:rsidRPr="00952B0B">
        <w:rPr>
          <w:rFonts w:asciiTheme="majorBidi" w:hAnsiTheme="majorBidi" w:cstheme="majorBidi"/>
          <w:b/>
          <w:bCs/>
          <w:sz w:val="24"/>
          <w:szCs w:val="24"/>
        </w:rPr>
        <w:t>Inter-Ministerial Cooperation</w:t>
      </w:r>
    </w:p>
    <w:p w14:paraId="6716C162" w14:textId="77777777" w:rsidR="0008531E" w:rsidRPr="00952B0B" w:rsidRDefault="00195B3D" w:rsidP="009C413E">
      <w:pPr>
        <w:bidi w:val="0"/>
        <w:spacing w:before="240" w:line="360" w:lineRule="auto"/>
        <w:jc w:val="both"/>
        <w:rPr>
          <w:rFonts w:asciiTheme="majorBidi" w:hAnsiTheme="majorBidi" w:cstheme="majorBidi"/>
          <w:sz w:val="24"/>
          <w:szCs w:val="24"/>
        </w:rPr>
      </w:pPr>
      <w:r>
        <w:rPr>
          <w:rFonts w:asciiTheme="majorBidi" w:eastAsia="Arial Unicode MS" w:hAnsiTheme="majorBidi" w:cstheme="majorBidi"/>
          <w:sz w:val="24"/>
          <w:szCs w:val="24"/>
          <w:lang w:eastAsia="he-IL"/>
        </w:rPr>
        <w:t>A</w:t>
      </w:r>
      <w:r w:rsidRPr="00952B0B">
        <w:rPr>
          <w:rFonts w:asciiTheme="majorBidi" w:eastAsia="Arial Unicode MS" w:hAnsiTheme="majorBidi" w:cstheme="majorBidi"/>
          <w:sz w:val="24"/>
          <w:szCs w:val="24"/>
          <w:lang w:eastAsia="he-IL"/>
        </w:rPr>
        <w:t xml:space="preserve"> </w:t>
      </w:r>
      <w:r w:rsidR="0008531E" w:rsidRPr="00952B0B">
        <w:rPr>
          <w:rFonts w:asciiTheme="majorBidi" w:eastAsia="Arial Unicode MS" w:hAnsiTheme="majorBidi" w:cstheme="majorBidi"/>
          <w:sz w:val="24"/>
          <w:szCs w:val="24"/>
          <w:lang w:eastAsia="he-IL"/>
        </w:rPr>
        <w:t>new joint task force on Prosecution and Investigation was launched on January 20, 2021</w:t>
      </w:r>
      <w:r w:rsidR="00865DCE">
        <w:rPr>
          <w:rFonts w:asciiTheme="majorBidi" w:eastAsia="Arial Unicode MS" w:hAnsiTheme="majorBidi" w:cstheme="majorBidi"/>
          <w:sz w:val="24"/>
          <w:szCs w:val="24"/>
          <w:lang w:eastAsia="he-IL"/>
        </w:rPr>
        <w:t xml:space="preserve">. Its </w:t>
      </w:r>
      <w:r w:rsidR="0008531E" w:rsidRPr="00952B0B">
        <w:rPr>
          <w:rFonts w:asciiTheme="majorBidi" w:eastAsia="Arial Unicode MS" w:hAnsiTheme="majorBidi" w:cstheme="majorBidi"/>
          <w:sz w:val="24"/>
          <w:szCs w:val="24"/>
          <w:lang w:eastAsia="he-IL"/>
        </w:rPr>
        <w:t xml:space="preserve">first meeting </w:t>
      </w:r>
      <w:r w:rsidR="00865DCE">
        <w:rPr>
          <w:rFonts w:asciiTheme="majorBidi" w:eastAsia="Arial Unicode MS" w:hAnsiTheme="majorBidi" w:cstheme="majorBidi"/>
          <w:sz w:val="24"/>
          <w:szCs w:val="24"/>
          <w:lang w:eastAsia="he-IL"/>
        </w:rPr>
        <w:t xml:space="preserve">was </w:t>
      </w:r>
      <w:r w:rsidR="0008531E" w:rsidRPr="00952B0B">
        <w:rPr>
          <w:rFonts w:asciiTheme="majorBidi" w:eastAsia="Arial Unicode MS" w:hAnsiTheme="majorBidi" w:cstheme="majorBidi"/>
          <w:sz w:val="24"/>
          <w:szCs w:val="24"/>
          <w:lang w:eastAsia="he-IL"/>
        </w:rPr>
        <w:t xml:space="preserve">opened by the acting head of </w:t>
      </w:r>
      <w:r w:rsidR="00B713F5">
        <w:rPr>
          <w:rFonts w:asciiTheme="majorBidi" w:eastAsia="Arial Unicode MS" w:hAnsiTheme="majorBidi" w:cstheme="majorBidi"/>
          <w:sz w:val="24"/>
          <w:szCs w:val="24"/>
          <w:lang w:eastAsia="he-IL"/>
        </w:rPr>
        <w:t xml:space="preserve">the </w:t>
      </w:r>
      <w:r w:rsidR="0008531E" w:rsidRPr="00952B0B">
        <w:rPr>
          <w:rFonts w:asciiTheme="majorBidi" w:eastAsia="Arial Unicode MS" w:hAnsiTheme="majorBidi" w:cstheme="majorBidi"/>
          <w:sz w:val="24"/>
          <w:szCs w:val="24"/>
          <w:lang w:eastAsia="he-IL"/>
        </w:rPr>
        <w:t xml:space="preserve">Investigations Branch in the Israeli Police, the Deputy to the State Attorney (Criminal </w:t>
      </w:r>
      <w:r w:rsidR="00702395">
        <w:rPr>
          <w:rFonts w:asciiTheme="majorBidi" w:eastAsia="Arial Unicode MS" w:hAnsiTheme="majorBidi" w:cstheme="majorBidi"/>
          <w:sz w:val="24"/>
          <w:szCs w:val="24"/>
          <w:lang w:eastAsia="he-IL"/>
        </w:rPr>
        <w:t>M</w:t>
      </w:r>
      <w:r w:rsidR="00702395" w:rsidRPr="00952B0B">
        <w:rPr>
          <w:rFonts w:asciiTheme="majorBidi" w:eastAsia="Arial Unicode MS" w:hAnsiTheme="majorBidi" w:cstheme="majorBidi"/>
          <w:sz w:val="24"/>
          <w:szCs w:val="24"/>
          <w:lang w:eastAsia="he-IL"/>
        </w:rPr>
        <w:t>atters</w:t>
      </w:r>
      <w:r w:rsidR="0008531E" w:rsidRPr="00952B0B">
        <w:rPr>
          <w:rFonts w:asciiTheme="majorBidi" w:eastAsia="Arial Unicode MS" w:hAnsiTheme="majorBidi" w:cstheme="majorBidi"/>
          <w:sz w:val="24"/>
          <w:szCs w:val="24"/>
          <w:lang w:eastAsia="he-IL"/>
        </w:rPr>
        <w:t xml:space="preserve">) in the Ministry of Justice, the Police Trafficking Coordination Unit and the </w:t>
      </w:r>
      <w:r w:rsidR="0008531E" w:rsidRPr="00952B0B">
        <w:rPr>
          <w:rFonts w:asciiTheme="majorBidi" w:eastAsia="Times New Roman" w:hAnsiTheme="majorBidi" w:cstheme="majorBidi"/>
          <w:sz w:val="24"/>
          <w:szCs w:val="24"/>
          <w:lang w:eastAsia="he-IL"/>
        </w:rPr>
        <w:t xml:space="preserve">National Anti-Trafficking Unit </w:t>
      </w:r>
      <w:r w:rsidR="0008531E" w:rsidRPr="00952B0B">
        <w:rPr>
          <w:rFonts w:asciiTheme="majorBidi" w:eastAsia="Arial Unicode MS" w:hAnsiTheme="majorBidi" w:cstheme="majorBidi"/>
          <w:sz w:val="24"/>
          <w:szCs w:val="24"/>
          <w:lang w:eastAsia="he-IL"/>
        </w:rPr>
        <w:t xml:space="preserve">coordinator. The joint task force </w:t>
      </w:r>
      <w:proofErr w:type="spellStart"/>
      <w:r w:rsidR="0008531E" w:rsidRPr="00952B0B">
        <w:rPr>
          <w:rFonts w:asciiTheme="majorBidi" w:eastAsia="Arial Unicode MS" w:hAnsiTheme="majorBidi" w:cstheme="majorBidi"/>
          <w:sz w:val="24"/>
          <w:szCs w:val="24"/>
          <w:lang w:eastAsia="he-IL"/>
        </w:rPr>
        <w:t>aime</w:t>
      </w:r>
      <w:r w:rsidR="00B713F5">
        <w:rPr>
          <w:rFonts w:asciiTheme="majorBidi" w:eastAsia="Arial Unicode MS" w:hAnsiTheme="majorBidi" w:cstheme="majorBidi"/>
          <w:sz w:val="24"/>
          <w:szCs w:val="24"/>
          <w:lang w:eastAsia="he-IL"/>
        </w:rPr>
        <w:t>s</w:t>
      </w:r>
      <w:proofErr w:type="spellEnd"/>
      <w:r w:rsidR="0008531E" w:rsidRPr="00952B0B">
        <w:rPr>
          <w:rFonts w:asciiTheme="majorBidi" w:eastAsia="Arial Unicode MS" w:hAnsiTheme="majorBidi" w:cstheme="majorBidi"/>
          <w:sz w:val="24"/>
          <w:szCs w:val="24"/>
          <w:lang w:eastAsia="he-IL"/>
        </w:rPr>
        <w:t xml:space="preserve"> at </w:t>
      </w:r>
      <w:r w:rsidR="0008531E" w:rsidRPr="00952B0B">
        <w:rPr>
          <w:rStyle w:val="normaltextrun"/>
          <w:rFonts w:asciiTheme="majorBidi" w:hAnsiTheme="majorBidi" w:cstheme="majorBidi"/>
          <w:sz w:val="24"/>
          <w:szCs w:val="24"/>
        </w:rPr>
        <w:t>significantly increasing investigations, prosecutions, and convictions of labor traffickers, including potential trafficking cases referred by NGOs.</w:t>
      </w:r>
      <w:r w:rsidR="0008531E" w:rsidRPr="00952B0B">
        <w:rPr>
          <w:rFonts w:asciiTheme="majorBidi" w:hAnsiTheme="majorBidi" w:cstheme="majorBidi"/>
          <w:sz w:val="24"/>
          <w:szCs w:val="24"/>
        </w:rPr>
        <w:t> </w:t>
      </w:r>
      <w:r w:rsidR="0008531E" w:rsidRPr="00952B0B">
        <w:rPr>
          <w:rFonts w:asciiTheme="majorBidi" w:eastAsia="Arial Unicode MS" w:hAnsiTheme="majorBidi" w:cstheme="majorBidi"/>
          <w:sz w:val="24"/>
          <w:szCs w:val="24"/>
          <w:lang w:eastAsia="he-IL"/>
        </w:rPr>
        <w:t>The purpose of the task force is to strengthen the interfaces and collaboration between the investigation units, and the State Attorney's Office - the district coordinators. This common forum was established for the Prosecution coordinators o</w:t>
      </w:r>
      <w:r w:rsidR="00B713F5">
        <w:rPr>
          <w:rFonts w:asciiTheme="majorBidi" w:eastAsia="Arial Unicode MS" w:hAnsiTheme="majorBidi" w:cstheme="majorBidi"/>
          <w:sz w:val="24"/>
          <w:szCs w:val="24"/>
          <w:lang w:eastAsia="he-IL"/>
        </w:rPr>
        <w:t>n</w:t>
      </w:r>
      <w:r w:rsidR="0008531E" w:rsidRPr="00952B0B">
        <w:rPr>
          <w:rFonts w:asciiTheme="majorBidi" w:eastAsia="Arial Unicode MS" w:hAnsiTheme="majorBidi" w:cstheme="majorBidi"/>
          <w:sz w:val="24"/>
          <w:szCs w:val="24"/>
          <w:lang w:eastAsia="he-IL"/>
        </w:rPr>
        <w:t xml:space="preserve"> human trafficking in the State Attorney's Office together with headquarters officers and intelligence officers' coordinators in the Police who are in charge of this field, and will convene quarterly. The forum promote</w:t>
      </w:r>
      <w:r w:rsidR="009C413E">
        <w:rPr>
          <w:rFonts w:asciiTheme="majorBidi" w:eastAsia="Arial Unicode MS" w:hAnsiTheme="majorBidi" w:cstheme="majorBidi"/>
          <w:sz w:val="24"/>
          <w:szCs w:val="24"/>
          <w:lang w:eastAsia="he-IL"/>
        </w:rPr>
        <w:t>s</w:t>
      </w:r>
      <w:r w:rsidR="0008531E" w:rsidRPr="00952B0B">
        <w:rPr>
          <w:rFonts w:asciiTheme="majorBidi" w:eastAsia="Arial Unicode MS" w:hAnsiTheme="majorBidi" w:cstheme="majorBidi"/>
          <w:sz w:val="24"/>
          <w:szCs w:val="24"/>
          <w:lang w:eastAsia="he-IL"/>
        </w:rPr>
        <w:t xml:space="preserve"> the sharing of knowledge, information and experience</w:t>
      </w:r>
      <w:r w:rsidR="009C413E">
        <w:rPr>
          <w:rFonts w:asciiTheme="majorBidi" w:eastAsia="Arial Unicode MS" w:hAnsiTheme="majorBidi" w:cstheme="majorBidi"/>
          <w:sz w:val="24"/>
          <w:szCs w:val="24"/>
          <w:lang w:eastAsia="he-IL"/>
        </w:rPr>
        <w:t>,</w:t>
      </w:r>
      <w:r w:rsidR="0008531E" w:rsidRPr="00952B0B">
        <w:rPr>
          <w:rFonts w:asciiTheme="majorBidi" w:eastAsia="Arial Unicode MS" w:hAnsiTheme="majorBidi" w:cstheme="majorBidi"/>
          <w:sz w:val="24"/>
          <w:szCs w:val="24"/>
          <w:lang w:eastAsia="he-IL"/>
        </w:rPr>
        <w:t xml:space="preserve"> and </w:t>
      </w:r>
      <w:r w:rsidR="0008531E" w:rsidRPr="00952B0B">
        <w:rPr>
          <w:rStyle w:val="normaltextrun"/>
          <w:rFonts w:asciiTheme="majorBidi" w:hAnsiTheme="majorBidi" w:cstheme="majorBidi"/>
          <w:sz w:val="24"/>
          <w:szCs w:val="24"/>
        </w:rPr>
        <w:t>review</w:t>
      </w:r>
      <w:r w:rsidR="009C413E">
        <w:rPr>
          <w:rStyle w:val="normaltextrun"/>
          <w:rFonts w:asciiTheme="majorBidi" w:hAnsiTheme="majorBidi" w:cstheme="majorBidi"/>
          <w:sz w:val="24"/>
          <w:szCs w:val="24"/>
        </w:rPr>
        <w:t>s</w:t>
      </w:r>
      <w:r w:rsidR="0008531E" w:rsidRPr="00952B0B">
        <w:rPr>
          <w:rStyle w:val="normaltextrun"/>
          <w:rFonts w:asciiTheme="majorBidi" w:hAnsiTheme="majorBidi" w:cstheme="majorBidi"/>
          <w:sz w:val="24"/>
          <w:szCs w:val="24"/>
        </w:rPr>
        <w:t xml:space="preserve"> cases that</w:t>
      </w:r>
      <w:r w:rsidR="0008531E" w:rsidRPr="00952B0B">
        <w:rPr>
          <w:rFonts w:asciiTheme="majorBidi" w:hAnsiTheme="majorBidi" w:cstheme="majorBidi"/>
          <w:sz w:val="24"/>
          <w:szCs w:val="24"/>
        </w:rPr>
        <w:t xml:space="preserve"> could</w:t>
      </w:r>
      <w:r w:rsidR="009C413E">
        <w:rPr>
          <w:rFonts w:asciiTheme="majorBidi" w:hAnsiTheme="majorBidi" w:cstheme="majorBidi"/>
          <w:sz w:val="24"/>
          <w:szCs w:val="24"/>
        </w:rPr>
        <w:t xml:space="preserve"> potentially develop into</w:t>
      </w:r>
      <w:r w:rsidR="0008531E" w:rsidRPr="00952B0B">
        <w:rPr>
          <w:rFonts w:asciiTheme="majorBidi" w:hAnsiTheme="majorBidi" w:cstheme="majorBidi"/>
          <w:sz w:val="24"/>
          <w:szCs w:val="24"/>
        </w:rPr>
        <w:t xml:space="preserve"> sex and labor trafficking cases.</w:t>
      </w:r>
    </w:p>
    <w:p w14:paraId="6F05C336" w14:textId="77777777" w:rsidR="00117490" w:rsidRPr="00952B0B" w:rsidRDefault="00DF3880" w:rsidP="00DB6451">
      <w:pPr>
        <w:bidi w:val="0"/>
        <w:spacing w:before="240" w:line="360" w:lineRule="auto"/>
        <w:jc w:val="both"/>
        <w:rPr>
          <w:rFonts w:asciiTheme="majorBidi" w:hAnsiTheme="majorBidi" w:cstheme="majorBidi"/>
          <w:b/>
          <w:bCs/>
          <w:sz w:val="24"/>
          <w:szCs w:val="24"/>
        </w:rPr>
      </w:pPr>
      <w:r w:rsidRPr="00952B0B">
        <w:rPr>
          <w:rFonts w:asciiTheme="majorBidi" w:hAnsiTheme="majorBidi" w:cstheme="majorBidi"/>
          <w:b/>
          <w:bCs/>
          <w:sz w:val="24"/>
          <w:szCs w:val="24"/>
        </w:rPr>
        <w:t>Holding a Person u</w:t>
      </w:r>
      <w:r w:rsidR="00117490" w:rsidRPr="00952B0B">
        <w:rPr>
          <w:rFonts w:asciiTheme="majorBidi" w:hAnsiTheme="majorBidi" w:cstheme="majorBidi"/>
          <w:b/>
          <w:bCs/>
          <w:sz w:val="24"/>
          <w:szCs w:val="24"/>
        </w:rPr>
        <w:t>nder Conditions of Slavery</w:t>
      </w:r>
    </w:p>
    <w:p w14:paraId="4B1EDD10" w14:textId="77777777" w:rsidR="009E4E46" w:rsidRPr="00952B0B" w:rsidRDefault="009E4E46" w:rsidP="00DB6451">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The State Attorney's Office is involved in investigations where there is suspicion of holding a person under conditions of slavery or forced labor from the early stages, recognizing the importance of creating a clear and universal policy of enforcement. This includes defining the type of evidence</w:t>
      </w:r>
      <w:r w:rsidRPr="00952B0B">
        <w:rPr>
          <w:rFonts w:asciiTheme="majorBidi" w:hAnsiTheme="majorBidi" w:cstheme="majorBidi"/>
          <w:sz w:val="24"/>
          <w:szCs w:val="24"/>
          <w:rtl/>
          <w:lang w:eastAsia="he-IL"/>
        </w:rPr>
        <w:t xml:space="preserve"> </w:t>
      </w:r>
      <w:r w:rsidRPr="00952B0B">
        <w:rPr>
          <w:rFonts w:asciiTheme="majorBidi" w:hAnsiTheme="majorBidi" w:cstheme="majorBidi"/>
          <w:sz w:val="24"/>
          <w:szCs w:val="24"/>
        </w:rPr>
        <w:t xml:space="preserve">to be gathered by the investigating unit, making a legal determination on the type of cases that warrant indictment in each offense, and </w:t>
      </w:r>
      <w:r w:rsidR="00FA1292" w:rsidRPr="00952B0B">
        <w:rPr>
          <w:rFonts w:asciiTheme="majorBidi" w:hAnsiTheme="majorBidi" w:cstheme="majorBidi"/>
          <w:sz w:val="24"/>
          <w:szCs w:val="24"/>
        </w:rPr>
        <w:t>bringing</w:t>
      </w:r>
      <w:r w:rsidRPr="00952B0B">
        <w:rPr>
          <w:rFonts w:asciiTheme="majorBidi" w:hAnsiTheme="majorBidi" w:cstheme="majorBidi"/>
          <w:sz w:val="24"/>
          <w:szCs w:val="24"/>
        </w:rPr>
        <w:t xml:space="preserve"> appropriate cases before the Courts</w:t>
      </w:r>
      <w:r w:rsidR="00FA1292" w:rsidRPr="00952B0B">
        <w:rPr>
          <w:rFonts w:asciiTheme="majorBidi" w:hAnsiTheme="majorBidi" w:cstheme="majorBidi"/>
          <w:sz w:val="24"/>
          <w:szCs w:val="24"/>
        </w:rPr>
        <w:t xml:space="preserve">, in order </w:t>
      </w:r>
      <w:r w:rsidRPr="00952B0B">
        <w:rPr>
          <w:rFonts w:asciiTheme="majorBidi" w:hAnsiTheme="majorBidi" w:cstheme="majorBidi"/>
          <w:sz w:val="24"/>
          <w:szCs w:val="24"/>
        </w:rPr>
        <w:t>to assist and lead an effective long-term process of prosecution and deterrence.</w:t>
      </w:r>
    </w:p>
    <w:p w14:paraId="7A137EC2" w14:textId="77777777" w:rsidR="0009683B" w:rsidRPr="00952B0B" w:rsidRDefault="00897294" w:rsidP="00FE6A6C">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For example, o</w:t>
      </w:r>
      <w:r w:rsidR="009E4E46" w:rsidRPr="00952B0B">
        <w:rPr>
          <w:rFonts w:asciiTheme="majorBidi" w:hAnsiTheme="majorBidi" w:cstheme="majorBidi"/>
          <w:sz w:val="24"/>
          <w:szCs w:val="24"/>
        </w:rPr>
        <w:t>n December 3</w:t>
      </w:r>
      <w:r w:rsidR="009E4E46" w:rsidRPr="00952B0B">
        <w:rPr>
          <w:rFonts w:asciiTheme="majorBidi" w:hAnsiTheme="majorBidi" w:cstheme="majorBidi"/>
          <w:sz w:val="24"/>
          <w:szCs w:val="24"/>
          <w:vertAlign w:val="superscript"/>
        </w:rPr>
        <w:t>rd</w:t>
      </w:r>
      <w:r w:rsidR="009E4E46" w:rsidRPr="00952B0B">
        <w:rPr>
          <w:rFonts w:asciiTheme="majorBidi" w:hAnsiTheme="majorBidi" w:cstheme="majorBidi"/>
          <w:sz w:val="24"/>
          <w:szCs w:val="24"/>
        </w:rPr>
        <w:t>, 2020, a dec</w:t>
      </w:r>
      <w:r w:rsidR="00644BBC" w:rsidRPr="00952B0B">
        <w:rPr>
          <w:rFonts w:asciiTheme="majorBidi" w:hAnsiTheme="majorBidi" w:cstheme="majorBidi"/>
          <w:sz w:val="24"/>
          <w:szCs w:val="24"/>
        </w:rPr>
        <w:t>ision was given in the case of t</w:t>
      </w:r>
      <w:r w:rsidR="009E4E46" w:rsidRPr="00952B0B">
        <w:rPr>
          <w:rFonts w:asciiTheme="majorBidi" w:hAnsiTheme="majorBidi" w:cstheme="majorBidi"/>
          <w:sz w:val="24"/>
          <w:szCs w:val="24"/>
        </w:rPr>
        <w:t xml:space="preserve">he </w:t>
      </w:r>
      <w:r w:rsidR="009E4E46" w:rsidRPr="00DB6451">
        <w:rPr>
          <w:rFonts w:asciiTheme="majorBidi" w:hAnsiTheme="majorBidi" w:cstheme="majorBidi"/>
          <w:i/>
          <w:iCs/>
          <w:sz w:val="24"/>
          <w:szCs w:val="24"/>
        </w:rPr>
        <w:t xml:space="preserve">State of Israel v. </w:t>
      </w:r>
      <w:proofErr w:type="spellStart"/>
      <w:r w:rsidR="009E4E46" w:rsidRPr="00DB6451">
        <w:rPr>
          <w:rFonts w:asciiTheme="majorBidi" w:hAnsiTheme="majorBidi" w:cstheme="majorBidi"/>
          <w:i/>
          <w:iCs/>
          <w:sz w:val="24"/>
          <w:szCs w:val="24"/>
        </w:rPr>
        <w:t>Jabor</w:t>
      </w:r>
      <w:proofErr w:type="spellEnd"/>
      <w:r w:rsidR="009E4E46" w:rsidRPr="00952B0B">
        <w:rPr>
          <w:rFonts w:asciiTheme="majorBidi" w:hAnsiTheme="majorBidi" w:cstheme="majorBidi"/>
          <w:sz w:val="24"/>
          <w:szCs w:val="24"/>
        </w:rPr>
        <w:t>.</w:t>
      </w:r>
      <w:r w:rsidRPr="00952B0B">
        <w:rPr>
          <w:rStyle w:val="FootnoteReference"/>
          <w:rFonts w:asciiTheme="majorBidi" w:hAnsiTheme="majorBidi" w:cstheme="majorBidi"/>
          <w:sz w:val="24"/>
          <w:szCs w:val="24"/>
        </w:rPr>
        <w:footnoteReference w:id="1"/>
      </w:r>
      <w:r w:rsidR="009E4E46" w:rsidRPr="00952B0B">
        <w:rPr>
          <w:rFonts w:asciiTheme="majorBidi" w:hAnsiTheme="majorBidi" w:cstheme="majorBidi"/>
          <w:sz w:val="24"/>
          <w:szCs w:val="24"/>
        </w:rPr>
        <w:t xml:space="preserve"> The case concerned the uncles of two (2) Bedouin children, aged 12 and 13, who employed them in the family bakery. The children worked seven days a week, from night to noon the next day. They did not receive their mandatory day of rest, did not have consistent breaks, and missed school frequently. They worked under </w:t>
      </w:r>
      <w:r w:rsidR="009E4E46" w:rsidRPr="00952B0B">
        <w:rPr>
          <w:rFonts w:asciiTheme="majorBidi" w:hAnsiTheme="majorBidi" w:cstheme="majorBidi"/>
          <w:sz w:val="24"/>
          <w:szCs w:val="24"/>
        </w:rPr>
        <w:lastRenderedPageBreak/>
        <w:t xml:space="preserve">the violence and threats of the defendants, and for meager wages. Moreover, one of the children lost three of his fingers while working unsupervised with a bread-slicing machine. The defendants were convicted under a plea bargain of forced labor, and additional offences of physical violence. The Court </w:t>
      </w:r>
      <w:r w:rsidR="00FE6A6C" w:rsidRPr="00952B0B">
        <w:rPr>
          <w:rFonts w:asciiTheme="majorBidi" w:hAnsiTheme="majorBidi" w:cstheme="majorBidi"/>
          <w:sz w:val="24"/>
          <w:szCs w:val="24"/>
        </w:rPr>
        <w:t>marked</w:t>
      </w:r>
      <w:r w:rsidR="009E4E46" w:rsidRPr="00952B0B">
        <w:rPr>
          <w:rFonts w:asciiTheme="majorBidi" w:hAnsiTheme="majorBidi" w:cstheme="majorBidi"/>
          <w:sz w:val="24"/>
          <w:szCs w:val="24"/>
        </w:rPr>
        <w:t xml:space="preserve"> that this was a serious case, different from other cases of violence against children, and that was not merely a violation of labor rights. </w:t>
      </w:r>
    </w:p>
    <w:p w14:paraId="58F2D169" w14:textId="77777777" w:rsidR="00897294" w:rsidRPr="00952B0B" w:rsidRDefault="00897294" w:rsidP="00DB6451">
      <w:pPr>
        <w:bidi w:val="0"/>
        <w:spacing w:before="240" w:line="360" w:lineRule="auto"/>
        <w:jc w:val="both"/>
        <w:rPr>
          <w:rFonts w:asciiTheme="majorBidi" w:hAnsiTheme="majorBidi" w:cstheme="majorBidi"/>
          <w:b/>
          <w:bCs/>
          <w:sz w:val="24"/>
          <w:szCs w:val="24"/>
        </w:rPr>
      </w:pPr>
      <w:r w:rsidRPr="00952B0B">
        <w:rPr>
          <w:rFonts w:asciiTheme="majorBidi" w:hAnsiTheme="majorBidi" w:cstheme="majorBidi"/>
          <w:b/>
          <w:bCs/>
          <w:sz w:val="24"/>
          <w:szCs w:val="24"/>
        </w:rPr>
        <w:t>Holding a person under conditions of slavery in the context of a spousal relationship</w:t>
      </w:r>
    </w:p>
    <w:p w14:paraId="76588993" w14:textId="77777777" w:rsidR="00897294" w:rsidRPr="00952B0B" w:rsidRDefault="00897294" w:rsidP="00B713F5">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 xml:space="preserve">In 2021, the </w:t>
      </w:r>
      <w:r w:rsidR="00644BBC" w:rsidRPr="00952B0B">
        <w:rPr>
          <w:rFonts w:asciiTheme="majorBidi" w:hAnsiTheme="majorBidi" w:cstheme="majorBidi"/>
          <w:sz w:val="24"/>
          <w:szCs w:val="24"/>
        </w:rPr>
        <w:t xml:space="preserve">Legal Aid </w:t>
      </w:r>
      <w:r w:rsidR="00195B3D" w:rsidRPr="00952B0B">
        <w:rPr>
          <w:rFonts w:asciiTheme="majorBidi" w:hAnsiTheme="majorBidi" w:cstheme="majorBidi"/>
          <w:sz w:val="24"/>
          <w:szCs w:val="24"/>
        </w:rPr>
        <w:t>A</w:t>
      </w:r>
      <w:r w:rsidR="00195B3D">
        <w:rPr>
          <w:rFonts w:asciiTheme="majorBidi" w:hAnsiTheme="majorBidi" w:cstheme="majorBidi"/>
          <w:sz w:val="24"/>
          <w:szCs w:val="24"/>
        </w:rPr>
        <w:t>dministration in the Ministry of Justice</w:t>
      </w:r>
      <w:r w:rsidR="00195B3D" w:rsidRPr="00952B0B">
        <w:rPr>
          <w:rFonts w:asciiTheme="majorBidi" w:hAnsiTheme="majorBidi" w:cstheme="majorBidi"/>
          <w:sz w:val="24"/>
          <w:szCs w:val="24"/>
        </w:rPr>
        <w:t xml:space="preserve"> </w:t>
      </w:r>
      <w:r w:rsidR="00644BBC" w:rsidRPr="00952B0B">
        <w:rPr>
          <w:rFonts w:asciiTheme="majorBidi" w:hAnsiTheme="majorBidi" w:cstheme="majorBidi"/>
          <w:sz w:val="24"/>
          <w:szCs w:val="24"/>
        </w:rPr>
        <w:t>t</w:t>
      </w:r>
      <w:r w:rsidRPr="00952B0B">
        <w:rPr>
          <w:rFonts w:asciiTheme="majorBidi" w:hAnsiTheme="majorBidi" w:cstheme="majorBidi"/>
          <w:sz w:val="24"/>
          <w:szCs w:val="24"/>
        </w:rPr>
        <w:t xml:space="preserve">reated five (5) cases in which there was suspicion that women were held in conditions amounting to slavery in the context of a spousal relationship. It should be noted that forced marriage is not recognized independently as an offence of </w:t>
      </w:r>
      <w:r w:rsidR="00644BBC" w:rsidRPr="00952B0B">
        <w:rPr>
          <w:rFonts w:asciiTheme="majorBidi" w:hAnsiTheme="majorBidi" w:cstheme="majorBidi"/>
          <w:sz w:val="24"/>
          <w:szCs w:val="24"/>
        </w:rPr>
        <w:t>trafficking in persons</w:t>
      </w:r>
      <w:r w:rsidR="00FA1292" w:rsidRPr="00952B0B">
        <w:rPr>
          <w:rFonts w:asciiTheme="majorBidi" w:hAnsiTheme="majorBidi" w:cstheme="majorBidi"/>
          <w:sz w:val="24"/>
          <w:szCs w:val="24"/>
        </w:rPr>
        <w:t xml:space="preserve"> in the Israeli </w:t>
      </w:r>
      <w:r w:rsidR="00FA1292" w:rsidRPr="00952B0B">
        <w:rPr>
          <w:rFonts w:asciiTheme="majorBidi" w:hAnsiTheme="majorBidi" w:cstheme="majorBidi"/>
          <w:i/>
          <w:iCs/>
          <w:sz w:val="24"/>
          <w:szCs w:val="24"/>
        </w:rPr>
        <w:t>Penal Law</w:t>
      </w:r>
      <w:r w:rsidR="0008531E" w:rsidRPr="00952B0B">
        <w:rPr>
          <w:rFonts w:asciiTheme="majorBidi" w:hAnsiTheme="majorBidi" w:cstheme="majorBidi"/>
          <w:i/>
          <w:iCs/>
          <w:sz w:val="24"/>
          <w:szCs w:val="24"/>
        </w:rPr>
        <w:t xml:space="preserve"> </w:t>
      </w:r>
      <w:r w:rsidR="0008531E" w:rsidRPr="00952B0B">
        <w:rPr>
          <w:rFonts w:asciiTheme="majorBidi" w:hAnsiTheme="majorBidi" w:cstheme="majorBidi"/>
          <w:sz w:val="24"/>
          <w:szCs w:val="24"/>
        </w:rPr>
        <w:t>5737-1977</w:t>
      </w:r>
      <w:r w:rsidR="00B713F5">
        <w:rPr>
          <w:rFonts w:asciiTheme="majorBidi" w:hAnsiTheme="majorBidi" w:cstheme="majorBidi"/>
          <w:sz w:val="24"/>
          <w:szCs w:val="24"/>
        </w:rPr>
        <w:t>. H</w:t>
      </w:r>
      <w:r w:rsidRPr="00952B0B">
        <w:rPr>
          <w:rFonts w:asciiTheme="majorBidi" w:hAnsiTheme="majorBidi" w:cstheme="majorBidi"/>
          <w:sz w:val="24"/>
          <w:szCs w:val="24"/>
        </w:rPr>
        <w:t>owever</w:t>
      </w:r>
      <w:r w:rsidR="00B713F5">
        <w:rPr>
          <w:rFonts w:asciiTheme="majorBidi" w:hAnsiTheme="majorBidi" w:cstheme="majorBidi"/>
          <w:sz w:val="24"/>
          <w:szCs w:val="24"/>
        </w:rPr>
        <w:t>,</w:t>
      </w:r>
      <w:r w:rsidRPr="00952B0B">
        <w:rPr>
          <w:rFonts w:asciiTheme="majorBidi" w:hAnsiTheme="majorBidi" w:cstheme="majorBidi"/>
          <w:sz w:val="24"/>
          <w:szCs w:val="24"/>
        </w:rPr>
        <w:t xml:space="preserve"> the offence as it is does not deny the possibility of forced marriage amounting to trafficking in persons, when the marriage </w:t>
      </w:r>
      <w:r w:rsidR="00B713F5">
        <w:rPr>
          <w:rFonts w:asciiTheme="majorBidi" w:hAnsiTheme="majorBidi" w:cstheme="majorBidi"/>
          <w:sz w:val="24"/>
          <w:szCs w:val="24"/>
        </w:rPr>
        <w:t>is</w:t>
      </w:r>
      <w:r w:rsidR="00B713F5" w:rsidRPr="00952B0B">
        <w:rPr>
          <w:rFonts w:asciiTheme="majorBidi" w:hAnsiTheme="majorBidi" w:cstheme="majorBidi"/>
          <w:sz w:val="24"/>
          <w:szCs w:val="24"/>
        </w:rPr>
        <w:t xml:space="preserve"> </w:t>
      </w:r>
      <w:r w:rsidRPr="00952B0B">
        <w:rPr>
          <w:rFonts w:asciiTheme="majorBidi" w:hAnsiTheme="majorBidi" w:cstheme="majorBidi"/>
          <w:sz w:val="24"/>
          <w:szCs w:val="24"/>
        </w:rPr>
        <w:t>used as a formal cover for forcing the spouse to provide sex or labor services against her will and with limited options to defend herself. Four (4) of the cases treated in this context were of women who were brought to Israel from Ethiopia for the purpose of marriage ("catalog brides" or "mail order brides").</w:t>
      </w:r>
    </w:p>
    <w:p w14:paraId="3DA2C3D7" w14:textId="77777777" w:rsidR="009E4E46" w:rsidRPr="00952B0B" w:rsidRDefault="00DF3880" w:rsidP="00DB6451">
      <w:pPr>
        <w:bidi w:val="0"/>
        <w:spacing w:before="240" w:line="360" w:lineRule="auto"/>
        <w:jc w:val="both"/>
        <w:rPr>
          <w:rFonts w:asciiTheme="majorBidi" w:hAnsiTheme="majorBidi" w:cstheme="majorBidi"/>
          <w:b/>
          <w:bCs/>
          <w:sz w:val="24"/>
          <w:szCs w:val="24"/>
        </w:rPr>
      </w:pPr>
      <w:r w:rsidRPr="00952B0B">
        <w:rPr>
          <w:rFonts w:asciiTheme="majorBidi" w:hAnsiTheme="majorBidi" w:cstheme="majorBidi"/>
          <w:b/>
          <w:bCs/>
          <w:sz w:val="24"/>
          <w:szCs w:val="24"/>
        </w:rPr>
        <w:t>Offenses against Foreign Workers</w:t>
      </w:r>
    </w:p>
    <w:p w14:paraId="283FD743" w14:textId="77777777" w:rsidR="00CE3433" w:rsidRDefault="0009683B" w:rsidP="004646E7">
      <w:pPr>
        <w:pStyle w:val="Default"/>
        <w:tabs>
          <w:tab w:val="right" w:pos="10348"/>
        </w:tabs>
        <w:spacing w:before="240" w:line="360" w:lineRule="auto"/>
        <w:ind w:right="68"/>
        <w:jc w:val="both"/>
        <w:rPr>
          <w:rFonts w:asciiTheme="majorBidi" w:hAnsiTheme="majorBidi" w:cstheme="majorBidi"/>
        </w:rPr>
      </w:pPr>
      <w:r w:rsidRPr="00952B0B">
        <w:rPr>
          <w:rFonts w:asciiTheme="majorBidi" w:hAnsiTheme="majorBidi" w:cstheme="majorBidi"/>
        </w:rPr>
        <w:t>The</w:t>
      </w:r>
      <w:r w:rsidR="009E4E46" w:rsidRPr="00952B0B">
        <w:rPr>
          <w:rFonts w:asciiTheme="majorBidi" w:hAnsiTheme="majorBidi" w:cstheme="majorBidi"/>
        </w:rPr>
        <w:t xml:space="preserve"> State Attorney’s Office </w:t>
      </w:r>
      <w:r w:rsidRPr="00952B0B">
        <w:rPr>
          <w:rFonts w:asciiTheme="majorBidi" w:hAnsiTheme="majorBidi" w:cstheme="majorBidi"/>
        </w:rPr>
        <w:t>is</w:t>
      </w:r>
      <w:r w:rsidR="009E4E46" w:rsidRPr="00952B0B">
        <w:rPr>
          <w:rFonts w:asciiTheme="majorBidi" w:hAnsiTheme="majorBidi" w:cstheme="majorBidi"/>
        </w:rPr>
        <w:t xml:space="preserve"> involved in investigations that raised serious questions concerning holding of foreign workers in circumstances in which restrictions on the movement of the entire population were imposed</w:t>
      </w:r>
      <w:r w:rsidR="00237A9D" w:rsidRPr="00952B0B">
        <w:rPr>
          <w:rFonts w:asciiTheme="majorBidi" w:hAnsiTheme="majorBidi" w:cstheme="majorBidi"/>
        </w:rPr>
        <w:t>,</w:t>
      </w:r>
      <w:r w:rsidR="00FA1292" w:rsidRPr="00952B0B">
        <w:rPr>
          <w:rFonts w:asciiTheme="majorBidi" w:hAnsiTheme="majorBidi" w:cstheme="majorBidi"/>
        </w:rPr>
        <w:t xml:space="preserve"> </w:t>
      </w:r>
      <w:r w:rsidR="009E4E46" w:rsidRPr="00952B0B">
        <w:rPr>
          <w:rFonts w:asciiTheme="majorBidi" w:hAnsiTheme="majorBidi" w:cstheme="majorBidi"/>
        </w:rPr>
        <w:t xml:space="preserve">including on foreign workers. </w:t>
      </w:r>
      <w:r w:rsidR="009E4E46" w:rsidRPr="00952B0B">
        <w:rPr>
          <w:rFonts w:asciiTheme="majorBidi" w:eastAsia="Arial Unicode MS" w:hAnsiTheme="majorBidi" w:cstheme="majorBidi"/>
          <w:lang w:eastAsia="he-IL"/>
        </w:rPr>
        <w:t xml:space="preserve">Offences committed against foreign workers in Israel are characterized by the exploitation of the economic plight of the foreign workers, which </w:t>
      </w:r>
      <w:r w:rsidR="00FA1292" w:rsidRPr="00952B0B">
        <w:rPr>
          <w:rFonts w:asciiTheme="majorBidi" w:eastAsia="Arial Unicode MS" w:hAnsiTheme="majorBidi" w:cstheme="majorBidi"/>
          <w:rtl/>
          <w:lang w:eastAsia="he-IL"/>
        </w:rPr>
        <w:t>-</w:t>
      </w:r>
      <w:r w:rsidR="00FA1292" w:rsidRPr="00952B0B">
        <w:rPr>
          <w:rFonts w:asciiTheme="majorBidi" w:eastAsia="Arial Unicode MS" w:hAnsiTheme="majorBidi" w:cstheme="majorBidi"/>
          <w:lang w:eastAsia="he-IL"/>
        </w:rPr>
        <w:t xml:space="preserve"> </w:t>
      </w:r>
      <w:r w:rsidR="009E4E46" w:rsidRPr="00952B0B">
        <w:rPr>
          <w:rFonts w:asciiTheme="majorBidi" w:eastAsia="Arial Unicode MS" w:hAnsiTheme="majorBidi" w:cstheme="majorBidi"/>
          <w:lang w:eastAsia="he-IL"/>
        </w:rPr>
        <w:t xml:space="preserve">in some fields </w:t>
      </w:r>
      <w:r w:rsidR="00FA1292" w:rsidRPr="00952B0B">
        <w:rPr>
          <w:rFonts w:asciiTheme="majorBidi" w:eastAsia="Arial Unicode MS" w:hAnsiTheme="majorBidi" w:cstheme="majorBidi"/>
          <w:rtl/>
          <w:lang w:eastAsia="he-IL"/>
        </w:rPr>
        <w:t>-</w:t>
      </w:r>
      <w:r w:rsidR="00FA1292" w:rsidRPr="00952B0B">
        <w:rPr>
          <w:rFonts w:asciiTheme="majorBidi" w:eastAsia="Arial Unicode MS" w:hAnsiTheme="majorBidi" w:cstheme="majorBidi"/>
          <w:lang w:eastAsia="he-IL"/>
        </w:rPr>
        <w:t xml:space="preserve"> </w:t>
      </w:r>
      <w:r w:rsidR="009E4E46" w:rsidRPr="00952B0B">
        <w:rPr>
          <w:rFonts w:asciiTheme="majorBidi" w:eastAsia="Arial Unicode MS" w:hAnsiTheme="majorBidi" w:cstheme="majorBidi"/>
          <w:lang w:eastAsia="he-IL"/>
        </w:rPr>
        <w:t xml:space="preserve">can be exacerbated by the exorbitant brokerage fees </w:t>
      </w:r>
      <w:r w:rsidR="00455958">
        <w:rPr>
          <w:rFonts w:asciiTheme="majorBidi" w:eastAsia="Arial Unicode MS" w:hAnsiTheme="majorBidi" w:cstheme="majorBidi"/>
          <w:lang w:eastAsia="he-IL"/>
        </w:rPr>
        <w:t xml:space="preserve">they </w:t>
      </w:r>
      <w:r w:rsidR="009E4E46" w:rsidRPr="00952B0B">
        <w:rPr>
          <w:rFonts w:asciiTheme="majorBidi" w:eastAsia="Arial Unicode MS" w:hAnsiTheme="majorBidi" w:cstheme="majorBidi"/>
          <w:lang w:eastAsia="he-IL"/>
        </w:rPr>
        <w:t xml:space="preserve">are required to pay (almost always in their countries of origin, outside of Israel). These debts make </w:t>
      </w:r>
      <w:r w:rsidR="00455958">
        <w:rPr>
          <w:rFonts w:asciiTheme="majorBidi" w:eastAsia="Arial Unicode MS" w:hAnsiTheme="majorBidi" w:cstheme="majorBidi"/>
          <w:lang w:eastAsia="he-IL"/>
        </w:rPr>
        <w:t xml:space="preserve">these </w:t>
      </w:r>
      <w:r w:rsidR="009E4E46" w:rsidRPr="00952B0B">
        <w:rPr>
          <w:rFonts w:asciiTheme="majorBidi" w:eastAsia="Arial Unicode MS" w:hAnsiTheme="majorBidi" w:cstheme="majorBidi"/>
          <w:lang w:eastAsia="he-IL"/>
        </w:rPr>
        <w:t xml:space="preserve">workers vulnerable to abuse and reluctant to report </w:t>
      </w:r>
      <w:r w:rsidR="004646E7">
        <w:rPr>
          <w:rFonts w:asciiTheme="majorBidi" w:eastAsia="Arial Unicode MS" w:hAnsiTheme="majorBidi" w:cstheme="majorBidi"/>
          <w:lang w:eastAsia="he-IL"/>
        </w:rPr>
        <w:t>them</w:t>
      </w:r>
      <w:r w:rsidR="009E4E46" w:rsidRPr="00952B0B">
        <w:rPr>
          <w:rFonts w:asciiTheme="majorBidi" w:eastAsia="Arial Unicode MS" w:hAnsiTheme="majorBidi" w:cstheme="majorBidi"/>
          <w:lang w:eastAsia="he-IL"/>
        </w:rPr>
        <w:t xml:space="preserve">, and willing to work for almost any pay and under any conditions, due to the economic hardship/low socio-economic background described. </w:t>
      </w:r>
    </w:p>
    <w:p w14:paraId="3431FC1C" w14:textId="77777777" w:rsidR="003E1901" w:rsidRDefault="003E1901" w:rsidP="00DB6451">
      <w:pPr>
        <w:bidi w:val="0"/>
        <w:spacing w:before="240" w:line="360" w:lineRule="auto"/>
        <w:jc w:val="both"/>
        <w:rPr>
          <w:rFonts w:asciiTheme="majorBidi" w:hAnsiTheme="majorBidi" w:cstheme="majorBidi"/>
          <w:b/>
          <w:bCs/>
          <w:sz w:val="24"/>
          <w:szCs w:val="24"/>
        </w:rPr>
      </w:pPr>
    </w:p>
    <w:p w14:paraId="7CA17EAF" w14:textId="77777777" w:rsidR="00CE3433" w:rsidRPr="00952B0B" w:rsidRDefault="00CE3433" w:rsidP="004646E7">
      <w:pPr>
        <w:bidi w:val="0"/>
        <w:spacing w:before="240" w:line="360" w:lineRule="auto"/>
        <w:jc w:val="both"/>
        <w:rPr>
          <w:rFonts w:asciiTheme="majorBidi" w:hAnsiTheme="majorBidi" w:cstheme="majorBidi"/>
          <w:b/>
          <w:bCs/>
          <w:sz w:val="24"/>
          <w:szCs w:val="24"/>
        </w:rPr>
      </w:pPr>
      <w:r w:rsidRPr="00952B0B">
        <w:rPr>
          <w:rFonts w:asciiTheme="majorBidi" w:hAnsiTheme="majorBidi" w:cstheme="majorBidi"/>
          <w:b/>
          <w:bCs/>
          <w:sz w:val="24"/>
          <w:szCs w:val="24"/>
        </w:rPr>
        <w:lastRenderedPageBreak/>
        <w:t xml:space="preserve">Begging and Forced Labor of </w:t>
      </w:r>
      <w:r w:rsidR="004646E7">
        <w:rPr>
          <w:rFonts w:asciiTheme="majorBidi" w:hAnsiTheme="majorBidi" w:cstheme="majorBidi"/>
          <w:b/>
          <w:bCs/>
          <w:sz w:val="24"/>
          <w:szCs w:val="24"/>
        </w:rPr>
        <w:t>Children</w:t>
      </w:r>
    </w:p>
    <w:p w14:paraId="5A85E879" w14:textId="77777777" w:rsidR="00CE3433" w:rsidRDefault="00CE3433" w:rsidP="004646E7">
      <w:pPr>
        <w:tabs>
          <w:tab w:val="right" w:pos="10348"/>
        </w:tabs>
        <w:bidi w:val="0"/>
        <w:spacing w:before="240" w:after="0" w:line="360" w:lineRule="auto"/>
        <w:ind w:right="31"/>
        <w:jc w:val="both"/>
        <w:rPr>
          <w:rFonts w:asciiTheme="majorBidi" w:hAnsiTheme="majorBidi" w:cstheme="majorBidi"/>
          <w:sz w:val="24"/>
          <w:szCs w:val="24"/>
          <w:lang w:val="en"/>
        </w:rPr>
      </w:pPr>
      <w:r w:rsidRPr="00952B0B">
        <w:rPr>
          <w:rFonts w:asciiTheme="majorBidi" w:hAnsiTheme="majorBidi" w:cstheme="majorBidi"/>
          <w:sz w:val="24"/>
          <w:szCs w:val="24"/>
          <w:lang w:val="en"/>
        </w:rPr>
        <w:t>For several years now, a phenomenon of</w:t>
      </w:r>
      <w:r w:rsidRPr="00952B0B">
        <w:rPr>
          <w:rFonts w:asciiTheme="majorBidi" w:hAnsiTheme="majorBidi" w:cstheme="majorBidi"/>
          <w:sz w:val="24"/>
          <w:szCs w:val="24"/>
        </w:rPr>
        <w:t xml:space="preserve"> </w:t>
      </w:r>
      <w:r w:rsidRPr="00952B0B">
        <w:rPr>
          <w:rFonts w:asciiTheme="majorBidi" w:hAnsiTheme="majorBidi" w:cstheme="majorBidi"/>
          <w:sz w:val="24"/>
          <w:szCs w:val="24"/>
          <w:lang w:val="en"/>
        </w:rPr>
        <w:t xml:space="preserve">groups of children in forced labor in the form of roaming and peddling (begging for money) at intersections on highways, has been known to law enforcement, welfare authorities and the Civil Administration. </w:t>
      </w:r>
      <w:r w:rsidR="00FE6A6C">
        <w:rPr>
          <w:rFonts w:asciiTheme="majorBidi" w:hAnsiTheme="majorBidi" w:cstheme="majorBidi"/>
          <w:sz w:val="24"/>
          <w:szCs w:val="24"/>
          <w:lang w:val="en"/>
        </w:rPr>
        <w:t>I</w:t>
      </w:r>
      <w:r w:rsidRPr="00952B0B">
        <w:rPr>
          <w:rFonts w:asciiTheme="majorBidi" w:hAnsiTheme="majorBidi" w:cstheme="majorBidi"/>
          <w:sz w:val="24"/>
          <w:szCs w:val="24"/>
          <w:lang w:val="en"/>
        </w:rPr>
        <w:t>n most cases</w:t>
      </w:r>
      <w:r w:rsidR="004646E7">
        <w:rPr>
          <w:rFonts w:asciiTheme="majorBidi" w:hAnsiTheme="majorBidi" w:cstheme="majorBidi"/>
          <w:sz w:val="24"/>
          <w:szCs w:val="24"/>
          <w:lang w:val="en"/>
        </w:rPr>
        <w:t>,</w:t>
      </w:r>
      <w:r w:rsidRPr="00952B0B">
        <w:rPr>
          <w:rFonts w:asciiTheme="majorBidi" w:hAnsiTheme="majorBidi" w:cstheme="majorBidi"/>
          <w:sz w:val="24"/>
          <w:szCs w:val="24"/>
          <w:lang w:val="en"/>
        </w:rPr>
        <w:t xml:space="preserve"> these are children from the Palestinian Authority who are brought into Israel</w:t>
      </w:r>
      <w:r w:rsidRPr="00952B0B">
        <w:rPr>
          <w:rFonts w:asciiTheme="majorBidi" w:hAnsiTheme="majorBidi" w:cstheme="majorBidi"/>
          <w:sz w:val="24"/>
          <w:szCs w:val="24"/>
        </w:rPr>
        <w:t xml:space="preserve"> </w:t>
      </w:r>
      <w:r w:rsidRPr="00952B0B">
        <w:rPr>
          <w:rFonts w:asciiTheme="majorBidi" w:hAnsiTheme="majorBidi" w:cstheme="majorBidi"/>
          <w:sz w:val="24"/>
          <w:szCs w:val="24"/>
          <w:lang w:val="en"/>
        </w:rPr>
        <w:t xml:space="preserve">by traffickers, to whom the children also must transfer their income. This severe phenomenon exploits </w:t>
      </w:r>
      <w:r w:rsidR="004646E7">
        <w:rPr>
          <w:rFonts w:asciiTheme="majorBidi" w:hAnsiTheme="majorBidi" w:cstheme="majorBidi"/>
          <w:sz w:val="24"/>
          <w:szCs w:val="24"/>
          <w:lang w:val="en"/>
        </w:rPr>
        <w:t>children</w:t>
      </w:r>
      <w:r w:rsidR="004646E7" w:rsidRPr="00952B0B">
        <w:rPr>
          <w:rFonts w:asciiTheme="majorBidi" w:hAnsiTheme="majorBidi" w:cstheme="majorBidi"/>
          <w:sz w:val="24"/>
          <w:szCs w:val="24"/>
          <w:lang w:val="en"/>
        </w:rPr>
        <w:t xml:space="preserve"> </w:t>
      </w:r>
      <w:r w:rsidRPr="00952B0B">
        <w:rPr>
          <w:rFonts w:asciiTheme="majorBidi" w:hAnsiTheme="majorBidi" w:cstheme="majorBidi"/>
          <w:sz w:val="24"/>
          <w:szCs w:val="24"/>
          <w:lang w:val="en"/>
        </w:rPr>
        <w:t>aged on average between 5-14 years, while endangering their lives on the roads and in difficult weather conditions</w:t>
      </w:r>
      <w:r w:rsidR="00BB765D">
        <w:rPr>
          <w:rFonts w:asciiTheme="majorBidi" w:hAnsiTheme="majorBidi" w:cstheme="majorBidi"/>
          <w:sz w:val="24"/>
          <w:szCs w:val="24"/>
          <w:lang w:val="en"/>
        </w:rPr>
        <w:t>.</w:t>
      </w:r>
      <w:r w:rsidRPr="00952B0B">
        <w:rPr>
          <w:rFonts w:asciiTheme="majorBidi" w:hAnsiTheme="majorBidi" w:cstheme="majorBidi"/>
          <w:sz w:val="24"/>
          <w:szCs w:val="24"/>
          <w:lang w:val="en"/>
        </w:rPr>
        <w:t xml:space="preserve"> </w:t>
      </w:r>
      <w:r w:rsidR="00BB765D">
        <w:rPr>
          <w:rFonts w:asciiTheme="majorBidi" w:hAnsiTheme="majorBidi" w:cstheme="majorBidi"/>
          <w:sz w:val="24"/>
          <w:szCs w:val="24"/>
          <w:lang w:val="en"/>
        </w:rPr>
        <w:t xml:space="preserve">The exploitation is carried out </w:t>
      </w:r>
      <w:r w:rsidRPr="00952B0B">
        <w:rPr>
          <w:rFonts w:asciiTheme="majorBidi" w:hAnsiTheme="majorBidi" w:cstheme="majorBidi"/>
          <w:sz w:val="24"/>
          <w:szCs w:val="24"/>
          <w:lang w:val="en"/>
        </w:rPr>
        <w:t>also by their families</w:t>
      </w:r>
      <w:r w:rsidR="00BB765D">
        <w:rPr>
          <w:rFonts w:asciiTheme="majorBidi" w:hAnsiTheme="majorBidi" w:cstheme="majorBidi"/>
          <w:sz w:val="24"/>
          <w:szCs w:val="24"/>
          <w:lang w:val="en"/>
        </w:rPr>
        <w:t>,</w:t>
      </w:r>
      <w:r w:rsidRPr="00952B0B">
        <w:rPr>
          <w:rFonts w:asciiTheme="majorBidi" w:hAnsiTheme="majorBidi" w:cstheme="majorBidi"/>
          <w:sz w:val="24"/>
          <w:szCs w:val="24"/>
          <w:lang w:val="en"/>
        </w:rPr>
        <w:t xml:space="preserve"> including their parents, as well as other external factors whose purpose is none other than mone</w:t>
      </w:r>
      <w:r w:rsidR="00455958">
        <w:rPr>
          <w:rFonts w:asciiTheme="majorBidi" w:hAnsiTheme="majorBidi" w:cstheme="majorBidi"/>
          <w:sz w:val="24"/>
          <w:szCs w:val="24"/>
          <w:lang w:val="en"/>
        </w:rPr>
        <w:t>tary gain</w:t>
      </w:r>
      <w:r w:rsidRPr="00952B0B">
        <w:rPr>
          <w:rFonts w:asciiTheme="majorBidi" w:hAnsiTheme="majorBidi" w:cstheme="majorBidi"/>
          <w:sz w:val="24"/>
          <w:szCs w:val="24"/>
          <w:lang w:val="en"/>
        </w:rPr>
        <w:t xml:space="preserve">. The Government of Israel considers this phenomenon </w:t>
      </w:r>
      <w:r w:rsidR="00455958">
        <w:rPr>
          <w:rFonts w:asciiTheme="majorBidi" w:hAnsiTheme="majorBidi" w:cstheme="majorBidi"/>
          <w:sz w:val="24"/>
          <w:szCs w:val="24"/>
          <w:lang w:val="en"/>
        </w:rPr>
        <w:t xml:space="preserve">as </w:t>
      </w:r>
      <w:r w:rsidRPr="00952B0B">
        <w:rPr>
          <w:rFonts w:asciiTheme="majorBidi" w:hAnsiTheme="majorBidi" w:cstheme="majorBidi"/>
          <w:sz w:val="24"/>
          <w:szCs w:val="24"/>
          <w:lang w:val="en"/>
        </w:rPr>
        <w:t xml:space="preserve">a platform for harming </w:t>
      </w:r>
      <w:r w:rsidR="004646E7">
        <w:rPr>
          <w:rFonts w:asciiTheme="majorBidi" w:hAnsiTheme="majorBidi" w:cstheme="majorBidi"/>
          <w:sz w:val="24"/>
          <w:szCs w:val="24"/>
          <w:lang w:val="en"/>
        </w:rPr>
        <w:t>children</w:t>
      </w:r>
      <w:r w:rsidR="004646E7" w:rsidRPr="00952B0B">
        <w:rPr>
          <w:rFonts w:asciiTheme="majorBidi" w:hAnsiTheme="majorBidi" w:cstheme="majorBidi"/>
          <w:sz w:val="24"/>
          <w:szCs w:val="24"/>
          <w:lang w:val="en"/>
        </w:rPr>
        <w:t xml:space="preserve"> </w:t>
      </w:r>
      <w:r w:rsidRPr="00952B0B">
        <w:rPr>
          <w:rFonts w:asciiTheme="majorBidi" w:hAnsiTheme="majorBidi" w:cstheme="majorBidi"/>
          <w:sz w:val="24"/>
          <w:szCs w:val="24"/>
          <w:lang w:val="en"/>
        </w:rPr>
        <w:t xml:space="preserve">and committing offenses against them and through them, by perpetrators of crime that is highly indicative for trafficking and forced labor. </w:t>
      </w:r>
    </w:p>
    <w:p w14:paraId="5E344F2F" w14:textId="77777777" w:rsidR="00CE3433" w:rsidRPr="00AD3955" w:rsidRDefault="00EE523D" w:rsidP="000024C1">
      <w:pPr>
        <w:bidi w:val="0"/>
        <w:spacing w:before="240" w:line="360" w:lineRule="auto"/>
        <w:jc w:val="both"/>
        <w:rPr>
          <w:rFonts w:asciiTheme="majorBidi" w:hAnsiTheme="majorBidi" w:cstheme="majorBidi"/>
          <w:sz w:val="24"/>
          <w:szCs w:val="24"/>
          <w:lang w:val="en"/>
        </w:rPr>
      </w:pPr>
      <w:r>
        <w:rPr>
          <w:rFonts w:asciiTheme="majorBidi" w:hAnsiTheme="majorBidi" w:cstheme="majorBidi"/>
          <w:sz w:val="24"/>
          <w:szCs w:val="24"/>
        </w:rPr>
        <w:t>There</w:t>
      </w:r>
      <w:r w:rsidR="004646E7">
        <w:rPr>
          <w:rFonts w:asciiTheme="majorBidi" w:hAnsiTheme="majorBidi" w:cstheme="majorBidi"/>
          <w:sz w:val="24"/>
          <w:szCs w:val="24"/>
        </w:rPr>
        <w:t>fore</w:t>
      </w:r>
      <w:r>
        <w:rPr>
          <w:rFonts w:asciiTheme="majorBidi" w:hAnsiTheme="majorBidi" w:cstheme="majorBidi"/>
          <w:sz w:val="24"/>
          <w:szCs w:val="24"/>
        </w:rPr>
        <w:t xml:space="preserve">, </w:t>
      </w:r>
      <w:r w:rsidR="00BB765D">
        <w:rPr>
          <w:rFonts w:asciiTheme="majorBidi" w:hAnsiTheme="majorBidi" w:cstheme="majorBidi"/>
          <w:sz w:val="24"/>
          <w:szCs w:val="24"/>
        </w:rPr>
        <w:t xml:space="preserve">the Government had established </w:t>
      </w:r>
      <w:r w:rsidRPr="00952B0B">
        <w:rPr>
          <w:rFonts w:asciiTheme="majorBidi" w:hAnsiTheme="majorBidi" w:cstheme="majorBidi"/>
          <w:sz w:val="24"/>
          <w:szCs w:val="24"/>
        </w:rPr>
        <w:t xml:space="preserve">Inter-ministerial roundtable forums </w:t>
      </w:r>
      <w:r w:rsidR="00BB765D">
        <w:rPr>
          <w:rFonts w:asciiTheme="majorBidi" w:hAnsiTheme="majorBidi" w:cstheme="majorBidi"/>
          <w:sz w:val="24"/>
          <w:szCs w:val="24"/>
        </w:rPr>
        <w:t xml:space="preserve">that had </w:t>
      </w:r>
      <w:r w:rsidRPr="00952B0B">
        <w:rPr>
          <w:rFonts w:asciiTheme="majorBidi" w:hAnsiTheme="majorBidi" w:cstheme="majorBidi"/>
          <w:sz w:val="24"/>
          <w:szCs w:val="24"/>
        </w:rPr>
        <w:t>convened in every district to map and discuss the forms of child labor, child slavery and forced begging that occur in their district, and the ways to tackle this phenomen</w:t>
      </w:r>
      <w:r w:rsidR="004646E7">
        <w:rPr>
          <w:rFonts w:asciiTheme="majorBidi" w:hAnsiTheme="majorBidi" w:cstheme="majorBidi"/>
          <w:sz w:val="24"/>
          <w:szCs w:val="24"/>
        </w:rPr>
        <w:t>on</w:t>
      </w:r>
      <w:r w:rsidRPr="00952B0B">
        <w:rPr>
          <w:rFonts w:asciiTheme="majorBidi" w:hAnsiTheme="majorBidi" w:cstheme="majorBidi"/>
          <w:sz w:val="24"/>
          <w:szCs w:val="24"/>
        </w:rPr>
        <w:t xml:space="preserve">. </w:t>
      </w:r>
      <w:r w:rsidR="00BB765D">
        <w:rPr>
          <w:rFonts w:asciiTheme="majorBidi" w:hAnsiTheme="majorBidi" w:cstheme="majorBidi"/>
          <w:sz w:val="24"/>
          <w:szCs w:val="24"/>
        </w:rPr>
        <w:t>During the discussions</w:t>
      </w:r>
      <w:r w:rsidRPr="00952B0B">
        <w:rPr>
          <w:rFonts w:asciiTheme="majorBidi" w:hAnsiTheme="majorBidi" w:cstheme="majorBidi"/>
          <w:sz w:val="24"/>
          <w:szCs w:val="24"/>
        </w:rPr>
        <w:t>, it was decided to perform a pilot in two districts, most heavily characterized by forced child begging on the motorways. The pilot includes the cooperation of the Welfare Coordinator Unit in the Civil Administration</w:t>
      </w:r>
      <w:r w:rsidR="000024C1">
        <w:rPr>
          <w:rFonts w:asciiTheme="majorBidi" w:hAnsiTheme="majorBidi" w:cstheme="majorBidi"/>
          <w:sz w:val="24"/>
          <w:szCs w:val="24"/>
        </w:rPr>
        <w:t xml:space="preserve"> of the IDF</w:t>
      </w:r>
      <w:r w:rsidRPr="00952B0B">
        <w:rPr>
          <w:rFonts w:asciiTheme="majorBidi" w:hAnsiTheme="majorBidi" w:cstheme="majorBidi"/>
          <w:sz w:val="24"/>
          <w:szCs w:val="24"/>
        </w:rPr>
        <w:t xml:space="preserve">, with the relevant enforcement agencies, including the Youth Department of the Israel Police, in order to return Palestinian minors begging in Israel to their homes within the Palestinian Authority. </w:t>
      </w:r>
      <w:r w:rsidR="00CE3433" w:rsidRPr="00952B0B">
        <w:rPr>
          <w:rFonts w:asciiTheme="majorBidi" w:hAnsiTheme="majorBidi" w:cstheme="majorBidi"/>
          <w:sz w:val="24"/>
          <w:szCs w:val="24"/>
          <w:lang w:val="en"/>
        </w:rPr>
        <w:t xml:space="preserve">During the activity, more than thirty (30) </w:t>
      </w:r>
      <w:r w:rsidR="004646E7">
        <w:rPr>
          <w:rFonts w:asciiTheme="majorBidi" w:hAnsiTheme="majorBidi" w:cstheme="majorBidi"/>
          <w:sz w:val="24"/>
          <w:szCs w:val="24"/>
          <w:lang w:val="en"/>
        </w:rPr>
        <w:t>children</w:t>
      </w:r>
      <w:r w:rsidR="004646E7" w:rsidRPr="00952B0B">
        <w:rPr>
          <w:rFonts w:asciiTheme="majorBidi" w:hAnsiTheme="majorBidi" w:cstheme="majorBidi"/>
          <w:sz w:val="24"/>
          <w:szCs w:val="24"/>
          <w:lang w:val="en"/>
        </w:rPr>
        <w:t xml:space="preserve"> </w:t>
      </w:r>
      <w:r w:rsidR="00CE3433" w:rsidRPr="00952B0B">
        <w:rPr>
          <w:rFonts w:asciiTheme="majorBidi" w:hAnsiTheme="majorBidi" w:cstheme="majorBidi"/>
          <w:sz w:val="24"/>
          <w:szCs w:val="24"/>
          <w:lang w:val="en"/>
        </w:rPr>
        <w:t xml:space="preserve">(data updated to the beginning of December 2021) were </w:t>
      </w:r>
      <w:r w:rsidR="0048781C">
        <w:rPr>
          <w:rFonts w:asciiTheme="majorBidi" w:hAnsiTheme="majorBidi" w:cstheme="majorBidi"/>
          <w:sz w:val="24"/>
          <w:szCs w:val="24"/>
          <w:lang w:val="en"/>
        </w:rPr>
        <w:t>identified as</w:t>
      </w:r>
      <w:r w:rsidR="0048781C" w:rsidRPr="00952B0B">
        <w:rPr>
          <w:rFonts w:asciiTheme="majorBidi" w:hAnsiTheme="majorBidi" w:cstheme="majorBidi"/>
          <w:sz w:val="24"/>
          <w:szCs w:val="24"/>
          <w:lang w:val="en"/>
        </w:rPr>
        <w:t xml:space="preserve"> </w:t>
      </w:r>
      <w:r w:rsidR="00CE3433" w:rsidRPr="00952B0B">
        <w:rPr>
          <w:rFonts w:asciiTheme="majorBidi" w:hAnsiTheme="majorBidi" w:cstheme="majorBidi"/>
          <w:sz w:val="24"/>
          <w:szCs w:val="24"/>
          <w:lang w:val="en"/>
        </w:rPr>
        <w:t>residents of the Palestinian Authority, who were brought to the police station and were asked about the circumstances of the</w:t>
      </w:r>
      <w:r w:rsidR="003E1901">
        <w:rPr>
          <w:rFonts w:asciiTheme="majorBidi" w:hAnsiTheme="majorBidi" w:cstheme="majorBidi"/>
          <w:sz w:val="24"/>
          <w:szCs w:val="24"/>
          <w:lang w:val="en"/>
        </w:rPr>
        <w:t>ir arrival in Israel, including</w:t>
      </w:r>
      <w:r w:rsidR="00FE6A6C">
        <w:rPr>
          <w:rFonts w:asciiTheme="majorBidi" w:hAnsiTheme="majorBidi" w:cstheme="majorBidi"/>
          <w:sz w:val="24"/>
          <w:szCs w:val="24"/>
          <w:lang w:val="en"/>
        </w:rPr>
        <w:t xml:space="preserve"> </w:t>
      </w:r>
      <w:r w:rsidR="00CE3433" w:rsidRPr="00952B0B">
        <w:rPr>
          <w:rFonts w:asciiTheme="majorBidi" w:hAnsiTheme="majorBidi" w:cstheme="majorBidi"/>
          <w:sz w:val="24"/>
          <w:szCs w:val="24"/>
          <w:lang w:val="en"/>
        </w:rPr>
        <w:t xml:space="preserve">who sent them, who drove, how did they arrive, parental involvement, </w:t>
      </w:r>
      <w:r w:rsidR="00FC5577">
        <w:rPr>
          <w:rFonts w:asciiTheme="majorBidi" w:hAnsiTheme="majorBidi" w:cstheme="majorBidi"/>
          <w:sz w:val="24"/>
          <w:szCs w:val="24"/>
        </w:rPr>
        <w:t>compensation</w:t>
      </w:r>
      <w:r w:rsidR="00FC5577" w:rsidRPr="00952B0B">
        <w:rPr>
          <w:rFonts w:asciiTheme="majorBidi" w:hAnsiTheme="majorBidi" w:cstheme="majorBidi"/>
          <w:sz w:val="24"/>
          <w:szCs w:val="24"/>
          <w:lang w:val="en"/>
        </w:rPr>
        <w:t xml:space="preserve"> </w:t>
      </w:r>
      <w:r w:rsidR="00CE3433" w:rsidRPr="00952B0B">
        <w:rPr>
          <w:rFonts w:asciiTheme="majorBidi" w:hAnsiTheme="majorBidi" w:cstheme="majorBidi"/>
          <w:sz w:val="24"/>
          <w:szCs w:val="24"/>
          <w:lang w:val="en"/>
        </w:rPr>
        <w:t>received and whether they transfer the</w:t>
      </w:r>
      <w:r w:rsidR="00455958">
        <w:rPr>
          <w:rFonts w:asciiTheme="majorBidi" w:hAnsiTheme="majorBidi" w:cstheme="majorBidi"/>
          <w:sz w:val="24"/>
          <w:szCs w:val="24"/>
          <w:lang w:val="en"/>
        </w:rPr>
        <w:t xml:space="preserve"> sums</w:t>
      </w:r>
      <w:r w:rsidR="00CE3433" w:rsidRPr="00952B0B">
        <w:rPr>
          <w:rFonts w:asciiTheme="majorBidi" w:hAnsiTheme="majorBidi" w:cstheme="majorBidi"/>
          <w:sz w:val="24"/>
          <w:szCs w:val="24"/>
          <w:lang w:val="en"/>
        </w:rPr>
        <w:t xml:space="preserve"> to another party, hours of operation, frequency and more</w:t>
      </w:r>
      <w:r w:rsidR="000139FE">
        <w:rPr>
          <w:rFonts w:asciiTheme="majorBidi" w:hAnsiTheme="majorBidi" w:cstheme="majorBidi"/>
          <w:sz w:val="24"/>
          <w:szCs w:val="24"/>
        </w:rPr>
        <w:t>.</w:t>
      </w:r>
      <w:r w:rsidR="00FE6A6C">
        <w:rPr>
          <w:rFonts w:asciiTheme="majorBidi" w:hAnsiTheme="majorBidi" w:cstheme="majorBidi"/>
          <w:sz w:val="24"/>
          <w:szCs w:val="24"/>
        </w:rPr>
        <w:t xml:space="preserve"> </w:t>
      </w:r>
      <w:r w:rsidR="00CE3433" w:rsidRPr="00952B0B">
        <w:rPr>
          <w:rFonts w:asciiTheme="majorBidi" w:hAnsiTheme="majorBidi" w:cstheme="majorBidi"/>
          <w:sz w:val="24"/>
          <w:szCs w:val="24"/>
          <w:lang w:val="en"/>
        </w:rPr>
        <w:t xml:space="preserve">All </w:t>
      </w:r>
      <w:r w:rsidR="00455958">
        <w:rPr>
          <w:rFonts w:asciiTheme="majorBidi" w:hAnsiTheme="majorBidi" w:cstheme="majorBidi"/>
          <w:sz w:val="24"/>
          <w:szCs w:val="24"/>
          <w:lang w:val="en"/>
        </w:rPr>
        <w:t xml:space="preserve">of </w:t>
      </w:r>
      <w:r w:rsidR="00CE3433" w:rsidRPr="00952B0B">
        <w:rPr>
          <w:rFonts w:asciiTheme="majorBidi" w:hAnsiTheme="majorBidi" w:cstheme="majorBidi"/>
          <w:sz w:val="24"/>
          <w:szCs w:val="24"/>
          <w:lang w:val="en"/>
        </w:rPr>
        <w:t xml:space="preserve">the </w:t>
      </w:r>
      <w:r w:rsidR="0048781C">
        <w:rPr>
          <w:rFonts w:asciiTheme="majorBidi" w:hAnsiTheme="majorBidi" w:cstheme="majorBidi"/>
          <w:sz w:val="24"/>
          <w:szCs w:val="24"/>
          <w:lang w:val="en"/>
        </w:rPr>
        <w:t>children</w:t>
      </w:r>
      <w:r w:rsidR="0048781C" w:rsidRPr="00952B0B">
        <w:rPr>
          <w:rFonts w:asciiTheme="majorBidi" w:hAnsiTheme="majorBidi" w:cstheme="majorBidi"/>
          <w:sz w:val="24"/>
          <w:szCs w:val="24"/>
          <w:lang w:val="en"/>
        </w:rPr>
        <w:t xml:space="preserve"> </w:t>
      </w:r>
      <w:r w:rsidR="00CE3433" w:rsidRPr="00952B0B">
        <w:rPr>
          <w:rFonts w:asciiTheme="majorBidi" w:hAnsiTheme="majorBidi" w:cstheme="majorBidi"/>
          <w:sz w:val="24"/>
          <w:szCs w:val="24"/>
          <w:lang w:val="en"/>
        </w:rPr>
        <w:t>were returned to the Palestinian Authority in an orderly manner and after coordination with the Palestinian police</w:t>
      </w:r>
      <w:r w:rsidR="0048781C">
        <w:rPr>
          <w:rFonts w:asciiTheme="majorBidi" w:hAnsiTheme="majorBidi" w:cstheme="majorBidi"/>
          <w:sz w:val="24"/>
          <w:szCs w:val="24"/>
          <w:lang w:val="en"/>
        </w:rPr>
        <w:t>,</w:t>
      </w:r>
      <w:r w:rsidR="00CE3433" w:rsidRPr="00952B0B">
        <w:rPr>
          <w:rFonts w:asciiTheme="majorBidi" w:hAnsiTheme="majorBidi" w:cstheme="majorBidi"/>
          <w:sz w:val="24"/>
          <w:szCs w:val="24"/>
          <w:lang w:val="en"/>
        </w:rPr>
        <w:t xml:space="preserve"> </w:t>
      </w:r>
      <w:r>
        <w:rPr>
          <w:rFonts w:asciiTheme="majorBidi" w:hAnsiTheme="majorBidi" w:cstheme="majorBidi"/>
          <w:sz w:val="24"/>
          <w:szCs w:val="24"/>
          <w:lang w:val="en"/>
        </w:rPr>
        <w:t>which</w:t>
      </w:r>
      <w:r w:rsidRPr="00952B0B">
        <w:rPr>
          <w:rFonts w:asciiTheme="majorBidi" w:hAnsiTheme="majorBidi" w:cstheme="majorBidi"/>
          <w:sz w:val="24"/>
          <w:szCs w:val="24"/>
          <w:lang w:val="en"/>
        </w:rPr>
        <w:t xml:space="preserve"> </w:t>
      </w:r>
      <w:r w:rsidR="00455958">
        <w:rPr>
          <w:rFonts w:asciiTheme="majorBidi" w:hAnsiTheme="majorBidi" w:cstheme="majorBidi"/>
          <w:sz w:val="24"/>
          <w:szCs w:val="24"/>
          <w:lang w:val="en"/>
        </w:rPr>
        <w:t>accepted</w:t>
      </w:r>
      <w:r w:rsidR="00FC5577">
        <w:rPr>
          <w:rFonts w:asciiTheme="majorBidi" w:hAnsiTheme="majorBidi" w:cstheme="majorBidi"/>
          <w:sz w:val="24"/>
          <w:szCs w:val="24"/>
          <w:lang w:val="en"/>
        </w:rPr>
        <w:t xml:space="preserve"> </w:t>
      </w:r>
      <w:r>
        <w:rPr>
          <w:rFonts w:asciiTheme="majorBidi" w:hAnsiTheme="majorBidi" w:cstheme="majorBidi"/>
          <w:sz w:val="24"/>
          <w:szCs w:val="24"/>
          <w:lang w:val="en"/>
        </w:rPr>
        <w:t>the</w:t>
      </w:r>
      <w:r w:rsidRPr="00952B0B">
        <w:rPr>
          <w:rFonts w:asciiTheme="majorBidi" w:hAnsiTheme="majorBidi" w:cstheme="majorBidi"/>
          <w:sz w:val="24"/>
          <w:szCs w:val="24"/>
          <w:lang w:val="en"/>
        </w:rPr>
        <w:t xml:space="preserve"> responsibility</w:t>
      </w:r>
      <w:r w:rsidR="00CE3433" w:rsidRPr="00952B0B">
        <w:rPr>
          <w:rFonts w:asciiTheme="majorBidi" w:hAnsiTheme="majorBidi" w:cstheme="majorBidi"/>
          <w:sz w:val="24"/>
          <w:szCs w:val="24"/>
          <w:lang w:val="en"/>
        </w:rPr>
        <w:t xml:space="preserve"> </w:t>
      </w:r>
      <w:r w:rsidR="00D51071">
        <w:rPr>
          <w:rFonts w:asciiTheme="majorBidi" w:hAnsiTheme="majorBidi" w:cstheme="majorBidi"/>
          <w:sz w:val="24"/>
          <w:szCs w:val="24"/>
          <w:lang w:val="en"/>
        </w:rPr>
        <w:t>of</w:t>
      </w:r>
      <w:r w:rsidR="00D51071" w:rsidRPr="00952B0B">
        <w:rPr>
          <w:rFonts w:asciiTheme="majorBidi" w:hAnsiTheme="majorBidi" w:cstheme="majorBidi"/>
          <w:sz w:val="24"/>
          <w:szCs w:val="24"/>
          <w:lang w:val="en"/>
        </w:rPr>
        <w:t xml:space="preserve"> </w:t>
      </w:r>
      <w:r w:rsidR="00CE3433" w:rsidRPr="00952B0B">
        <w:rPr>
          <w:rFonts w:asciiTheme="majorBidi" w:hAnsiTheme="majorBidi" w:cstheme="majorBidi"/>
          <w:sz w:val="24"/>
          <w:szCs w:val="24"/>
          <w:lang w:val="en"/>
        </w:rPr>
        <w:t>returning them to their families.</w:t>
      </w:r>
    </w:p>
    <w:p w14:paraId="17CEA720" w14:textId="77777777" w:rsidR="003E1901" w:rsidRDefault="00CE3433" w:rsidP="00331416">
      <w:pPr>
        <w:bidi w:val="0"/>
        <w:spacing w:before="240" w:line="360" w:lineRule="auto"/>
        <w:jc w:val="both"/>
        <w:rPr>
          <w:rFonts w:asciiTheme="majorBidi" w:hAnsiTheme="majorBidi" w:cstheme="majorBidi"/>
          <w:sz w:val="24"/>
          <w:szCs w:val="24"/>
        </w:rPr>
      </w:pPr>
      <w:r w:rsidRPr="003E1901">
        <w:rPr>
          <w:rFonts w:asciiTheme="majorBidi" w:hAnsiTheme="majorBidi" w:cstheme="majorBidi"/>
          <w:sz w:val="24"/>
          <w:szCs w:val="24"/>
          <w:lang w:val="en"/>
        </w:rPr>
        <w:t>One case was opened against four (4) adults for human trafficking - the case is still under investigation</w:t>
      </w:r>
      <w:r w:rsidRPr="003E1901">
        <w:rPr>
          <w:rFonts w:asciiTheme="majorBidi" w:hAnsiTheme="majorBidi" w:cstheme="majorBidi"/>
          <w:sz w:val="24"/>
          <w:szCs w:val="24"/>
        </w:rPr>
        <w:t>. In the south</w:t>
      </w:r>
      <w:r w:rsidR="00FC5577" w:rsidRPr="003E1901">
        <w:rPr>
          <w:rFonts w:asciiTheme="majorBidi" w:hAnsiTheme="majorBidi" w:cstheme="majorBidi"/>
          <w:sz w:val="24"/>
          <w:szCs w:val="24"/>
        </w:rPr>
        <w:t>ern</w:t>
      </w:r>
      <w:r w:rsidRPr="003E1901">
        <w:rPr>
          <w:rFonts w:asciiTheme="majorBidi" w:hAnsiTheme="majorBidi" w:cstheme="majorBidi"/>
          <w:sz w:val="24"/>
          <w:szCs w:val="24"/>
        </w:rPr>
        <w:t xml:space="preserve"> district, a mapping of the phenomen</w:t>
      </w:r>
      <w:r w:rsidR="00331416">
        <w:rPr>
          <w:rFonts w:asciiTheme="majorBidi" w:hAnsiTheme="majorBidi" w:cstheme="majorBidi"/>
          <w:sz w:val="24"/>
          <w:szCs w:val="24"/>
        </w:rPr>
        <w:t>on</w:t>
      </w:r>
      <w:r w:rsidRPr="003E1901">
        <w:rPr>
          <w:rFonts w:asciiTheme="majorBidi" w:hAnsiTheme="majorBidi" w:cstheme="majorBidi"/>
          <w:sz w:val="24"/>
          <w:szCs w:val="24"/>
        </w:rPr>
        <w:t xml:space="preserve"> was </w:t>
      </w:r>
      <w:r w:rsidRPr="003E1901">
        <w:rPr>
          <w:rFonts w:asciiTheme="majorBidi" w:hAnsiTheme="majorBidi" w:cstheme="majorBidi"/>
          <w:sz w:val="24"/>
          <w:szCs w:val="24"/>
        </w:rPr>
        <w:lastRenderedPageBreak/>
        <w:t>conducted as part of roundtable</w:t>
      </w:r>
      <w:r w:rsidR="00D51071" w:rsidRPr="003E1901">
        <w:rPr>
          <w:rFonts w:asciiTheme="majorBidi" w:hAnsiTheme="majorBidi" w:cstheme="majorBidi"/>
          <w:sz w:val="24"/>
          <w:szCs w:val="24"/>
        </w:rPr>
        <w:t xml:space="preserve"> discussions</w:t>
      </w:r>
      <w:r w:rsidRPr="003E1901">
        <w:rPr>
          <w:rFonts w:asciiTheme="majorBidi" w:hAnsiTheme="majorBidi" w:cstheme="majorBidi"/>
          <w:sz w:val="24"/>
          <w:szCs w:val="24"/>
        </w:rPr>
        <w:t xml:space="preserve"> with the intention of implementing the pilot there as well. </w:t>
      </w:r>
      <w:r w:rsidRPr="003E1901">
        <w:rPr>
          <w:rFonts w:asciiTheme="majorBidi" w:hAnsiTheme="majorBidi" w:cstheme="majorBidi"/>
          <w:sz w:val="24"/>
          <w:szCs w:val="24"/>
          <w:lang w:val="en"/>
        </w:rPr>
        <w:t xml:space="preserve">So far, ten (10) cases involving child begging have been opened, all </w:t>
      </w:r>
      <w:r w:rsidR="00D51071" w:rsidRPr="003E1901">
        <w:rPr>
          <w:rFonts w:asciiTheme="majorBidi" w:hAnsiTheme="majorBidi" w:cstheme="majorBidi"/>
          <w:sz w:val="24"/>
          <w:szCs w:val="24"/>
          <w:lang w:val="en"/>
        </w:rPr>
        <w:t xml:space="preserve">of </w:t>
      </w:r>
      <w:r w:rsidRPr="003E1901">
        <w:rPr>
          <w:rFonts w:asciiTheme="majorBidi" w:hAnsiTheme="majorBidi" w:cstheme="majorBidi"/>
          <w:sz w:val="24"/>
          <w:szCs w:val="24"/>
          <w:lang w:val="en"/>
        </w:rPr>
        <w:t xml:space="preserve">the cases relate to Israeli adults, no investigation files have been opened </w:t>
      </w:r>
      <w:r w:rsidR="00FC5577" w:rsidRPr="003E1901">
        <w:rPr>
          <w:rFonts w:asciiTheme="majorBidi" w:hAnsiTheme="majorBidi" w:cstheme="majorBidi"/>
          <w:sz w:val="24"/>
          <w:szCs w:val="24"/>
          <w:lang w:val="en"/>
        </w:rPr>
        <w:t xml:space="preserve">against </w:t>
      </w:r>
      <w:r w:rsidR="00331416">
        <w:rPr>
          <w:rFonts w:asciiTheme="majorBidi" w:hAnsiTheme="majorBidi" w:cstheme="majorBidi"/>
          <w:sz w:val="24"/>
          <w:szCs w:val="24"/>
          <w:lang w:val="en"/>
        </w:rPr>
        <w:t>children</w:t>
      </w:r>
      <w:r w:rsidR="004F0ED2" w:rsidRPr="003E1901">
        <w:rPr>
          <w:rFonts w:asciiTheme="majorBidi" w:hAnsiTheme="majorBidi" w:cstheme="majorBidi"/>
          <w:sz w:val="24"/>
          <w:szCs w:val="24"/>
        </w:rPr>
        <w:t>.</w:t>
      </w:r>
    </w:p>
    <w:p w14:paraId="6DEE436D" w14:textId="77777777" w:rsidR="00117490" w:rsidRPr="003E1901" w:rsidRDefault="00117490" w:rsidP="003E1901">
      <w:pPr>
        <w:pStyle w:val="ListParagraph"/>
        <w:numPr>
          <w:ilvl w:val="0"/>
          <w:numId w:val="13"/>
        </w:numPr>
        <w:bidi w:val="0"/>
        <w:spacing w:before="240" w:line="360" w:lineRule="auto"/>
        <w:jc w:val="both"/>
        <w:rPr>
          <w:rFonts w:asciiTheme="majorBidi" w:hAnsiTheme="majorBidi" w:cstheme="majorBidi"/>
          <w:b/>
          <w:bCs/>
          <w:sz w:val="24"/>
          <w:szCs w:val="24"/>
          <w:u w:val="single"/>
        </w:rPr>
      </w:pPr>
      <w:r w:rsidRPr="003E1901">
        <w:rPr>
          <w:rFonts w:asciiTheme="majorBidi" w:hAnsiTheme="majorBidi" w:cstheme="majorBidi"/>
          <w:b/>
          <w:bCs/>
          <w:sz w:val="24"/>
          <w:szCs w:val="24"/>
          <w:u w:val="single"/>
        </w:rPr>
        <w:t>Prevention</w:t>
      </w:r>
    </w:p>
    <w:p w14:paraId="689D8D67" w14:textId="77777777" w:rsidR="00DF3880" w:rsidRPr="00952B0B" w:rsidRDefault="0009683B" w:rsidP="00D51071">
      <w:pPr>
        <w:bidi w:val="0"/>
        <w:spacing w:before="240" w:line="360" w:lineRule="auto"/>
        <w:jc w:val="both"/>
        <w:rPr>
          <w:rFonts w:asciiTheme="majorBidi" w:hAnsiTheme="majorBidi" w:cstheme="majorBidi"/>
          <w:b/>
          <w:bCs/>
          <w:sz w:val="24"/>
          <w:szCs w:val="24"/>
        </w:rPr>
      </w:pPr>
      <w:bookmarkStart w:id="0" w:name="_Toc95400856"/>
      <w:r w:rsidRPr="00952B0B">
        <w:rPr>
          <w:rFonts w:asciiTheme="majorBidi" w:hAnsiTheme="majorBidi" w:cstheme="majorBidi"/>
          <w:b/>
          <w:bCs/>
          <w:sz w:val="24"/>
          <w:szCs w:val="24"/>
        </w:rPr>
        <w:t>Police Procedures</w:t>
      </w:r>
    </w:p>
    <w:p w14:paraId="7F469C54" w14:textId="77777777" w:rsidR="00DF3880" w:rsidRPr="00952B0B" w:rsidRDefault="00DF3880" w:rsidP="00C11707">
      <w:pPr>
        <w:bidi w:val="0"/>
        <w:spacing w:before="240" w:line="360" w:lineRule="auto"/>
        <w:jc w:val="both"/>
        <w:rPr>
          <w:rFonts w:asciiTheme="majorBidi" w:hAnsiTheme="majorBidi" w:cstheme="majorBidi"/>
          <w:sz w:val="24"/>
          <w:szCs w:val="24"/>
          <w:rtl/>
        </w:rPr>
      </w:pPr>
      <w:r w:rsidRPr="00952B0B">
        <w:rPr>
          <w:rFonts w:asciiTheme="majorBidi" w:hAnsiTheme="majorBidi" w:cstheme="majorBidi"/>
          <w:sz w:val="24"/>
          <w:szCs w:val="24"/>
        </w:rPr>
        <w:t>On October 4</w:t>
      </w:r>
      <w:r w:rsidRPr="00952B0B">
        <w:rPr>
          <w:rFonts w:asciiTheme="majorBidi" w:hAnsiTheme="majorBidi" w:cstheme="majorBidi"/>
          <w:sz w:val="24"/>
          <w:szCs w:val="24"/>
          <w:vertAlign w:val="superscript"/>
        </w:rPr>
        <w:t>th</w:t>
      </w:r>
      <w:r w:rsidRPr="00952B0B">
        <w:rPr>
          <w:rFonts w:asciiTheme="majorBidi" w:hAnsiTheme="majorBidi" w:cstheme="majorBidi"/>
          <w:sz w:val="24"/>
          <w:szCs w:val="24"/>
        </w:rPr>
        <w:t xml:space="preserve"> 2021, </w:t>
      </w:r>
      <w:r w:rsidR="00C11707">
        <w:rPr>
          <w:rFonts w:asciiTheme="majorBidi" w:hAnsiTheme="majorBidi" w:cstheme="majorBidi"/>
          <w:sz w:val="24"/>
          <w:szCs w:val="24"/>
        </w:rPr>
        <w:t>a</w:t>
      </w:r>
      <w:r w:rsidRPr="00952B0B">
        <w:rPr>
          <w:rFonts w:asciiTheme="majorBidi" w:hAnsiTheme="majorBidi" w:cstheme="majorBidi"/>
          <w:sz w:val="24"/>
          <w:szCs w:val="24"/>
        </w:rPr>
        <w:t xml:space="preserve"> procedure for Application for Recognition of a Person as a Victim of Human Trafficking or Holding under Slavery Conditions (No 300.25.02) </w:t>
      </w:r>
      <w:r w:rsidR="00FA1292" w:rsidRPr="00952B0B">
        <w:rPr>
          <w:rFonts w:asciiTheme="majorBidi" w:hAnsiTheme="majorBidi" w:cstheme="majorBidi"/>
          <w:sz w:val="24"/>
          <w:szCs w:val="24"/>
        </w:rPr>
        <w:t>entered into force.</w:t>
      </w:r>
      <w:r w:rsidRPr="00952B0B">
        <w:rPr>
          <w:rFonts w:asciiTheme="majorBidi" w:hAnsiTheme="majorBidi" w:cstheme="majorBidi"/>
          <w:sz w:val="24"/>
          <w:szCs w:val="24"/>
        </w:rPr>
        <w:t xml:space="preserve"> Th</w:t>
      </w:r>
      <w:r w:rsidR="00FA1292" w:rsidRPr="00952B0B">
        <w:rPr>
          <w:rFonts w:asciiTheme="majorBidi" w:hAnsiTheme="majorBidi" w:cstheme="majorBidi"/>
          <w:sz w:val="24"/>
          <w:szCs w:val="24"/>
        </w:rPr>
        <w:t>is</w:t>
      </w:r>
      <w:r w:rsidRPr="00952B0B">
        <w:rPr>
          <w:rFonts w:asciiTheme="majorBidi" w:hAnsiTheme="majorBidi" w:cstheme="majorBidi"/>
          <w:sz w:val="24"/>
          <w:szCs w:val="24"/>
        </w:rPr>
        <w:t xml:space="preserve"> procedure regulates and details the process of submitting an application</w:t>
      </w:r>
      <w:r w:rsidR="00FA1292" w:rsidRPr="00952B0B">
        <w:rPr>
          <w:rFonts w:asciiTheme="majorBidi" w:hAnsiTheme="majorBidi" w:cstheme="majorBidi"/>
          <w:sz w:val="24"/>
          <w:szCs w:val="24"/>
        </w:rPr>
        <w:t xml:space="preserve"> to the Police Trafficking Coordination Unit</w:t>
      </w:r>
      <w:r w:rsidRPr="00952B0B">
        <w:rPr>
          <w:rFonts w:asciiTheme="majorBidi" w:hAnsiTheme="majorBidi" w:cstheme="majorBidi"/>
          <w:sz w:val="24"/>
          <w:szCs w:val="24"/>
        </w:rPr>
        <w:t xml:space="preserve">: means of communication, processing the application by the </w:t>
      </w:r>
      <w:r w:rsidR="0009683B" w:rsidRPr="00952B0B">
        <w:rPr>
          <w:rFonts w:asciiTheme="majorBidi" w:hAnsiTheme="majorBidi" w:cstheme="majorBidi"/>
          <w:sz w:val="24"/>
          <w:szCs w:val="24"/>
        </w:rPr>
        <w:t>Unit</w:t>
      </w:r>
      <w:r w:rsidRPr="00952B0B">
        <w:rPr>
          <w:rFonts w:asciiTheme="majorBidi" w:hAnsiTheme="majorBidi" w:cstheme="majorBidi"/>
          <w:sz w:val="24"/>
          <w:szCs w:val="24"/>
        </w:rPr>
        <w:t xml:space="preserve">, conducting an interview when needed and regulates the terms of submitting an appeal when the application is denied, or an application for a review (dependent on the procedure or if there are new materials that weren’t considered before) including the time frames for submission. Above all, the procedure stresses the necessity for trauma-informed and victim-sensitive approach, throughout the whole procedure, so as not to cause re-traumatization to the victim. The procedure was formulated with the </w:t>
      </w:r>
      <w:r w:rsidR="003C3FA3" w:rsidRPr="00952B0B">
        <w:rPr>
          <w:rFonts w:asciiTheme="majorBidi" w:hAnsiTheme="majorBidi" w:cstheme="majorBidi"/>
          <w:sz w:val="24"/>
          <w:szCs w:val="24"/>
        </w:rPr>
        <w:t>assistance</w:t>
      </w:r>
      <w:r w:rsidR="00FA1292" w:rsidRPr="00952B0B">
        <w:rPr>
          <w:rFonts w:asciiTheme="majorBidi" w:hAnsiTheme="majorBidi" w:cstheme="majorBidi"/>
          <w:sz w:val="24"/>
          <w:szCs w:val="24"/>
        </w:rPr>
        <w:t xml:space="preserve"> </w:t>
      </w:r>
      <w:r w:rsidRPr="00952B0B">
        <w:rPr>
          <w:rFonts w:asciiTheme="majorBidi" w:hAnsiTheme="majorBidi" w:cstheme="majorBidi"/>
          <w:sz w:val="24"/>
          <w:szCs w:val="24"/>
        </w:rPr>
        <w:t>of all the parties</w:t>
      </w:r>
      <w:r w:rsidR="00F6375E">
        <w:rPr>
          <w:rFonts w:asciiTheme="majorBidi" w:hAnsiTheme="majorBidi" w:cstheme="majorBidi"/>
          <w:sz w:val="24"/>
          <w:szCs w:val="24"/>
        </w:rPr>
        <w:t>,</w:t>
      </w:r>
      <w:r w:rsidRPr="00952B0B">
        <w:rPr>
          <w:rFonts w:asciiTheme="majorBidi" w:hAnsiTheme="majorBidi" w:cstheme="majorBidi"/>
          <w:sz w:val="24"/>
          <w:szCs w:val="24"/>
        </w:rPr>
        <w:t xml:space="preserve"> including civil society and </w:t>
      </w:r>
      <w:r w:rsidR="00C11707">
        <w:rPr>
          <w:rFonts w:asciiTheme="majorBidi" w:hAnsiTheme="majorBidi" w:cstheme="majorBidi"/>
          <w:sz w:val="24"/>
          <w:szCs w:val="24"/>
        </w:rPr>
        <w:t>a</w:t>
      </w:r>
      <w:r w:rsidRPr="00952B0B">
        <w:rPr>
          <w:rFonts w:asciiTheme="majorBidi" w:hAnsiTheme="majorBidi" w:cstheme="majorBidi"/>
          <w:sz w:val="24"/>
          <w:szCs w:val="24"/>
        </w:rPr>
        <w:t>cademia</w:t>
      </w:r>
      <w:r w:rsidR="00F6375E">
        <w:rPr>
          <w:rFonts w:asciiTheme="majorBidi" w:hAnsiTheme="majorBidi" w:cstheme="majorBidi"/>
          <w:sz w:val="24"/>
          <w:szCs w:val="24"/>
        </w:rPr>
        <w:t>,</w:t>
      </w:r>
      <w:r w:rsidRPr="00952B0B">
        <w:rPr>
          <w:rFonts w:asciiTheme="majorBidi" w:hAnsiTheme="majorBidi" w:cstheme="majorBidi"/>
          <w:sz w:val="24"/>
          <w:szCs w:val="24"/>
        </w:rPr>
        <w:t xml:space="preserve"> that are active in the field of combatting </w:t>
      </w:r>
      <w:r w:rsidR="0009683B" w:rsidRPr="00952B0B">
        <w:rPr>
          <w:rFonts w:asciiTheme="majorBidi" w:hAnsiTheme="majorBidi" w:cstheme="majorBidi"/>
          <w:sz w:val="24"/>
          <w:szCs w:val="24"/>
        </w:rPr>
        <w:t>trafficking in persons</w:t>
      </w:r>
      <w:r w:rsidRPr="00952B0B">
        <w:rPr>
          <w:rFonts w:asciiTheme="majorBidi" w:hAnsiTheme="majorBidi" w:cstheme="majorBidi"/>
          <w:sz w:val="24"/>
          <w:szCs w:val="24"/>
        </w:rPr>
        <w:t xml:space="preserve">, and the new regulation has been accepted by all. </w:t>
      </w:r>
    </w:p>
    <w:p w14:paraId="52E842A4" w14:textId="77777777" w:rsidR="00DF3880" w:rsidRPr="00952B0B" w:rsidRDefault="0009683B" w:rsidP="00D51071">
      <w:pPr>
        <w:bidi w:val="0"/>
        <w:spacing w:before="240" w:line="360" w:lineRule="auto"/>
        <w:jc w:val="both"/>
        <w:rPr>
          <w:rFonts w:asciiTheme="majorBidi" w:hAnsiTheme="majorBidi" w:cstheme="majorBidi"/>
          <w:b/>
          <w:bCs/>
          <w:sz w:val="24"/>
          <w:szCs w:val="24"/>
        </w:rPr>
      </w:pPr>
      <w:r w:rsidRPr="00952B0B">
        <w:rPr>
          <w:rFonts w:asciiTheme="majorBidi" w:hAnsiTheme="majorBidi" w:cstheme="majorBidi"/>
          <w:b/>
          <w:bCs/>
          <w:sz w:val="24"/>
          <w:szCs w:val="24"/>
        </w:rPr>
        <w:t>Bilateral Agreements</w:t>
      </w:r>
    </w:p>
    <w:p w14:paraId="33517ECC" w14:textId="77777777" w:rsidR="0009683B" w:rsidRDefault="00DF3880" w:rsidP="00742683">
      <w:pPr>
        <w:bidi w:val="0"/>
        <w:spacing w:before="240" w:line="360" w:lineRule="auto"/>
        <w:jc w:val="both"/>
        <w:rPr>
          <w:rFonts w:asciiTheme="majorBidi" w:hAnsiTheme="majorBidi" w:cstheme="majorBidi"/>
          <w:sz w:val="24"/>
          <w:szCs w:val="24"/>
        </w:rPr>
      </w:pPr>
      <w:r w:rsidRPr="00952B0B">
        <w:rPr>
          <w:rFonts w:asciiTheme="majorBidi" w:hAnsiTheme="majorBidi" w:cstheme="majorBidi"/>
          <w:sz w:val="24"/>
          <w:szCs w:val="24"/>
        </w:rPr>
        <w:t xml:space="preserve">The </w:t>
      </w:r>
      <w:r w:rsidR="009231BB" w:rsidRPr="00952B0B">
        <w:rPr>
          <w:rFonts w:asciiTheme="majorBidi" w:hAnsiTheme="majorBidi" w:cstheme="majorBidi"/>
          <w:sz w:val="24"/>
          <w:szCs w:val="24"/>
        </w:rPr>
        <w:t>Government of Israel</w:t>
      </w:r>
      <w:r w:rsidRPr="00952B0B">
        <w:rPr>
          <w:rFonts w:asciiTheme="majorBidi" w:hAnsiTheme="majorBidi" w:cstheme="majorBidi"/>
          <w:sz w:val="24"/>
          <w:szCs w:val="24"/>
        </w:rPr>
        <w:t xml:space="preserve"> has halted private recruitment of foreign workers in the construction and agriculture fields, and allows such recruitment only through regulated bilateral agreements or arrangements with countries of origin. </w:t>
      </w:r>
      <w:r w:rsidR="00FA1292" w:rsidRPr="00952B0B">
        <w:rPr>
          <w:rFonts w:asciiTheme="majorBidi" w:hAnsiTheme="majorBidi" w:cstheme="majorBidi"/>
          <w:sz w:val="24"/>
          <w:szCs w:val="24"/>
        </w:rPr>
        <w:t>In the field of home-based caregivers</w:t>
      </w:r>
      <w:r w:rsidR="00E73F09">
        <w:rPr>
          <w:rFonts w:asciiTheme="majorBidi" w:hAnsiTheme="majorBidi" w:cstheme="majorBidi"/>
          <w:sz w:val="24"/>
          <w:szCs w:val="24"/>
        </w:rPr>
        <w:t>,</w:t>
      </w:r>
      <w:r w:rsidR="00FA1292" w:rsidRPr="00952B0B">
        <w:rPr>
          <w:rFonts w:asciiTheme="majorBidi" w:hAnsiTheme="majorBidi" w:cstheme="majorBidi"/>
          <w:sz w:val="24"/>
          <w:szCs w:val="24"/>
        </w:rPr>
        <w:t xml:space="preserve"> </w:t>
      </w:r>
      <w:r w:rsidR="00D83F03">
        <w:rPr>
          <w:rFonts w:asciiTheme="majorBidi" w:hAnsiTheme="majorBidi" w:cstheme="majorBidi"/>
          <w:sz w:val="24"/>
          <w:szCs w:val="24"/>
        </w:rPr>
        <w:t xml:space="preserve">although there are two bilateral agreements, </w:t>
      </w:r>
      <w:r w:rsidR="00FA1292" w:rsidRPr="00952B0B">
        <w:rPr>
          <w:rFonts w:asciiTheme="majorBidi" w:hAnsiTheme="majorBidi" w:cstheme="majorBidi"/>
          <w:sz w:val="24"/>
          <w:szCs w:val="24"/>
        </w:rPr>
        <w:t xml:space="preserve">currently foreign workers can still arrive without such agreements. </w:t>
      </w:r>
      <w:r w:rsidRPr="00952B0B">
        <w:rPr>
          <w:rFonts w:asciiTheme="majorBidi" w:hAnsiTheme="majorBidi" w:cstheme="majorBidi"/>
          <w:sz w:val="24"/>
          <w:szCs w:val="24"/>
        </w:rPr>
        <w:t xml:space="preserve">These agreements serve as a safeguard against </w:t>
      </w:r>
      <w:r w:rsidR="009231BB" w:rsidRPr="00952B0B">
        <w:rPr>
          <w:rFonts w:asciiTheme="majorBidi" w:hAnsiTheme="majorBidi" w:cstheme="majorBidi"/>
          <w:sz w:val="24"/>
          <w:szCs w:val="24"/>
        </w:rPr>
        <w:t>trafficking in persons</w:t>
      </w:r>
      <w:r w:rsidRPr="00952B0B">
        <w:rPr>
          <w:rFonts w:asciiTheme="majorBidi" w:hAnsiTheme="majorBidi" w:cstheme="majorBidi"/>
          <w:sz w:val="24"/>
          <w:szCs w:val="24"/>
        </w:rPr>
        <w:t xml:space="preserve">, by regulating the procedure of recruiting foreign workers, in a transparent, formal and comprehensive way, reducing the possibility that potential traffickers will create or abuse vulnerability in the workers by charging exorbitant and illegal recruitment fees. Workers recruited under the bilateral framework arrive in Israel without the unreasonable debts incurred by workers who have paid illegal fees. They </w:t>
      </w:r>
      <w:r w:rsidRPr="00952B0B">
        <w:rPr>
          <w:rFonts w:asciiTheme="majorBidi" w:hAnsiTheme="majorBidi" w:cstheme="majorBidi"/>
          <w:sz w:val="24"/>
          <w:szCs w:val="24"/>
        </w:rPr>
        <w:lastRenderedPageBreak/>
        <w:t xml:space="preserve">are well informed of </w:t>
      </w:r>
      <w:r w:rsidR="00FC5577">
        <w:rPr>
          <w:rFonts w:asciiTheme="majorBidi" w:hAnsiTheme="majorBidi" w:cstheme="majorBidi"/>
          <w:sz w:val="24"/>
          <w:szCs w:val="24"/>
        </w:rPr>
        <w:t xml:space="preserve">the </w:t>
      </w:r>
      <w:r w:rsidRPr="00952B0B">
        <w:rPr>
          <w:rFonts w:asciiTheme="majorBidi" w:hAnsiTheme="majorBidi" w:cstheme="majorBidi"/>
          <w:sz w:val="24"/>
          <w:szCs w:val="24"/>
        </w:rPr>
        <w:t xml:space="preserve">legal work conditions and of their ability to file complaints </w:t>
      </w:r>
      <w:r w:rsidR="00FA1292" w:rsidRPr="00952B0B">
        <w:rPr>
          <w:rFonts w:asciiTheme="majorBidi" w:hAnsiTheme="majorBidi" w:cstheme="majorBidi"/>
          <w:sz w:val="24"/>
          <w:szCs w:val="24"/>
          <w:rtl/>
        </w:rPr>
        <w:t>-</w:t>
      </w:r>
      <w:r w:rsidR="00FA1292" w:rsidRPr="00952B0B">
        <w:rPr>
          <w:rFonts w:asciiTheme="majorBidi" w:hAnsiTheme="majorBidi" w:cstheme="majorBidi"/>
          <w:sz w:val="24"/>
          <w:szCs w:val="24"/>
        </w:rPr>
        <w:t xml:space="preserve"> </w:t>
      </w:r>
      <w:r w:rsidRPr="00952B0B">
        <w:rPr>
          <w:rFonts w:asciiTheme="majorBidi" w:hAnsiTheme="majorBidi" w:cstheme="majorBidi"/>
          <w:sz w:val="24"/>
          <w:szCs w:val="24"/>
        </w:rPr>
        <w:t>reducing the likelihood of their suffering severe exploitation.</w:t>
      </w:r>
    </w:p>
    <w:p w14:paraId="587A1D31" w14:textId="77777777" w:rsidR="00A40A32" w:rsidRPr="001C273C" w:rsidRDefault="00E73F09" w:rsidP="00742683">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A</w:t>
      </w:r>
      <w:r w:rsidRPr="00677203">
        <w:rPr>
          <w:rFonts w:asciiTheme="majorBidi" w:hAnsiTheme="majorBidi" w:cstheme="majorBidi"/>
          <w:sz w:val="24"/>
          <w:szCs w:val="24"/>
        </w:rPr>
        <w:t xml:space="preserve"> </w:t>
      </w:r>
      <w:r w:rsidR="00A40A32" w:rsidRPr="00677203">
        <w:rPr>
          <w:rFonts w:asciiTheme="majorBidi" w:hAnsiTheme="majorBidi" w:cstheme="majorBidi"/>
          <w:sz w:val="24"/>
          <w:szCs w:val="24"/>
        </w:rPr>
        <w:t xml:space="preserve">prevention team, formed as part of Israel's </w:t>
      </w:r>
      <w:r w:rsidR="00742683">
        <w:rPr>
          <w:rFonts w:asciiTheme="majorBidi" w:hAnsiTheme="majorBidi" w:cstheme="majorBidi"/>
          <w:sz w:val="24"/>
          <w:szCs w:val="24"/>
        </w:rPr>
        <w:t>N</w:t>
      </w:r>
      <w:r w:rsidR="00A40A32" w:rsidRPr="00677203">
        <w:rPr>
          <w:rFonts w:asciiTheme="majorBidi" w:hAnsiTheme="majorBidi" w:cstheme="majorBidi"/>
          <w:sz w:val="24"/>
          <w:szCs w:val="24"/>
        </w:rPr>
        <w:t xml:space="preserve">ational </w:t>
      </w:r>
      <w:r w:rsidR="00742683">
        <w:rPr>
          <w:rFonts w:asciiTheme="majorBidi" w:hAnsiTheme="majorBidi" w:cstheme="majorBidi"/>
          <w:sz w:val="24"/>
          <w:szCs w:val="24"/>
        </w:rPr>
        <w:t>P</w:t>
      </w:r>
      <w:r w:rsidR="00A40A32" w:rsidRPr="00677203">
        <w:rPr>
          <w:rFonts w:asciiTheme="majorBidi" w:hAnsiTheme="majorBidi" w:cstheme="majorBidi"/>
          <w:sz w:val="24"/>
          <w:szCs w:val="24"/>
        </w:rPr>
        <w:t xml:space="preserve">lan for </w:t>
      </w:r>
      <w:r w:rsidR="00742683">
        <w:rPr>
          <w:rFonts w:asciiTheme="majorBidi" w:hAnsiTheme="majorBidi" w:cstheme="majorBidi"/>
          <w:sz w:val="24"/>
          <w:szCs w:val="24"/>
        </w:rPr>
        <w:t>C</w:t>
      </w:r>
      <w:r w:rsidR="00A40A32" w:rsidRPr="00677203">
        <w:rPr>
          <w:rFonts w:asciiTheme="majorBidi" w:hAnsiTheme="majorBidi" w:cstheme="majorBidi"/>
          <w:sz w:val="24"/>
          <w:szCs w:val="24"/>
        </w:rPr>
        <w:t xml:space="preserve">ombatting </w:t>
      </w:r>
      <w:r w:rsidR="00742683">
        <w:rPr>
          <w:rFonts w:asciiTheme="majorBidi" w:hAnsiTheme="majorBidi" w:cstheme="majorBidi"/>
          <w:sz w:val="24"/>
          <w:szCs w:val="24"/>
        </w:rPr>
        <w:t>T</w:t>
      </w:r>
      <w:r w:rsidR="00A40A32" w:rsidRPr="00677203">
        <w:rPr>
          <w:rFonts w:asciiTheme="majorBidi" w:hAnsiTheme="majorBidi" w:cstheme="majorBidi"/>
          <w:sz w:val="24"/>
          <w:szCs w:val="24"/>
        </w:rPr>
        <w:t xml:space="preserve">rafficking in </w:t>
      </w:r>
      <w:r w:rsidR="00742683">
        <w:rPr>
          <w:rFonts w:asciiTheme="majorBidi" w:hAnsiTheme="majorBidi" w:cstheme="majorBidi"/>
          <w:sz w:val="24"/>
          <w:szCs w:val="24"/>
        </w:rPr>
        <w:t>P</w:t>
      </w:r>
      <w:r w:rsidR="00A40A32" w:rsidRPr="00677203">
        <w:rPr>
          <w:rFonts w:asciiTheme="majorBidi" w:hAnsiTheme="majorBidi" w:cstheme="majorBidi"/>
          <w:sz w:val="24"/>
          <w:szCs w:val="24"/>
        </w:rPr>
        <w:t>ersons, examin</w:t>
      </w:r>
      <w:r w:rsidR="00FC5577">
        <w:rPr>
          <w:rFonts w:asciiTheme="majorBidi" w:hAnsiTheme="majorBidi" w:cstheme="majorBidi"/>
          <w:sz w:val="24"/>
          <w:szCs w:val="24"/>
        </w:rPr>
        <w:t>ed</w:t>
      </w:r>
      <w:r w:rsidR="00A40A32" w:rsidRPr="00677203">
        <w:rPr>
          <w:rFonts w:asciiTheme="majorBidi" w:hAnsiTheme="majorBidi" w:cstheme="majorBidi"/>
          <w:sz w:val="24"/>
          <w:szCs w:val="24"/>
        </w:rPr>
        <w:t xml:space="preserve"> bilateral agreements for foreign workers and regulatory arrangements for their terms of employment, with emphasis on vulnerable fields, such as caregiving and agriculture; student training programs and delivering training to the relevant bodies to identify victims, raising public awareness, reducing demand and implementing ways of receiving reports from the public; expanding the knowledge base about instances of trafficking in persons and advancing appropriate solutions.</w:t>
      </w:r>
    </w:p>
    <w:bookmarkEnd w:id="0"/>
    <w:p w14:paraId="5FBECCC5" w14:textId="77777777" w:rsidR="00DF3880" w:rsidRPr="00952B0B" w:rsidRDefault="00DF3880" w:rsidP="00DB6451">
      <w:pPr>
        <w:pStyle w:val="ListParagraph"/>
        <w:numPr>
          <w:ilvl w:val="0"/>
          <w:numId w:val="13"/>
        </w:numPr>
        <w:bidi w:val="0"/>
        <w:spacing w:before="240" w:line="360" w:lineRule="auto"/>
        <w:jc w:val="both"/>
        <w:rPr>
          <w:rFonts w:asciiTheme="majorBidi" w:hAnsiTheme="majorBidi" w:cstheme="majorBidi"/>
          <w:b/>
          <w:bCs/>
          <w:sz w:val="24"/>
          <w:szCs w:val="24"/>
          <w:u w:val="single"/>
        </w:rPr>
      </w:pPr>
      <w:r w:rsidRPr="00952B0B">
        <w:rPr>
          <w:rFonts w:asciiTheme="majorBidi" w:hAnsiTheme="majorBidi" w:cstheme="majorBidi"/>
          <w:b/>
          <w:bCs/>
          <w:sz w:val="24"/>
          <w:szCs w:val="24"/>
          <w:u w:val="single"/>
        </w:rPr>
        <w:t>Protection</w:t>
      </w:r>
    </w:p>
    <w:p w14:paraId="35C297F4" w14:textId="77777777" w:rsidR="00281B21" w:rsidRPr="00952B0B" w:rsidRDefault="0009683B" w:rsidP="000F12E1">
      <w:pPr>
        <w:bidi w:val="0"/>
        <w:spacing w:before="240" w:line="360" w:lineRule="auto"/>
        <w:jc w:val="both"/>
        <w:rPr>
          <w:rFonts w:asciiTheme="majorBidi" w:hAnsiTheme="majorBidi" w:cstheme="majorBidi"/>
          <w:sz w:val="24"/>
          <w:szCs w:val="24"/>
          <w:rtl/>
          <w:lang w:val="en"/>
        </w:rPr>
      </w:pPr>
      <w:r w:rsidRPr="00952B0B">
        <w:rPr>
          <w:rFonts w:asciiTheme="majorBidi" w:hAnsiTheme="majorBidi" w:cstheme="majorBidi"/>
          <w:sz w:val="24"/>
          <w:szCs w:val="24"/>
          <w:lang w:val="en"/>
        </w:rPr>
        <w:t xml:space="preserve">The National Center for the Survival of Slavery and Human Trafficking, which operates under the MESILA (Foreign Community Assistance and Treatment Center, Tel Aviv-Jaffa Municipality) and is funded by the Ministry of Welfare and Social Affairs, was established in 2013, and has been a major </w:t>
      </w:r>
      <w:r w:rsidR="00E73F09">
        <w:rPr>
          <w:rFonts w:asciiTheme="majorBidi" w:hAnsiTheme="majorBidi" w:cstheme="majorBidi"/>
          <w:sz w:val="24"/>
          <w:szCs w:val="24"/>
          <w:lang w:val="en"/>
        </w:rPr>
        <w:t>element</w:t>
      </w:r>
      <w:r w:rsidR="00E73F09" w:rsidRPr="00952B0B">
        <w:rPr>
          <w:rFonts w:asciiTheme="majorBidi" w:hAnsiTheme="majorBidi" w:cstheme="majorBidi"/>
          <w:sz w:val="24"/>
          <w:szCs w:val="24"/>
          <w:lang w:val="en"/>
        </w:rPr>
        <w:t xml:space="preserve"> </w:t>
      </w:r>
      <w:r w:rsidRPr="00952B0B">
        <w:rPr>
          <w:rFonts w:asciiTheme="majorBidi" w:hAnsiTheme="majorBidi" w:cstheme="majorBidi"/>
          <w:sz w:val="24"/>
          <w:szCs w:val="24"/>
          <w:lang w:val="en"/>
        </w:rPr>
        <w:t xml:space="preserve">in the protection and rehabilitation of </w:t>
      </w:r>
      <w:r w:rsidR="00742683" w:rsidRPr="00952B0B">
        <w:rPr>
          <w:rFonts w:asciiTheme="majorBidi" w:hAnsiTheme="majorBidi" w:cstheme="majorBidi"/>
          <w:sz w:val="24"/>
          <w:szCs w:val="24"/>
          <w:lang w:val="en"/>
        </w:rPr>
        <w:t xml:space="preserve">victims </w:t>
      </w:r>
      <w:r w:rsidR="00742683">
        <w:rPr>
          <w:rFonts w:asciiTheme="majorBidi" w:hAnsiTheme="majorBidi" w:cstheme="majorBidi"/>
          <w:sz w:val="24"/>
          <w:szCs w:val="24"/>
          <w:lang w:val="en"/>
        </w:rPr>
        <w:t xml:space="preserve">of </w:t>
      </w:r>
      <w:r w:rsidRPr="00952B0B">
        <w:rPr>
          <w:rFonts w:asciiTheme="majorBidi" w:hAnsiTheme="majorBidi" w:cstheme="majorBidi"/>
          <w:sz w:val="24"/>
          <w:szCs w:val="24"/>
          <w:lang w:val="en"/>
        </w:rPr>
        <w:t>trafficking in persons in Israel.</w:t>
      </w:r>
      <w:r w:rsidRPr="00952B0B">
        <w:rPr>
          <w:rFonts w:asciiTheme="majorBidi" w:hAnsiTheme="majorBidi" w:cstheme="majorBidi"/>
          <w:sz w:val="24"/>
          <w:szCs w:val="24"/>
        </w:rPr>
        <w:t xml:space="preserve"> </w:t>
      </w:r>
      <w:r w:rsidRPr="00952B0B">
        <w:rPr>
          <w:rFonts w:asciiTheme="majorBidi" w:hAnsiTheme="majorBidi" w:cstheme="majorBidi"/>
          <w:sz w:val="24"/>
          <w:szCs w:val="24"/>
          <w:lang w:val="en"/>
        </w:rPr>
        <w:t xml:space="preserve">During 2021, the National Center for the TIP and </w:t>
      </w:r>
      <w:r w:rsidR="000F12E1">
        <w:rPr>
          <w:rFonts w:asciiTheme="majorBidi" w:hAnsiTheme="majorBidi" w:cstheme="majorBidi"/>
          <w:sz w:val="24"/>
          <w:szCs w:val="24"/>
          <w:lang w:val="en"/>
        </w:rPr>
        <w:t>s</w:t>
      </w:r>
      <w:r w:rsidR="000F12E1" w:rsidRPr="00952B0B">
        <w:rPr>
          <w:rFonts w:asciiTheme="majorBidi" w:hAnsiTheme="majorBidi" w:cstheme="majorBidi"/>
          <w:sz w:val="24"/>
          <w:szCs w:val="24"/>
          <w:lang w:val="en"/>
        </w:rPr>
        <w:t>lavery</w:t>
      </w:r>
      <w:r w:rsidR="000F12E1">
        <w:rPr>
          <w:rFonts w:asciiTheme="majorBidi" w:hAnsiTheme="majorBidi" w:cstheme="majorBidi"/>
          <w:sz w:val="24"/>
          <w:szCs w:val="24"/>
          <w:lang w:val="en"/>
        </w:rPr>
        <w:t>-</w:t>
      </w:r>
      <w:r w:rsidRPr="00952B0B">
        <w:rPr>
          <w:rFonts w:asciiTheme="majorBidi" w:hAnsiTheme="majorBidi" w:cstheme="majorBidi"/>
          <w:sz w:val="24"/>
          <w:szCs w:val="24"/>
          <w:lang w:val="en"/>
        </w:rPr>
        <w:t>related offences, provided services to two hundred and twelve (212) survivors of TIP and slavery and forced labor, of whom  one hundred and thirteen (113) were men and ninety nine (99) women.</w:t>
      </w:r>
    </w:p>
    <w:p w14:paraId="054C452F" w14:textId="77777777" w:rsidR="0009683B" w:rsidRPr="00952B0B" w:rsidRDefault="00281B21" w:rsidP="003945E9">
      <w:pPr>
        <w:bidi w:val="0"/>
        <w:spacing w:before="240" w:line="360" w:lineRule="auto"/>
        <w:ind w:right="-4"/>
        <w:jc w:val="both"/>
        <w:rPr>
          <w:rFonts w:asciiTheme="majorBidi" w:hAnsiTheme="majorBidi" w:cstheme="majorBidi"/>
          <w:sz w:val="24"/>
          <w:szCs w:val="24"/>
          <w:lang w:val="en"/>
        </w:rPr>
      </w:pPr>
      <w:r w:rsidRPr="00952B0B">
        <w:rPr>
          <w:rFonts w:asciiTheme="majorBidi" w:hAnsiTheme="majorBidi" w:cstheme="majorBidi"/>
          <w:sz w:val="24"/>
          <w:szCs w:val="24"/>
          <w:lang w:val="en"/>
        </w:rPr>
        <w:t>Most of the survivors treated at the center came from Eritrea, a minority from Ethiopia or Sudan. One survivor came from Senegal, one survivor came from Ghana, another survivor from Cuba and one survivor is of Nigerian and Somali descent. In addition, following a request from the M</w:t>
      </w:r>
      <w:r w:rsidR="003945E9">
        <w:rPr>
          <w:rFonts w:asciiTheme="majorBidi" w:hAnsiTheme="majorBidi" w:cstheme="majorBidi"/>
          <w:sz w:val="24"/>
          <w:szCs w:val="24"/>
          <w:lang w:val="en"/>
        </w:rPr>
        <w:t xml:space="preserve">inistry of </w:t>
      </w:r>
      <w:r w:rsidRPr="00952B0B">
        <w:rPr>
          <w:rFonts w:asciiTheme="majorBidi" w:hAnsiTheme="majorBidi" w:cstheme="majorBidi"/>
          <w:sz w:val="24"/>
          <w:szCs w:val="24"/>
          <w:lang w:val="en"/>
        </w:rPr>
        <w:t>W</w:t>
      </w:r>
      <w:r w:rsidR="003945E9">
        <w:rPr>
          <w:rFonts w:asciiTheme="majorBidi" w:hAnsiTheme="majorBidi" w:cstheme="majorBidi"/>
          <w:sz w:val="24"/>
          <w:szCs w:val="24"/>
          <w:lang w:val="en"/>
        </w:rPr>
        <w:t xml:space="preserve">elfare and Social </w:t>
      </w:r>
      <w:r w:rsidRPr="00952B0B">
        <w:rPr>
          <w:rFonts w:asciiTheme="majorBidi" w:hAnsiTheme="majorBidi" w:cstheme="majorBidi"/>
          <w:sz w:val="24"/>
          <w:szCs w:val="24"/>
          <w:lang w:val="en"/>
        </w:rPr>
        <w:t>A</w:t>
      </w:r>
      <w:r w:rsidR="003945E9">
        <w:rPr>
          <w:rFonts w:asciiTheme="majorBidi" w:hAnsiTheme="majorBidi" w:cstheme="majorBidi"/>
          <w:sz w:val="24"/>
          <w:szCs w:val="24"/>
          <w:lang w:val="en"/>
        </w:rPr>
        <w:t>ffairs</w:t>
      </w:r>
      <w:r w:rsidRPr="00952B0B">
        <w:rPr>
          <w:rFonts w:asciiTheme="majorBidi" w:hAnsiTheme="majorBidi" w:cstheme="majorBidi"/>
          <w:sz w:val="24"/>
          <w:szCs w:val="24"/>
          <w:lang w:val="en"/>
        </w:rPr>
        <w:t xml:space="preserve"> last year, the center accompanies and provides psychosocial services to five (5) women from the former USSR (three from Russia, two from the Ukraine) who were trafficked to Israel for the purpose of prostitution.</w:t>
      </w:r>
    </w:p>
    <w:p w14:paraId="5A06D1DF" w14:textId="77777777" w:rsidR="00D57334" w:rsidRPr="00FC5577" w:rsidRDefault="00D57334" w:rsidP="000F12E1">
      <w:pPr>
        <w:bidi w:val="0"/>
        <w:spacing w:before="240" w:line="360" w:lineRule="auto"/>
        <w:ind w:right="-4"/>
        <w:jc w:val="both"/>
        <w:rPr>
          <w:rFonts w:asciiTheme="majorBidi" w:hAnsiTheme="majorBidi" w:cstheme="majorBidi"/>
          <w:sz w:val="24"/>
          <w:szCs w:val="24"/>
          <w:lang w:val="en"/>
        </w:rPr>
      </w:pPr>
      <w:r w:rsidRPr="00FC5577">
        <w:rPr>
          <w:rFonts w:asciiTheme="majorBidi" w:hAnsiTheme="majorBidi" w:cstheme="majorBidi"/>
          <w:sz w:val="24"/>
          <w:szCs w:val="24"/>
          <w:lang w:val="en"/>
        </w:rPr>
        <w:t xml:space="preserve">Moreover, an inter-ministerial committee was formed to examine offering subsidized health services to migrants who may not be returned to their country of origin. The </w:t>
      </w:r>
      <w:r w:rsidR="00742683">
        <w:rPr>
          <w:rFonts w:asciiTheme="majorBidi" w:hAnsiTheme="majorBidi" w:cstheme="majorBidi"/>
          <w:sz w:val="24"/>
          <w:szCs w:val="24"/>
          <w:lang w:val="en"/>
        </w:rPr>
        <w:t>C</w:t>
      </w:r>
      <w:r w:rsidRPr="00FC5577">
        <w:rPr>
          <w:rFonts w:asciiTheme="majorBidi" w:hAnsiTheme="majorBidi" w:cstheme="majorBidi"/>
          <w:sz w:val="24"/>
          <w:szCs w:val="24"/>
          <w:lang w:val="en"/>
        </w:rPr>
        <w:t>ommittee reviewed the "</w:t>
      </w:r>
      <w:proofErr w:type="spellStart"/>
      <w:r w:rsidRPr="00FC5577">
        <w:rPr>
          <w:rFonts w:asciiTheme="majorBidi" w:hAnsiTheme="majorBidi" w:cstheme="majorBidi"/>
          <w:sz w:val="24"/>
          <w:szCs w:val="24"/>
          <w:lang w:val="en"/>
        </w:rPr>
        <w:t>Meuhedet</w:t>
      </w:r>
      <w:proofErr w:type="spellEnd"/>
      <w:r w:rsidRPr="00FC5577">
        <w:rPr>
          <w:rFonts w:asciiTheme="majorBidi" w:hAnsiTheme="majorBidi" w:cstheme="majorBidi"/>
          <w:sz w:val="24"/>
          <w:szCs w:val="24"/>
          <w:lang w:val="en"/>
        </w:rPr>
        <w:t>" Health Fund</w:t>
      </w:r>
      <w:r w:rsidR="000F12E1">
        <w:rPr>
          <w:rFonts w:asciiTheme="majorBidi" w:hAnsiTheme="majorBidi" w:cstheme="majorBidi"/>
          <w:sz w:val="24"/>
          <w:szCs w:val="24"/>
          <w:lang w:val="en"/>
        </w:rPr>
        <w:t>’s</w:t>
      </w:r>
      <w:r w:rsidRPr="00FC5577">
        <w:rPr>
          <w:rFonts w:asciiTheme="majorBidi" w:hAnsiTheme="majorBidi" w:cstheme="majorBidi"/>
          <w:sz w:val="24"/>
          <w:szCs w:val="24"/>
          <w:lang w:val="en"/>
        </w:rPr>
        <w:t xml:space="preserve"> 2001 arrangement for providing subsidized health services to </w:t>
      </w:r>
      <w:r w:rsidR="000F12E1">
        <w:rPr>
          <w:rFonts w:asciiTheme="majorBidi" w:hAnsiTheme="majorBidi" w:cstheme="majorBidi"/>
          <w:sz w:val="24"/>
          <w:szCs w:val="24"/>
          <w:lang w:val="en"/>
        </w:rPr>
        <w:t>children</w:t>
      </w:r>
      <w:r w:rsidR="000F12E1" w:rsidRPr="00FC5577">
        <w:rPr>
          <w:rFonts w:asciiTheme="majorBidi" w:hAnsiTheme="majorBidi" w:cstheme="majorBidi"/>
          <w:sz w:val="24"/>
          <w:szCs w:val="24"/>
          <w:lang w:val="en"/>
        </w:rPr>
        <w:t xml:space="preserve"> </w:t>
      </w:r>
      <w:r w:rsidRPr="00FC5577">
        <w:rPr>
          <w:rFonts w:asciiTheme="majorBidi" w:hAnsiTheme="majorBidi" w:cstheme="majorBidi"/>
          <w:sz w:val="24"/>
          <w:szCs w:val="24"/>
          <w:lang w:val="en"/>
        </w:rPr>
        <w:t xml:space="preserve">without civil status, due to the ambiguity regarding its scope of application. Accordingly, the </w:t>
      </w:r>
      <w:r w:rsidR="00742683">
        <w:rPr>
          <w:rFonts w:asciiTheme="majorBidi" w:hAnsiTheme="majorBidi" w:cstheme="majorBidi"/>
          <w:sz w:val="24"/>
          <w:szCs w:val="24"/>
          <w:lang w:val="en"/>
        </w:rPr>
        <w:t>C</w:t>
      </w:r>
      <w:r w:rsidRPr="00FC5577">
        <w:rPr>
          <w:rFonts w:asciiTheme="majorBidi" w:hAnsiTheme="majorBidi" w:cstheme="majorBidi"/>
          <w:sz w:val="24"/>
          <w:szCs w:val="24"/>
          <w:lang w:val="en"/>
        </w:rPr>
        <w:t xml:space="preserve">ommittee also discussed the possibility to extend the arrangement to adult migrants granted temporary group </w:t>
      </w:r>
      <w:r w:rsidRPr="00FC5577">
        <w:rPr>
          <w:rFonts w:asciiTheme="majorBidi" w:hAnsiTheme="majorBidi" w:cstheme="majorBidi"/>
          <w:sz w:val="24"/>
          <w:szCs w:val="24"/>
          <w:lang w:val="en"/>
        </w:rPr>
        <w:lastRenderedPageBreak/>
        <w:t xml:space="preserve">protection who may not be returned to their country of origin. On December 14, 2021, the Committee submitted its report to the Minister and Director General of the Ministry of Health, recommending that certain groups of foreign </w:t>
      </w:r>
      <w:r w:rsidR="000F12E1">
        <w:rPr>
          <w:rFonts w:asciiTheme="majorBidi" w:hAnsiTheme="majorBidi" w:cstheme="majorBidi"/>
          <w:sz w:val="24"/>
          <w:szCs w:val="24"/>
          <w:lang w:val="en"/>
        </w:rPr>
        <w:t>children</w:t>
      </w:r>
      <w:r w:rsidR="000F12E1" w:rsidRPr="00FC5577">
        <w:rPr>
          <w:rFonts w:asciiTheme="majorBidi" w:hAnsiTheme="majorBidi" w:cstheme="majorBidi"/>
          <w:sz w:val="24"/>
          <w:szCs w:val="24"/>
          <w:lang w:val="en"/>
        </w:rPr>
        <w:t xml:space="preserve"> </w:t>
      </w:r>
      <w:r w:rsidRPr="00FC5577">
        <w:rPr>
          <w:rFonts w:asciiTheme="majorBidi" w:hAnsiTheme="majorBidi" w:cstheme="majorBidi"/>
          <w:sz w:val="24"/>
          <w:szCs w:val="24"/>
          <w:lang w:val="en"/>
        </w:rPr>
        <w:t>and adults granted temporary group protection that may not be returned to their countries of origin will receive health care plan subsidized by the State. The recommendations are being examined by the Min</w:t>
      </w:r>
      <w:r w:rsidR="00742683">
        <w:rPr>
          <w:rFonts w:asciiTheme="majorBidi" w:hAnsiTheme="majorBidi" w:cstheme="majorBidi"/>
          <w:sz w:val="24"/>
          <w:szCs w:val="24"/>
          <w:lang w:val="en"/>
        </w:rPr>
        <w:t>i</w:t>
      </w:r>
      <w:r w:rsidRPr="00FC5577">
        <w:rPr>
          <w:rFonts w:asciiTheme="majorBidi" w:hAnsiTheme="majorBidi" w:cstheme="majorBidi"/>
          <w:sz w:val="24"/>
          <w:szCs w:val="24"/>
          <w:lang w:val="en"/>
        </w:rPr>
        <w:t>ster of Health.</w:t>
      </w:r>
    </w:p>
    <w:p w14:paraId="52AE41E2" w14:textId="77777777" w:rsidR="003C3FA3" w:rsidRPr="00952B0B" w:rsidRDefault="00820A94" w:rsidP="00FC5577">
      <w:pPr>
        <w:bidi w:val="0"/>
        <w:spacing w:before="240" w:line="360" w:lineRule="auto"/>
        <w:jc w:val="both"/>
        <w:rPr>
          <w:rFonts w:asciiTheme="majorBidi" w:hAnsiTheme="majorBidi" w:cstheme="majorBidi"/>
          <w:sz w:val="24"/>
          <w:szCs w:val="24"/>
          <w:u w:val="single"/>
          <w:lang w:eastAsia="he-IL"/>
        </w:rPr>
      </w:pPr>
      <w:r w:rsidRPr="00952B0B">
        <w:rPr>
          <w:rFonts w:asciiTheme="majorBidi" w:hAnsiTheme="majorBidi" w:cstheme="majorBidi"/>
          <w:sz w:val="24"/>
          <w:szCs w:val="24"/>
          <w:u w:val="single"/>
          <w:lang w:eastAsia="he-IL"/>
        </w:rPr>
        <w:t xml:space="preserve">The Commissioner for Foreign Workers' Labor Rights Unit </w:t>
      </w:r>
    </w:p>
    <w:p w14:paraId="02226E32" w14:textId="77777777" w:rsidR="00820A94" w:rsidRPr="00952B0B" w:rsidRDefault="00952B0B" w:rsidP="000F12E1">
      <w:pPr>
        <w:bidi w:val="0"/>
        <w:spacing w:before="240" w:line="360" w:lineRule="auto"/>
        <w:jc w:val="both"/>
        <w:rPr>
          <w:rFonts w:asciiTheme="majorBidi" w:hAnsiTheme="majorBidi" w:cstheme="majorBidi"/>
          <w:b/>
          <w:sz w:val="24"/>
          <w:szCs w:val="24"/>
          <w:lang w:eastAsia="he-IL"/>
        </w:rPr>
      </w:pPr>
      <w:r w:rsidRPr="00952B0B">
        <w:rPr>
          <w:rFonts w:asciiTheme="majorBidi" w:hAnsiTheme="majorBidi" w:cstheme="majorBidi"/>
          <w:sz w:val="24"/>
          <w:szCs w:val="24"/>
          <w:lang w:eastAsia="he-IL"/>
        </w:rPr>
        <w:t xml:space="preserve">The </w:t>
      </w:r>
      <w:r w:rsidR="003C3FA3" w:rsidRPr="00952B0B">
        <w:rPr>
          <w:rFonts w:asciiTheme="majorBidi" w:hAnsiTheme="majorBidi" w:cstheme="majorBidi"/>
          <w:sz w:val="24"/>
          <w:szCs w:val="24"/>
          <w:lang w:eastAsia="he-IL"/>
        </w:rPr>
        <w:t>Commissioner for Foreign Workers' Labor Rights Unit</w:t>
      </w:r>
      <w:r w:rsidR="00820A94" w:rsidRPr="00952B0B">
        <w:rPr>
          <w:rFonts w:asciiTheme="majorBidi" w:hAnsiTheme="majorBidi" w:cstheme="majorBidi"/>
          <w:sz w:val="24"/>
          <w:szCs w:val="24"/>
          <w:lang w:eastAsia="he-IL"/>
        </w:rPr>
        <w:t xml:space="preserve"> is charged with protecting the labor rights of the foreigners employed in Israel</w:t>
      </w:r>
      <w:r w:rsidR="00075568">
        <w:rPr>
          <w:rFonts w:asciiTheme="majorBidi" w:hAnsiTheme="majorBidi" w:cstheme="majorBidi"/>
          <w:sz w:val="24"/>
          <w:szCs w:val="24"/>
          <w:lang w:eastAsia="he-IL"/>
        </w:rPr>
        <w:t>.</w:t>
      </w:r>
      <w:r w:rsidR="00820A94" w:rsidRPr="00952B0B">
        <w:rPr>
          <w:rFonts w:asciiTheme="majorBidi" w:hAnsiTheme="majorBidi" w:cstheme="majorBidi"/>
          <w:sz w:val="24"/>
          <w:szCs w:val="24"/>
          <w:lang w:eastAsia="he-IL"/>
        </w:rPr>
        <w:t xml:space="preserve"> The Commissioner is authorized to </w:t>
      </w:r>
      <w:r w:rsidR="000F12E1">
        <w:rPr>
          <w:rFonts w:asciiTheme="majorBidi" w:hAnsiTheme="majorBidi" w:cstheme="majorBidi"/>
          <w:sz w:val="24"/>
          <w:szCs w:val="24"/>
          <w:lang w:eastAsia="he-IL"/>
        </w:rPr>
        <w:t>present cases</w:t>
      </w:r>
      <w:r w:rsidR="00820A94" w:rsidRPr="00952B0B">
        <w:rPr>
          <w:rFonts w:asciiTheme="majorBidi" w:hAnsiTheme="majorBidi" w:cstheme="majorBidi"/>
          <w:sz w:val="24"/>
          <w:szCs w:val="24"/>
          <w:lang w:eastAsia="he-IL"/>
        </w:rPr>
        <w:t xml:space="preserve"> in Labor Courts or participate in legal proceedings with </w:t>
      </w:r>
      <w:r w:rsidR="00075568">
        <w:rPr>
          <w:rFonts w:asciiTheme="majorBidi" w:hAnsiTheme="majorBidi" w:cstheme="majorBidi"/>
          <w:sz w:val="24"/>
          <w:szCs w:val="24"/>
          <w:lang w:eastAsia="he-IL"/>
        </w:rPr>
        <w:t>the courts</w:t>
      </w:r>
      <w:r w:rsidR="00813281">
        <w:rPr>
          <w:rFonts w:asciiTheme="majorBidi" w:hAnsiTheme="majorBidi" w:cstheme="majorBidi"/>
          <w:sz w:val="24"/>
          <w:szCs w:val="24"/>
          <w:lang w:eastAsia="he-IL"/>
        </w:rPr>
        <w:t>'</w:t>
      </w:r>
      <w:r w:rsidR="00075568">
        <w:rPr>
          <w:rFonts w:asciiTheme="majorBidi" w:hAnsiTheme="majorBidi" w:cstheme="majorBidi"/>
          <w:sz w:val="24"/>
          <w:szCs w:val="24"/>
          <w:lang w:eastAsia="he-IL"/>
        </w:rPr>
        <w:t xml:space="preserve"> </w:t>
      </w:r>
      <w:r w:rsidR="00820A94" w:rsidRPr="00952B0B">
        <w:rPr>
          <w:rFonts w:asciiTheme="majorBidi" w:hAnsiTheme="majorBidi" w:cstheme="majorBidi"/>
          <w:sz w:val="24"/>
          <w:szCs w:val="24"/>
          <w:lang w:eastAsia="he-IL"/>
        </w:rPr>
        <w:t>permission. During 2021, a small number of applications were examined in this context, which eventually did not require the involvement of the Commissioner in such legal proceedings.</w:t>
      </w:r>
    </w:p>
    <w:p w14:paraId="7DEA27A3" w14:textId="77777777" w:rsidR="00820A94" w:rsidRPr="00952B0B" w:rsidRDefault="00820A94" w:rsidP="001E5260">
      <w:pPr>
        <w:pStyle w:val="a"/>
        <w:tabs>
          <w:tab w:val="right" w:pos="10348"/>
        </w:tabs>
        <w:ind w:left="0"/>
        <w:rPr>
          <w:rFonts w:asciiTheme="majorBidi" w:hAnsiTheme="majorBidi" w:cstheme="majorBidi"/>
        </w:rPr>
      </w:pPr>
      <w:r w:rsidRPr="00952B0B">
        <w:rPr>
          <w:rFonts w:asciiTheme="majorBidi" w:hAnsiTheme="majorBidi" w:cstheme="majorBidi"/>
        </w:rPr>
        <w:t xml:space="preserve">The year 2021 was a very active and productive year at the Unit, </w:t>
      </w:r>
      <w:r w:rsidR="00813281" w:rsidRPr="00952B0B">
        <w:rPr>
          <w:rFonts w:asciiTheme="majorBidi" w:hAnsiTheme="majorBidi" w:cstheme="majorBidi"/>
        </w:rPr>
        <w:t>concurrently</w:t>
      </w:r>
      <w:r w:rsidRPr="00952B0B">
        <w:rPr>
          <w:rFonts w:asciiTheme="majorBidi" w:hAnsiTheme="majorBidi" w:cstheme="majorBidi"/>
        </w:rPr>
        <w:t xml:space="preserve"> with measures taken following the outbreak of the Covid-19 pandemic. The strategic plan for 2021 focused on three main goals: to provide a place foreign workers can turn to learn about labor rights and to assert their rights; the identification of existing gaps and needs in the assertion and promotion of workers' rights; and the creation of partnerships.</w:t>
      </w:r>
      <w:r w:rsidR="00462D1D" w:rsidRPr="00952B0B">
        <w:rPr>
          <w:rFonts w:asciiTheme="majorBidi" w:hAnsiTheme="majorBidi" w:cstheme="majorBidi"/>
        </w:rPr>
        <w:t xml:space="preserve"> </w:t>
      </w:r>
      <w:r w:rsidRPr="00952B0B">
        <w:rPr>
          <w:rFonts w:asciiTheme="majorBidi" w:hAnsiTheme="majorBidi" w:cstheme="majorBidi"/>
        </w:rPr>
        <w:t xml:space="preserve">Workers can apply to the Commission via email, </w:t>
      </w:r>
      <w:r w:rsidR="001E5260" w:rsidRPr="00952B0B">
        <w:rPr>
          <w:rFonts w:asciiTheme="majorBidi" w:hAnsiTheme="majorBidi" w:cstheme="majorBidi"/>
        </w:rPr>
        <w:t>landline</w:t>
      </w:r>
      <w:r w:rsidRPr="00952B0B">
        <w:rPr>
          <w:rFonts w:asciiTheme="majorBidi" w:hAnsiTheme="majorBidi" w:cstheme="majorBidi"/>
        </w:rPr>
        <w:t xml:space="preserve">, mobile phone or WhatsApp. In cases where the applicant is not an English speaker, the Commissioner Unit is assisted by translation services to various languages. </w:t>
      </w:r>
      <w:r w:rsidR="00895E7F">
        <w:rPr>
          <w:rFonts w:asciiTheme="majorBidi" w:hAnsiTheme="majorBidi" w:cstheme="majorBidi"/>
        </w:rPr>
        <w:t>T</w:t>
      </w:r>
      <w:r w:rsidRPr="00952B0B">
        <w:rPr>
          <w:rFonts w:asciiTheme="majorBidi" w:hAnsiTheme="majorBidi" w:cstheme="majorBidi"/>
        </w:rPr>
        <w:t xml:space="preserve">he Unit has dramatically increased the </w:t>
      </w:r>
      <w:r w:rsidR="00895E7F" w:rsidRPr="00952B0B">
        <w:rPr>
          <w:rFonts w:asciiTheme="majorBidi" w:hAnsiTheme="majorBidi" w:cstheme="majorBidi"/>
        </w:rPr>
        <w:t>sum</w:t>
      </w:r>
      <w:r w:rsidRPr="00952B0B">
        <w:rPr>
          <w:rFonts w:asciiTheme="majorBidi" w:hAnsiTheme="majorBidi" w:cstheme="majorBidi"/>
        </w:rPr>
        <w:t xml:space="preserve"> of applications it receive from workers</w:t>
      </w:r>
    </w:p>
    <w:p w14:paraId="1AFF9041" w14:textId="77777777" w:rsidR="00820A94" w:rsidRDefault="00820A94" w:rsidP="00895E7F">
      <w:pPr>
        <w:pStyle w:val="a"/>
        <w:tabs>
          <w:tab w:val="right" w:pos="10348"/>
        </w:tabs>
        <w:ind w:left="0"/>
        <w:rPr>
          <w:rFonts w:asciiTheme="majorBidi" w:hAnsiTheme="majorBidi" w:cstheme="majorBidi"/>
        </w:rPr>
      </w:pPr>
      <w:r w:rsidRPr="00952B0B">
        <w:rPr>
          <w:rFonts w:asciiTheme="majorBidi" w:hAnsiTheme="majorBidi" w:cstheme="majorBidi"/>
        </w:rPr>
        <w:t xml:space="preserve">As of the beginning of December 2021, approximately 1,600 applications were received, 12.79% of which were Covid-19 related. 74.51% of the applications received a response within one business day. </w:t>
      </w:r>
      <w:r w:rsidR="00895E7F">
        <w:rPr>
          <w:rFonts w:asciiTheme="majorBidi" w:hAnsiTheme="majorBidi" w:cstheme="majorBidi"/>
        </w:rPr>
        <w:t>N</w:t>
      </w:r>
      <w:r w:rsidRPr="00952B0B">
        <w:rPr>
          <w:rFonts w:asciiTheme="majorBidi" w:hAnsiTheme="majorBidi" w:cstheme="majorBidi"/>
        </w:rPr>
        <w:t xml:space="preserve">ote that hundreds of applications were received on the matter of Covid-19 vaccines, as a result of the lack of clarity in this matter (the Green Pass, the third vaccine, the location for receiving the vaccine, etc.). Such applications are not included in the abovementioned number of applications, but </w:t>
      </w:r>
      <w:r w:rsidR="00895E7F">
        <w:rPr>
          <w:rFonts w:asciiTheme="majorBidi" w:hAnsiTheme="majorBidi" w:cstheme="majorBidi"/>
        </w:rPr>
        <w:t xml:space="preserve">rather were given </w:t>
      </w:r>
      <w:r w:rsidRPr="00952B0B">
        <w:rPr>
          <w:rFonts w:asciiTheme="majorBidi" w:hAnsiTheme="majorBidi" w:cstheme="majorBidi"/>
        </w:rPr>
        <w:t>a professional and direct response</w:t>
      </w:r>
      <w:r w:rsidR="00462D1D" w:rsidRPr="00952B0B">
        <w:rPr>
          <w:rFonts w:asciiTheme="majorBidi" w:hAnsiTheme="majorBidi" w:cstheme="majorBidi"/>
        </w:rPr>
        <w:t>.</w:t>
      </w:r>
    </w:p>
    <w:p w14:paraId="594DD7B7" w14:textId="77777777" w:rsidR="00484632" w:rsidRPr="00952B0B" w:rsidRDefault="00484632" w:rsidP="000F12E1">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lang w:val="en-GB"/>
        </w:rPr>
        <w:t>Recently, t</w:t>
      </w:r>
      <w:r w:rsidRPr="00952B0B">
        <w:rPr>
          <w:rFonts w:asciiTheme="majorBidi" w:hAnsiTheme="majorBidi" w:cstheme="majorBidi"/>
          <w:sz w:val="24"/>
          <w:szCs w:val="24"/>
          <w:lang w:val="en-GB"/>
        </w:rPr>
        <w:t>he Commissioner on Foreign Workers' </w:t>
      </w:r>
      <w:proofErr w:type="spellStart"/>
      <w:r w:rsidRPr="00952B0B">
        <w:rPr>
          <w:rFonts w:asciiTheme="majorBidi" w:hAnsiTheme="majorBidi" w:cstheme="majorBidi"/>
          <w:sz w:val="24"/>
          <w:szCs w:val="24"/>
          <w:lang w:val="en-GB"/>
        </w:rPr>
        <w:t>Labor</w:t>
      </w:r>
      <w:proofErr w:type="spellEnd"/>
      <w:r w:rsidRPr="00952B0B">
        <w:rPr>
          <w:rFonts w:asciiTheme="majorBidi" w:hAnsiTheme="majorBidi" w:cstheme="majorBidi"/>
          <w:sz w:val="24"/>
          <w:szCs w:val="24"/>
          <w:lang w:val="en-GB"/>
        </w:rPr>
        <w:t xml:space="preserve"> Rights' contact information </w:t>
      </w:r>
      <w:r>
        <w:rPr>
          <w:rFonts w:asciiTheme="majorBidi" w:hAnsiTheme="majorBidi" w:cstheme="majorBidi"/>
          <w:sz w:val="24"/>
          <w:szCs w:val="24"/>
          <w:lang w:val="en-GB"/>
        </w:rPr>
        <w:t>was</w:t>
      </w:r>
      <w:r w:rsidRPr="00952B0B">
        <w:rPr>
          <w:rFonts w:asciiTheme="majorBidi" w:hAnsiTheme="majorBidi" w:cstheme="majorBidi"/>
          <w:sz w:val="24"/>
          <w:szCs w:val="24"/>
          <w:lang w:val="en-GB"/>
        </w:rPr>
        <w:t xml:space="preserve"> attached to the </w:t>
      </w:r>
      <w:r w:rsidR="000F12E1">
        <w:rPr>
          <w:rFonts w:asciiTheme="majorBidi" w:hAnsiTheme="majorBidi" w:cstheme="majorBidi"/>
          <w:sz w:val="24"/>
          <w:szCs w:val="24"/>
          <w:lang w:val="en-GB"/>
        </w:rPr>
        <w:t>pay slips</w:t>
      </w:r>
      <w:r w:rsidRPr="00952B0B">
        <w:rPr>
          <w:rFonts w:asciiTheme="majorBidi" w:hAnsiTheme="majorBidi" w:cstheme="majorBidi"/>
          <w:sz w:val="24"/>
          <w:szCs w:val="24"/>
          <w:lang w:val="en-GB"/>
        </w:rPr>
        <w:t xml:space="preserve"> of Palestinian workers. Since this change, an increase in </w:t>
      </w:r>
      <w:r w:rsidRPr="00952B0B">
        <w:rPr>
          <w:rFonts w:asciiTheme="majorBidi" w:hAnsiTheme="majorBidi" w:cstheme="majorBidi"/>
          <w:sz w:val="24"/>
          <w:szCs w:val="24"/>
          <w:lang w:val="en-GB"/>
        </w:rPr>
        <w:lastRenderedPageBreak/>
        <w:t xml:space="preserve">calls has been noted. In 2021, the Commissioner received 112 calls from employed Palestinian workers and 43 calls from Palestinian workers seeking employment. In 2020, the Commissioner received 35 calls from employed Palestinian workers and 109 calls from Palestinian workers seeking employment. In 2019, the Commissioner received </w:t>
      </w:r>
      <w:r w:rsidR="001E5260">
        <w:rPr>
          <w:rFonts w:asciiTheme="majorBidi" w:hAnsiTheme="majorBidi" w:cstheme="majorBidi"/>
          <w:sz w:val="24"/>
          <w:szCs w:val="24"/>
          <w:lang w:val="en-GB"/>
        </w:rPr>
        <w:t>two</w:t>
      </w:r>
      <w:r w:rsidRPr="00952B0B">
        <w:rPr>
          <w:rFonts w:asciiTheme="majorBidi" w:hAnsiTheme="majorBidi" w:cstheme="majorBidi"/>
          <w:sz w:val="24"/>
          <w:szCs w:val="24"/>
          <w:lang w:val="en-GB"/>
        </w:rPr>
        <w:t xml:space="preserve"> (2) calls from employed Palestinian workers and 249 calls from Palestinian workers seeking employment. The Commissioner offers assistance in the Arabic language through translators in both written and oral communication. </w:t>
      </w:r>
    </w:p>
    <w:p w14:paraId="1A5979F9" w14:textId="77777777" w:rsidR="00820A94" w:rsidRPr="00952B0B" w:rsidRDefault="00820A94" w:rsidP="00484632">
      <w:pPr>
        <w:bidi w:val="0"/>
        <w:spacing w:before="240" w:line="360" w:lineRule="auto"/>
        <w:jc w:val="both"/>
        <w:rPr>
          <w:rFonts w:asciiTheme="majorBidi" w:eastAsia="David" w:hAnsiTheme="majorBidi" w:cstheme="majorBidi"/>
          <w:sz w:val="24"/>
          <w:szCs w:val="24"/>
        </w:rPr>
      </w:pPr>
      <w:r w:rsidRPr="00952B0B">
        <w:rPr>
          <w:rFonts w:asciiTheme="majorBidi" w:hAnsiTheme="majorBidi" w:cstheme="majorBidi"/>
          <w:sz w:val="24"/>
          <w:szCs w:val="24"/>
        </w:rPr>
        <w:t xml:space="preserve">It should be clarified that the Commissioner </w:t>
      </w:r>
      <w:r w:rsidR="00D83F03">
        <w:rPr>
          <w:rFonts w:asciiTheme="majorBidi" w:hAnsiTheme="majorBidi" w:cstheme="majorBidi"/>
          <w:sz w:val="24"/>
          <w:szCs w:val="24"/>
        </w:rPr>
        <w:t xml:space="preserve">also </w:t>
      </w:r>
      <w:r w:rsidRPr="00952B0B">
        <w:rPr>
          <w:rFonts w:asciiTheme="majorBidi" w:hAnsiTheme="majorBidi" w:cstheme="majorBidi"/>
          <w:sz w:val="24"/>
          <w:szCs w:val="24"/>
        </w:rPr>
        <w:t xml:space="preserve">provides assistance to </w:t>
      </w:r>
      <w:r w:rsidR="00D83F03">
        <w:rPr>
          <w:rFonts w:asciiTheme="majorBidi" w:hAnsiTheme="majorBidi" w:cstheme="majorBidi"/>
          <w:sz w:val="24"/>
          <w:szCs w:val="24"/>
        </w:rPr>
        <w:t>a</w:t>
      </w:r>
      <w:r w:rsidR="00D83F03" w:rsidRPr="00952B0B">
        <w:rPr>
          <w:rFonts w:asciiTheme="majorBidi" w:hAnsiTheme="majorBidi" w:cstheme="majorBidi"/>
          <w:sz w:val="24"/>
          <w:szCs w:val="24"/>
        </w:rPr>
        <w:t xml:space="preserve">sylum </w:t>
      </w:r>
      <w:r w:rsidRPr="00952B0B">
        <w:rPr>
          <w:rFonts w:asciiTheme="majorBidi" w:hAnsiTheme="majorBidi" w:cstheme="majorBidi"/>
          <w:sz w:val="24"/>
          <w:szCs w:val="24"/>
        </w:rPr>
        <w:t xml:space="preserve">seekers who are or were employed. </w:t>
      </w:r>
      <w:r w:rsidR="00895E7F">
        <w:rPr>
          <w:rFonts w:asciiTheme="majorBidi" w:hAnsiTheme="majorBidi" w:cstheme="majorBidi"/>
          <w:sz w:val="24"/>
          <w:szCs w:val="24"/>
        </w:rPr>
        <w:t>T</w:t>
      </w:r>
      <w:r w:rsidRPr="00952B0B">
        <w:rPr>
          <w:rFonts w:asciiTheme="majorBidi" w:hAnsiTheme="majorBidi" w:cstheme="majorBidi"/>
          <w:sz w:val="24"/>
          <w:szCs w:val="24"/>
        </w:rPr>
        <w:t>here were three cases in which asylum seeker workers who had been removed from Israel applied to the Commissioner Unit from their country of origin, and received assistance and a refund of all the money that was due to them from their former employers.</w:t>
      </w:r>
    </w:p>
    <w:p w14:paraId="75A90DE9" w14:textId="77777777" w:rsidR="00820A94" w:rsidRPr="00952B0B" w:rsidRDefault="00820A94" w:rsidP="001E5260">
      <w:pPr>
        <w:bidi w:val="0"/>
        <w:spacing w:before="240" w:line="360" w:lineRule="auto"/>
        <w:jc w:val="both"/>
        <w:rPr>
          <w:rFonts w:asciiTheme="majorBidi" w:eastAsia="David" w:hAnsiTheme="majorBidi" w:cstheme="majorBidi"/>
          <w:sz w:val="24"/>
          <w:szCs w:val="24"/>
        </w:rPr>
      </w:pPr>
      <w:r w:rsidRPr="00952B0B">
        <w:rPr>
          <w:rFonts w:asciiTheme="majorBidi" w:eastAsia="David" w:hAnsiTheme="majorBidi" w:cstheme="majorBidi"/>
          <w:sz w:val="24"/>
          <w:szCs w:val="24"/>
        </w:rPr>
        <w:t xml:space="preserve">During 2021, the </w:t>
      </w:r>
      <w:r w:rsidR="00895E7F" w:rsidRPr="00952B0B">
        <w:rPr>
          <w:rFonts w:asciiTheme="majorBidi" w:eastAsia="David" w:hAnsiTheme="majorBidi" w:cstheme="majorBidi"/>
          <w:sz w:val="24"/>
          <w:szCs w:val="24"/>
        </w:rPr>
        <w:t xml:space="preserve">Commissioner </w:t>
      </w:r>
      <w:r w:rsidR="00895E7F">
        <w:rPr>
          <w:rFonts w:asciiTheme="majorBidi" w:eastAsia="David" w:hAnsiTheme="majorBidi" w:cstheme="majorBidi"/>
          <w:sz w:val="24"/>
          <w:szCs w:val="24"/>
        </w:rPr>
        <w:t>U</w:t>
      </w:r>
      <w:r w:rsidR="00895E7F" w:rsidRPr="00952B0B">
        <w:rPr>
          <w:rFonts w:asciiTheme="majorBidi" w:eastAsia="David" w:hAnsiTheme="majorBidi" w:cstheme="majorBidi"/>
          <w:sz w:val="24"/>
          <w:szCs w:val="24"/>
        </w:rPr>
        <w:t xml:space="preserve">nit </w:t>
      </w:r>
      <w:r w:rsidRPr="00952B0B">
        <w:rPr>
          <w:rFonts w:asciiTheme="majorBidi" w:eastAsia="David" w:hAnsiTheme="majorBidi" w:cstheme="majorBidi"/>
          <w:sz w:val="24"/>
          <w:szCs w:val="24"/>
        </w:rPr>
        <w:t xml:space="preserve">initiated and held a series of meetings titled "Rights Trustees in </w:t>
      </w:r>
      <w:r w:rsidR="00895E7F">
        <w:rPr>
          <w:rFonts w:asciiTheme="majorBidi" w:eastAsia="David" w:hAnsiTheme="majorBidi" w:cstheme="majorBidi"/>
          <w:sz w:val="24"/>
          <w:szCs w:val="24"/>
        </w:rPr>
        <w:t>nursing</w:t>
      </w:r>
      <w:r w:rsidR="00895E7F" w:rsidRPr="00952B0B">
        <w:rPr>
          <w:rFonts w:asciiTheme="majorBidi" w:eastAsia="David" w:hAnsiTheme="majorBidi" w:cstheme="majorBidi"/>
          <w:sz w:val="24"/>
          <w:szCs w:val="24"/>
        </w:rPr>
        <w:t xml:space="preserve"> </w:t>
      </w:r>
      <w:r w:rsidRPr="00952B0B">
        <w:rPr>
          <w:rFonts w:asciiTheme="majorBidi" w:eastAsia="David" w:hAnsiTheme="majorBidi" w:cstheme="majorBidi"/>
          <w:sz w:val="24"/>
          <w:szCs w:val="24"/>
        </w:rPr>
        <w:t xml:space="preserve">care </w:t>
      </w:r>
      <w:r w:rsidR="00895E7F">
        <w:rPr>
          <w:rFonts w:asciiTheme="majorBidi" w:eastAsia="David" w:hAnsiTheme="majorBidi" w:cstheme="majorBidi"/>
          <w:sz w:val="24"/>
          <w:szCs w:val="24"/>
        </w:rPr>
        <w:t>field</w:t>
      </w:r>
      <w:r w:rsidR="00895E7F" w:rsidRPr="00952B0B">
        <w:rPr>
          <w:rFonts w:asciiTheme="majorBidi" w:eastAsia="David" w:hAnsiTheme="majorBidi" w:cstheme="majorBidi"/>
          <w:sz w:val="24"/>
          <w:szCs w:val="24"/>
        </w:rPr>
        <w:t xml:space="preserve"> </w:t>
      </w:r>
      <w:r w:rsidRPr="00952B0B">
        <w:rPr>
          <w:rFonts w:asciiTheme="majorBidi" w:eastAsia="David" w:hAnsiTheme="majorBidi" w:cstheme="majorBidi"/>
          <w:sz w:val="24"/>
          <w:szCs w:val="24"/>
        </w:rPr>
        <w:t xml:space="preserve">project", aimed at the private agencies active in this field. The meeting included </w:t>
      </w:r>
      <w:r w:rsidR="00895E7F">
        <w:rPr>
          <w:rFonts w:asciiTheme="majorBidi" w:eastAsia="David" w:hAnsiTheme="majorBidi" w:cstheme="majorBidi"/>
          <w:sz w:val="24"/>
          <w:szCs w:val="24"/>
        </w:rPr>
        <w:t xml:space="preserve">a range of </w:t>
      </w:r>
      <w:r w:rsidRPr="00952B0B">
        <w:rPr>
          <w:rFonts w:asciiTheme="majorBidi" w:eastAsia="David" w:hAnsiTheme="majorBidi" w:cstheme="majorBidi"/>
          <w:sz w:val="24"/>
          <w:szCs w:val="24"/>
        </w:rPr>
        <w:t xml:space="preserve">relevant topics regarding prevention of violation of workers' rights in this vulnerable and sensitive field of employment, including prevention of forced labor, TIP and Slavery, and one of the meetings was dedicated to the topic of sexual harassment and sexual offenses in the </w:t>
      </w:r>
      <w:r w:rsidR="00484632">
        <w:rPr>
          <w:rFonts w:asciiTheme="majorBidi" w:eastAsia="David" w:hAnsiTheme="majorBidi" w:cstheme="majorBidi"/>
          <w:sz w:val="24"/>
          <w:szCs w:val="24"/>
        </w:rPr>
        <w:t>home-care</w:t>
      </w:r>
      <w:r w:rsidR="00895E7F" w:rsidRPr="00952B0B">
        <w:rPr>
          <w:rFonts w:asciiTheme="majorBidi" w:eastAsia="David" w:hAnsiTheme="majorBidi" w:cstheme="majorBidi"/>
          <w:sz w:val="24"/>
          <w:szCs w:val="24"/>
        </w:rPr>
        <w:t xml:space="preserve"> </w:t>
      </w:r>
      <w:r w:rsidR="00895E7F">
        <w:rPr>
          <w:rFonts w:asciiTheme="majorBidi" w:eastAsia="David" w:hAnsiTheme="majorBidi" w:cstheme="majorBidi"/>
          <w:sz w:val="24"/>
          <w:szCs w:val="24"/>
        </w:rPr>
        <w:t>field</w:t>
      </w:r>
      <w:r w:rsidRPr="00952B0B">
        <w:rPr>
          <w:rFonts w:asciiTheme="majorBidi" w:eastAsia="David" w:hAnsiTheme="majorBidi" w:cstheme="majorBidi"/>
          <w:sz w:val="24"/>
          <w:szCs w:val="24"/>
        </w:rPr>
        <w:t>, vulnerabilities and best practices in identification and prevention. This topic raised much interest and concern of the participants, who requested further information and expressed their wish for better tools to cope with this phenomen</w:t>
      </w:r>
      <w:r w:rsidR="001E5260">
        <w:rPr>
          <w:rFonts w:asciiTheme="majorBidi" w:eastAsia="David" w:hAnsiTheme="majorBidi" w:cstheme="majorBidi"/>
          <w:sz w:val="24"/>
          <w:szCs w:val="24"/>
        </w:rPr>
        <w:t>on</w:t>
      </w:r>
      <w:r w:rsidRPr="00952B0B">
        <w:rPr>
          <w:rFonts w:asciiTheme="majorBidi" w:eastAsia="David" w:hAnsiTheme="majorBidi" w:cstheme="majorBidi"/>
          <w:sz w:val="24"/>
          <w:szCs w:val="24"/>
        </w:rPr>
        <w:t xml:space="preserve">. </w:t>
      </w:r>
    </w:p>
    <w:p w14:paraId="71879648" w14:textId="77777777" w:rsidR="00820A94" w:rsidRPr="00952B0B" w:rsidRDefault="00895E7F" w:rsidP="00996B9B">
      <w:pPr>
        <w:bidi w:val="0"/>
        <w:spacing w:before="240" w:line="360" w:lineRule="auto"/>
        <w:jc w:val="both"/>
        <w:rPr>
          <w:rFonts w:asciiTheme="majorBidi" w:eastAsia="David" w:hAnsiTheme="majorBidi" w:cstheme="majorBidi"/>
          <w:sz w:val="24"/>
          <w:szCs w:val="24"/>
        </w:rPr>
      </w:pPr>
      <w:r>
        <w:rPr>
          <w:rFonts w:asciiTheme="majorBidi" w:hAnsiTheme="majorBidi" w:cstheme="majorBidi"/>
          <w:sz w:val="24"/>
          <w:szCs w:val="24"/>
        </w:rPr>
        <w:t>T</w:t>
      </w:r>
      <w:r w:rsidR="00820A94" w:rsidRPr="00952B0B">
        <w:rPr>
          <w:rFonts w:asciiTheme="majorBidi" w:hAnsiTheme="majorBidi" w:cstheme="majorBidi"/>
          <w:sz w:val="24"/>
          <w:szCs w:val="24"/>
        </w:rPr>
        <w:t>he Commissioner Unit is not the only place workers can turn to, as workers covered by a bilateral agreement first apply to the call center managed by CIMI, through the Population and Immigration Authority.</w:t>
      </w:r>
      <w:r w:rsidR="00820A94" w:rsidRPr="00952B0B">
        <w:rPr>
          <w:rFonts w:asciiTheme="majorBidi" w:eastAsia="David" w:hAnsiTheme="majorBidi" w:cstheme="majorBidi"/>
          <w:sz w:val="24"/>
          <w:szCs w:val="24"/>
          <w:rtl/>
        </w:rPr>
        <w:t xml:space="preserve"> </w:t>
      </w:r>
    </w:p>
    <w:p w14:paraId="799D450F" w14:textId="77777777" w:rsidR="00820A94" w:rsidRPr="00952B0B" w:rsidRDefault="00820A94" w:rsidP="00895E7F">
      <w:pPr>
        <w:pStyle w:val="a"/>
        <w:tabs>
          <w:tab w:val="right" w:pos="10348"/>
        </w:tabs>
        <w:ind w:left="0"/>
        <w:rPr>
          <w:rFonts w:asciiTheme="majorBidi" w:hAnsiTheme="majorBidi" w:cstheme="majorBidi"/>
        </w:rPr>
      </w:pPr>
      <w:r w:rsidRPr="00952B0B">
        <w:rPr>
          <w:rFonts w:asciiTheme="majorBidi" w:hAnsiTheme="majorBidi" w:cstheme="majorBidi"/>
        </w:rPr>
        <w:t xml:space="preserve">In October </w:t>
      </w:r>
      <w:r w:rsidR="00895E7F">
        <w:rPr>
          <w:rFonts w:asciiTheme="majorBidi" w:hAnsiTheme="majorBidi" w:cstheme="majorBidi"/>
        </w:rPr>
        <w:t>2021</w:t>
      </w:r>
      <w:r w:rsidR="00AD3955">
        <w:rPr>
          <w:rFonts w:asciiTheme="majorBidi" w:hAnsiTheme="majorBidi" w:cstheme="majorBidi"/>
        </w:rPr>
        <w:t>,</w:t>
      </w:r>
      <w:r w:rsidR="00895E7F">
        <w:rPr>
          <w:rFonts w:asciiTheme="majorBidi" w:hAnsiTheme="majorBidi" w:cstheme="majorBidi"/>
        </w:rPr>
        <w:t xml:space="preserve"> </w:t>
      </w:r>
      <w:r w:rsidRPr="00952B0B">
        <w:rPr>
          <w:rFonts w:asciiTheme="majorBidi" w:hAnsiTheme="majorBidi" w:cstheme="majorBidi"/>
        </w:rPr>
        <w:t xml:space="preserve">the Commissioner Unit conducted a tour of the shelters for victims of trafficking and forced labor, and delivered a lecture to the shelter employees on labor laws applicable to foreign workers. Since this tour, the Commissioner Unit has handled two applications of shelter residents against their employers (one was dealt with successfully and the other one is still </w:t>
      </w:r>
      <w:r w:rsidR="00895E7F">
        <w:rPr>
          <w:rFonts w:asciiTheme="majorBidi" w:hAnsiTheme="majorBidi" w:cstheme="majorBidi"/>
        </w:rPr>
        <w:t>pending</w:t>
      </w:r>
      <w:r w:rsidRPr="00952B0B">
        <w:rPr>
          <w:rFonts w:asciiTheme="majorBidi" w:hAnsiTheme="majorBidi" w:cstheme="majorBidi"/>
        </w:rPr>
        <w:t xml:space="preserve">). In addition, it was agreed that the Commissioner Unit will schedule a date for visiting the shelter and holding a personal meeting with the residents, with the assistance of an interpreter. During these personal </w:t>
      </w:r>
      <w:r w:rsidRPr="00952B0B">
        <w:rPr>
          <w:rFonts w:asciiTheme="majorBidi" w:hAnsiTheme="majorBidi" w:cstheme="majorBidi"/>
        </w:rPr>
        <w:lastRenderedPageBreak/>
        <w:t>meetings, they will be provided with information relevant to their workplace, and legal aid, if needed.</w:t>
      </w:r>
    </w:p>
    <w:p w14:paraId="216F48DC" w14:textId="77777777" w:rsidR="0008531E" w:rsidRPr="00952B0B" w:rsidRDefault="0008531E" w:rsidP="00DB6451">
      <w:pPr>
        <w:pStyle w:val="ListParagraph"/>
        <w:numPr>
          <w:ilvl w:val="0"/>
          <w:numId w:val="13"/>
        </w:numPr>
        <w:bidi w:val="0"/>
        <w:spacing w:before="240"/>
        <w:jc w:val="both"/>
        <w:rPr>
          <w:rFonts w:asciiTheme="majorBidi" w:hAnsiTheme="majorBidi" w:cstheme="majorBidi"/>
          <w:b/>
          <w:bCs/>
          <w:sz w:val="24"/>
          <w:szCs w:val="24"/>
          <w:u w:val="single"/>
        </w:rPr>
      </w:pPr>
      <w:r w:rsidRPr="00952B0B">
        <w:rPr>
          <w:rFonts w:asciiTheme="majorBidi" w:hAnsiTheme="majorBidi" w:cstheme="majorBidi"/>
          <w:b/>
          <w:bCs/>
          <w:sz w:val="24"/>
          <w:szCs w:val="24"/>
          <w:u w:val="single"/>
        </w:rPr>
        <w:t>Palestinian workers in Israel</w:t>
      </w:r>
    </w:p>
    <w:p w14:paraId="454AF5DD" w14:textId="77777777" w:rsidR="0008531E" w:rsidRPr="00952B0B" w:rsidRDefault="0008531E" w:rsidP="003673FF">
      <w:pPr>
        <w:bidi w:val="0"/>
        <w:spacing w:before="240" w:line="360" w:lineRule="auto"/>
        <w:ind w:left="-180"/>
        <w:jc w:val="both"/>
        <w:rPr>
          <w:rFonts w:asciiTheme="majorBidi" w:hAnsiTheme="majorBidi" w:cstheme="majorBidi"/>
          <w:sz w:val="24"/>
          <w:szCs w:val="24"/>
        </w:rPr>
      </w:pPr>
      <w:r w:rsidRPr="00952B0B">
        <w:rPr>
          <w:rFonts w:asciiTheme="majorBidi" w:hAnsiTheme="majorBidi" w:cstheme="majorBidi"/>
          <w:sz w:val="24"/>
          <w:szCs w:val="24"/>
        </w:rPr>
        <w:t>On March 8, 2016, Resolution No. 1236 entitled "Strengthening the economic cooperation through employing Palestinian workers in Israel" was adopted. On December 18, 2016, Resolution No. 2174 entitled "Expanding the Scope of Employment of Palestinian workers in Israel from the West Bank, increasing the efficiency of the work permits and ensuring fair employment rights to Palestinian workers" was adopted. These Resolutions aimed to address</w:t>
      </w:r>
      <w:r w:rsidR="006C2ECC">
        <w:rPr>
          <w:rFonts w:asciiTheme="majorBidi" w:hAnsiTheme="majorBidi" w:cstheme="majorBidi"/>
          <w:sz w:val="24"/>
          <w:szCs w:val="24"/>
        </w:rPr>
        <w:t>ing</w:t>
      </w:r>
      <w:r w:rsidRPr="00952B0B">
        <w:rPr>
          <w:rFonts w:asciiTheme="majorBidi" w:hAnsiTheme="majorBidi" w:cstheme="majorBidi"/>
          <w:sz w:val="24"/>
          <w:szCs w:val="24"/>
        </w:rPr>
        <w:t xml:space="preserve"> the challenges of Palestinian workers in Israel and promote more efficient frameworks for their employment. The Resolutions are in varying stages of implementation. </w:t>
      </w:r>
    </w:p>
    <w:p w14:paraId="67C7063C" w14:textId="77777777" w:rsidR="0008531E" w:rsidRPr="00952B0B" w:rsidRDefault="00186C56" w:rsidP="003673FF">
      <w:pPr>
        <w:bidi w:val="0"/>
        <w:spacing w:before="240" w:line="360" w:lineRule="auto"/>
        <w:ind w:left="-180"/>
        <w:jc w:val="both"/>
        <w:rPr>
          <w:rFonts w:asciiTheme="majorBidi" w:hAnsiTheme="majorBidi" w:cstheme="majorBidi"/>
          <w:sz w:val="24"/>
          <w:szCs w:val="24"/>
        </w:rPr>
      </w:pPr>
      <w:r>
        <w:rPr>
          <w:rFonts w:asciiTheme="majorBidi" w:hAnsiTheme="majorBidi" w:cstheme="majorBidi"/>
          <w:sz w:val="24"/>
          <w:szCs w:val="24"/>
        </w:rPr>
        <w:t>S</w:t>
      </w:r>
      <w:r w:rsidRPr="00952B0B">
        <w:rPr>
          <w:rFonts w:asciiTheme="majorBidi" w:hAnsiTheme="majorBidi" w:cstheme="majorBidi"/>
          <w:sz w:val="24"/>
          <w:szCs w:val="24"/>
        </w:rPr>
        <w:t xml:space="preserve">everal petitions have been submitted to the High Court of Justice </w:t>
      </w:r>
      <w:r>
        <w:rPr>
          <w:rFonts w:asciiTheme="majorBidi" w:hAnsiTheme="majorBidi" w:cstheme="majorBidi"/>
          <w:sz w:val="24"/>
          <w:szCs w:val="24"/>
        </w:rPr>
        <w:t>o</w:t>
      </w:r>
      <w:r w:rsidRPr="00952B0B">
        <w:rPr>
          <w:rFonts w:asciiTheme="majorBidi" w:hAnsiTheme="majorBidi" w:cstheme="majorBidi"/>
          <w:sz w:val="24"/>
          <w:szCs w:val="24"/>
        </w:rPr>
        <w:t xml:space="preserve">n </w:t>
      </w:r>
      <w:r w:rsidR="0008531E" w:rsidRPr="00952B0B">
        <w:rPr>
          <w:rFonts w:asciiTheme="majorBidi" w:hAnsiTheme="majorBidi" w:cstheme="majorBidi"/>
          <w:sz w:val="24"/>
          <w:szCs w:val="24"/>
        </w:rPr>
        <w:t>these matters, in recent years</w:t>
      </w:r>
      <w:r w:rsidR="00484632">
        <w:rPr>
          <w:rFonts w:asciiTheme="majorBidi" w:hAnsiTheme="majorBidi" w:cstheme="majorBidi"/>
          <w:sz w:val="24"/>
          <w:szCs w:val="24"/>
        </w:rPr>
        <w:t>:</w:t>
      </w:r>
    </w:p>
    <w:p w14:paraId="59471BAA" w14:textId="77777777" w:rsidR="0008531E" w:rsidRPr="00952B0B" w:rsidRDefault="0008531E" w:rsidP="00DB6451">
      <w:pPr>
        <w:bidi w:val="0"/>
        <w:spacing w:before="240" w:line="360" w:lineRule="auto"/>
        <w:ind w:left="-142"/>
        <w:jc w:val="both"/>
        <w:rPr>
          <w:rFonts w:asciiTheme="majorBidi" w:hAnsiTheme="majorBidi" w:cstheme="majorBidi"/>
          <w:sz w:val="24"/>
          <w:szCs w:val="24"/>
        </w:rPr>
      </w:pPr>
      <w:r w:rsidRPr="00952B0B">
        <w:rPr>
          <w:rFonts w:asciiTheme="majorBidi" w:hAnsiTheme="majorBidi" w:cstheme="majorBidi"/>
          <w:sz w:val="24"/>
          <w:szCs w:val="24"/>
        </w:rPr>
        <w:t>In September 2020, a petition was submitted requesting the respondent to amend the procedures for employing Palestinian workers, which would address the so-called "binding" of the employee on their particular employer, the limitations on movement between employers, lack of measures to enable independence and mobility in the job search.</w:t>
      </w:r>
      <w:r w:rsidR="00AE2A39" w:rsidRPr="00952B0B">
        <w:rPr>
          <w:rStyle w:val="FootnoteReference"/>
          <w:rFonts w:asciiTheme="majorBidi" w:hAnsiTheme="majorBidi" w:cstheme="majorBidi"/>
          <w:sz w:val="24"/>
          <w:szCs w:val="24"/>
        </w:rPr>
        <w:footnoteReference w:id="2"/>
      </w:r>
    </w:p>
    <w:p w14:paraId="17FD29DE" w14:textId="77777777" w:rsidR="00186C56" w:rsidRDefault="0008531E" w:rsidP="000C6E91">
      <w:pPr>
        <w:bidi w:val="0"/>
        <w:spacing w:before="240" w:line="360" w:lineRule="auto"/>
        <w:ind w:left="-142"/>
        <w:jc w:val="both"/>
        <w:rPr>
          <w:rFonts w:asciiTheme="majorBidi" w:hAnsiTheme="majorBidi" w:cstheme="majorBidi"/>
          <w:sz w:val="24"/>
          <w:szCs w:val="24"/>
        </w:rPr>
      </w:pPr>
      <w:r w:rsidRPr="00952B0B">
        <w:rPr>
          <w:rFonts w:asciiTheme="majorBidi" w:hAnsiTheme="majorBidi" w:cstheme="majorBidi"/>
          <w:sz w:val="24"/>
          <w:szCs w:val="24"/>
        </w:rPr>
        <w:t xml:space="preserve">The Respondents notified the Court that a new procedure has been implemented in the construction field, as laid out in Resolution No. 189 (adopted August 1, 2021) amending Resolution No. 2174, in which, </w:t>
      </w:r>
      <w:r w:rsidRPr="00952B0B">
        <w:rPr>
          <w:rFonts w:asciiTheme="majorBidi" w:hAnsiTheme="majorBidi" w:cstheme="majorBidi"/>
          <w:i/>
          <w:iCs/>
          <w:sz w:val="24"/>
          <w:szCs w:val="24"/>
        </w:rPr>
        <w:t>inter alia</w:t>
      </w:r>
      <w:r w:rsidRPr="00952B0B">
        <w:rPr>
          <w:rFonts w:asciiTheme="majorBidi" w:hAnsiTheme="majorBidi" w:cstheme="majorBidi"/>
          <w:sz w:val="24"/>
          <w:szCs w:val="24"/>
        </w:rPr>
        <w:t>, safety trainings will be conducted, the cap for workers was expanded, and an emphasis was placed on enforcement against exploitation of workers through the illegal trade in</w:t>
      </w:r>
      <w:r w:rsidR="00186C56">
        <w:rPr>
          <w:rFonts w:asciiTheme="majorBidi" w:hAnsiTheme="majorBidi" w:cstheme="majorBidi"/>
          <w:sz w:val="24"/>
          <w:szCs w:val="24"/>
        </w:rPr>
        <w:t xml:space="preserve"> </w:t>
      </w:r>
      <w:r w:rsidRPr="00952B0B">
        <w:rPr>
          <w:rFonts w:asciiTheme="majorBidi" w:hAnsiTheme="majorBidi" w:cstheme="majorBidi"/>
          <w:sz w:val="24"/>
          <w:szCs w:val="24"/>
        </w:rPr>
        <w:t xml:space="preserve">working permits. In the industry and services branch, the Government took active steps to implement Resolution No. 2174 in June 2021. An inter-ministerial committee is examining amending other relevant branches of employment and the distribution of permits. In order to increase the independence of Palestinian workers, the Civil Administration created a digital </w:t>
      </w:r>
      <w:r w:rsidR="00FB012A" w:rsidRPr="00952B0B">
        <w:rPr>
          <w:rFonts w:asciiTheme="majorBidi" w:hAnsiTheme="majorBidi" w:cstheme="majorBidi"/>
          <w:sz w:val="24"/>
          <w:szCs w:val="24"/>
        </w:rPr>
        <w:t xml:space="preserve">App </w:t>
      </w:r>
      <w:r w:rsidRPr="00952B0B">
        <w:rPr>
          <w:rFonts w:asciiTheme="majorBidi" w:hAnsiTheme="majorBidi" w:cstheme="majorBidi"/>
          <w:sz w:val="24"/>
          <w:szCs w:val="24"/>
        </w:rPr>
        <w:t xml:space="preserve">in which workers can find personalized information on their permits and status. Furthermore, an informational video and targeted advertisements were produced and distributed explaining the new </w:t>
      </w:r>
      <w:r w:rsidRPr="00952B0B">
        <w:rPr>
          <w:rFonts w:asciiTheme="majorBidi" w:hAnsiTheme="majorBidi" w:cstheme="majorBidi"/>
          <w:sz w:val="24"/>
          <w:szCs w:val="24"/>
        </w:rPr>
        <w:lastRenderedPageBreak/>
        <w:t>employment system</w:t>
      </w:r>
      <w:r w:rsidR="00FB012A" w:rsidRPr="00952B0B">
        <w:rPr>
          <w:rFonts w:asciiTheme="majorBidi" w:hAnsiTheme="majorBidi" w:cstheme="majorBidi"/>
          <w:sz w:val="24"/>
          <w:szCs w:val="24"/>
        </w:rPr>
        <w:t>.</w:t>
      </w:r>
      <w:r w:rsidRPr="00952B0B">
        <w:rPr>
          <w:rFonts w:asciiTheme="majorBidi" w:hAnsiTheme="majorBidi" w:cstheme="majorBidi"/>
          <w:sz w:val="24"/>
          <w:szCs w:val="24"/>
        </w:rPr>
        <w:t xml:space="preserve"> Additionally, the </w:t>
      </w:r>
      <w:r w:rsidR="000C6E91">
        <w:rPr>
          <w:rFonts w:asciiTheme="majorBidi" w:hAnsiTheme="majorBidi" w:cstheme="majorBidi"/>
          <w:sz w:val="24"/>
          <w:szCs w:val="24"/>
        </w:rPr>
        <w:t xml:space="preserve">IDF </w:t>
      </w:r>
      <w:r w:rsidRPr="00952B0B">
        <w:rPr>
          <w:rFonts w:asciiTheme="majorBidi" w:hAnsiTheme="majorBidi" w:cstheme="majorBidi"/>
          <w:sz w:val="24"/>
          <w:szCs w:val="24"/>
        </w:rPr>
        <w:t xml:space="preserve">Civil </w:t>
      </w:r>
      <w:proofErr w:type="spellStart"/>
      <w:r w:rsidRPr="00952B0B">
        <w:rPr>
          <w:rFonts w:asciiTheme="majorBidi" w:hAnsiTheme="majorBidi" w:cstheme="majorBidi"/>
          <w:sz w:val="24"/>
          <w:szCs w:val="24"/>
        </w:rPr>
        <w:t>Administrationaims</w:t>
      </w:r>
      <w:proofErr w:type="spellEnd"/>
      <w:r w:rsidRPr="00952B0B">
        <w:rPr>
          <w:rFonts w:asciiTheme="majorBidi" w:hAnsiTheme="majorBidi" w:cstheme="majorBidi"/>
          <w:sz w:val="24"/>
          <w:szCs w:val="24"/>
        </w:rPr>
        <w:t xml:space="preserve"> to open an employment center in the West Bank</w:t>
      </w:r>
      <w:r w:rsidR="00D4551C">
        <w:rPr>
          <w:rFonts w:asciiTheme="majorBidi" w:hAnsiTheme="majorBidi" w:cstheme="majorBidi"/>
          <w:sz w:val="24"/>
          <w:szCs w:val="24"/>
        </w:rPr>
        <w:t>,</w:t>
      </w:r>
      <w:r w:rsidRPr="00952B0B">
        <w:rPr>
          <w:rFonts w:asciiTheme="majorBidi" w:hAnsiTheme="majorBidi" w:cstheme="majorBidi"/>
          <w:sz w:val="24"/>
          <w:szCs w:val="24"/>
        </w:rPr>
        <w:t xml:space="preserve"> which will offer in-person assistance and answer questions. The case is pending</w:t>
      </w:r>
      <w:r w:rsidR="00FB012A" w:rsidRPr="00952B0B">
        <w:rPr>
          <w:rFonts w:asciiTheme="majorBidi" w:hAnsiTheme="majorBidi" w:cstheme="majorBidi"/>
          <w:sz w:val="24"/>
          <w:szCs w:val="24"/>
        </w:rPr>
        <w:t>.</w:t>
      </w:r>
      <w:r w:rsidR="00FB012A" w:rsidRPr="00952B0B">
        <w:rPr>
          <w:rStyle w:val="FootnoteReference"/>
          <w:rFonts w:asciiTheme="majorBidi" w:hAnsiTheme="majorBidi" w:cstheme="majorBidi"/>
          <w:sz w:val="24"/>
          <w:szCs w:val="24"/>
        </w:rPr>
        <w:footnoteReference w:id="3"/>
      </w:r>
      <w:r w:rsidRPr="00952B0B">
        <w:rPr>
          <w:rFonts w:asciiTheme="majorBidi" w:hAnsiTheme="majorBidi" w:cstheme="majorBidi"/>
          <w:sz w:val="24"/>
          <w:szCs w:val="24"/>
        </w:rPr>
        <w:t xml:space="preserve"> </w:t>
      </w:r>
    </w:p>
    <w:p w14:paraId="663BECB5" w14:textId="77777777" w:rsidR="0008531E" w:rsidRPr="00952B0B" w:rsidRDefault="0008531E" w:rsidP="000C6E91">
      <w:pPr>
        <w:bidi w:val="0"/>
        <w:spacing w:before="240" w:line="360" w:lineRule="auto"/>
        <w:ind w:left="-142"/>
        <w:jc w:val="both"/>
        <w:rPr>
          <w:rFonts w:asciiTheme="majorBidi" w:hAnsiTheme="majorBidi" w:cstheme="majorBidi"/>
          <w:sz w:val="24"/>
          <w:szCs w:val="24"/>
        </w:rPr>
      </w:pPr>
      <w:r w:rsidRPr="00952B0B">
        <w:rPr>
          <w:rFonts w:asciiTheme="majorBidi" w:hAnsiTheme="majorBidi" w:cstheme="majorBidi"/>
          <w:sz w:val="24"/>
          <w:szCs w:val="24"/>
        </w:rPr>
        <w:t xml:space="preserve">On September 24, 2020 the Court ruled on a petition regarding the healthcare for Palestinian workers due to changes in their conditions during the COVID-19 pandemic. </w:t>
      </w:r>
      <w:r w:rsidR="000C6E91">
        <w:rPr>
          <w:rFonts w:asciiTheme="majorBidi" w:hAnsiTheme="majorBidi" w:cstheme="majorBidi"/>
          <w:sz w:val="24"/>
          <w:szCs w:val="24"/>
        </w:rPr>
        <w:t>This petition was filed i</w:t>
      </w:r>
      <w:r w:rsidRPr="00952B0B">
        <w:rPr>
          <w:rFonts w:asciiTheme="majorBidi" w:hAnsiTheme="majorBidi" w:cstheme="majorBidi"/>
          <w:sz w:val="24"/>
          <w:szCs w:val="24"/>
        </w:rPr>
        <w:t xml:space="preserve">n April 2020, requesting the Court to order that health insurance be offered to Palestinian workers who were obligated to reside in Israel due to the restrictions of movement. Following the enactment of </w:t>
      </w:r>
      <w:r w:rsidRPr="00952B0B">
        <w:rPr>
          <w:rFonts w:asciiTheme="majorBidi" w:hAnsiTheme="majorBidi" w:cstheme="majorBidi"/>
          <w:i/>
          <w:iCs/>
          <w:sz w:val="24"/>
          <w:szCs w:val="24"/>
        </w:rPr>
        <w:t>Foreign Workers Law (Temporary Provision – New Coronavirus – Amendment 21)</w:t>
      </w:r>
      <w:r w:rsidRPr="00952B0B">
        <w:rPr>
          <w:rFonts w:asciiTheme="majorBidi" w:hAnsiTheme="majorBidi" w:cstheme="majorBidi"/>
          <w:sz w:val="24"/>
          <w:szCs w:val="24"/>
        </w:rPr>
        <w:t xml:space="preserve"> 5780-2020, which obligates employers to offer reasonable living spaces and health insurance to Palestinian workers due to the pandemic situation, the petitioners and respondents submitted a joint request to erase the petition, setting aside</w:t>
      </w:r>
      <w:r w:rsidRPr="00952B0B" w:rsidDel="00DA5646">
        <w:rPr>
          <w:rFonts w:asciiTheme="majorBidi" w:hAnsiTheme="majorBidi" w:cstheme="majorBidi"/>
          <w:sz w:val="24"/>
          <w:szCs w:val="24"/>
        </w:rPr>
        <w:t xml:space="preserve"> </w:t>
      </w:r>
      <w:r w:rsidRPr="00952B0B">
        <w:rPr>
          <w:rFonts w:asciiTheme="majorBidi" w:hAnsiTheme="majorBidi" w:cstheme="majorBidi"/>
          <w:sz w:val="24"/>
          <w:szCs w:val="24"/>
        </w:rPr>
        <w:t xml:space="preserve">the legal claims of both sides. The Court </w:t>
      </w:r>
      <w:r w:rsidR="000C6E91">
        <w:rPr>
          <w:rFonts w:asciiTheme="majorBidi" w:hAnsiTheme="majorBidi" w:cstheme="majorBidi"/>
          <w:sz w:val="24"/>
          <w:szCs w:val="24"/>
        </w:rPr>
        <w:t>acquiesced</w:t>
      </w:r>
      <w:r w:rsidR="000C6E91" w:rsidRPr="00952B0B">
        <w:rPr>
          <w:rFonts w:asciiTheme="majorBidi" w:hAnsiTheme="majorBidi" w:cstheme="majorBidi"/>
          <w:sz w:val="24"/>
          <w:szCs w:val="24"/>
        </w:rPr>
        <w:t xml:space="preserve"> </w:t>
      </w:r>
      <w:r w:rsidRPr="00952B0B">
        <w:rPr>
          <w:rFonts w:asciiTheme="majorBidi" w:hAnsiTheme="majorBidi" w:cstheme="majorBidi"/>
          <w:sz w:val="24"/>
          <w:szCs w:val="24"/>
        </w:rPr>
        <w:t>to the request</w:t>
      </w:r>
      <w:r w:rsidR="00AE2A39" w:rsidRPr="00952B0B">
        <w:rPr>
          <w:rFonts w:asciiTheme="majorBidi" w:hAnsiTheme="majorBidi" w:cstheme="majorBidi"/>
          <w:sz w:val="24"/>
          <w:szCs w:val="24"/>
        </w:rPr>
        <w:t>.</w:t>
      </w:r>
      <w:r w:rsidR="00AE2A39" w:rsidRPr="00952B0B">
        <w:rPr>
          <w:rStyle w:val="FootnoteReference"/>
          <w:rFonts w:asciiTheme="majorBidi" w:hAnsiTheme="majorBidi" w:cstheme="majorBidi"/>
          <w:sz w:val="24"/>
          <w:szCs w:val="24"/>
        </w:rPr>
        <w:footnoteReference w:id="4"/>
      </w:r>
    </w:p>
    <w:p w14:paraId="23F4CB66" w14:textId="77777777" w:rsidR="0008531E" w:rsidRPr="00952B0B" w:rsidRDefault="0008531E" w:rsidP="00D57334">
      <w:pPr>
        <w:bidi w:val="0"/>
        <w:spacing w:before="240" w:line="360" w:lineRule="auto"/>
        <w:ind w:left="-142"/>
        <w:jc w:val="both"/>
        <w:rPr>
          <w:rFonts w:asciiTheme="majorBidi" w:hAnsiTheme="majorBidi" w:cstheme="majorBidi"/>
          <w:sz w:val="24"/>
          <w:szCs w:val="24"/>
        </w:rPr>
      </w:pPr>
      <w:r w:rsidRPr="00952B0B">
        <w:rPr>
          <w:rFonts w:asciiTheme="majorBidi" w:hAnsiTheme="majorBidi" w:cstheme="majorBidi"/>
          <w:sz w:val="24"/>
          <w:szCs w:val="24"/>
        </w:rPr>
        <w:t>In March 4, 2018</w:t>
      </w:r>
      <w:r w:rsidR="00D4551C">
        <w:rPr>
          <w:rFonts w:asciiTheme="majorBidi" w:hAnsiTheme="majorBidi" w:cstheme="majorBidi"/>
          <w:sz w:val="24"/>
          <w:szCs w:val="24"/>
        </w:rPr>
        <w:t>,</w:t>
      </w:r>
      <w:r w:rsidRPr="00952B0B">
        <w:rPr>
          <w:rFonts w:asciiTheme="majorBidi" w:hAnsiTheme="majorBidi" w:cstheme="majorBidi"/>
          <w:sz w:val="24"/>
          <w:szCs w:val="24"/>
        </w:rPr>
        <w:t xml:space="preserve"> the High Court of Justice ruled in the </w:t>
      </w:r>
      <w:proofErr w:type="spellStart"/>
      <w:r w:rsidRPr="00952B0B">
        <w:rPr>
          <w:rFonts w:asciiTheme="majorBidi" w:hAnsiTheme="majorBidi" w:cstheme="majorBidi"/>
          <w:i/>
          <w:iCs/>
          <w:sz w:val="24"/>
          <w:szCs w:val="24"/>
          <w:lang w:val="en-GB"/>
        </w:rPr>
        <w:t>Tab’ouni</w:t>
      </w:r>
      <w:proofErr w:type="spellEnd"/>
      <w:r w:rsidRPr="00952B0B">
        <w:rPr>
          <w:rFonts w:asciiTheme="majorBidi" w:hAnsiTheme="majorBidi" w:cstheme="majorBidi"/>
          <w:i/>
          <w:iCs/>
          <w:sz w:val="24"/>
          <w:szCs w:val="24"/>
          <w:lang w:val="en-GB"/>
        </w:rPr>
        <w:t xml:space="preserve"> </w:t>
      </w:r>
      <w:r w:rsidRPr="00952B0B">
        <w:rPr>
          <w:rFonts w:asciiTheme="majorBidi" w:hAnsiTheme="majorBidi" w:cstheme="majorBidi"/>
          <w:sz w:val="24"/>
          <w:szCs w:val="24"/>
        </w:rPr>
        <w:t>case regarding a foreign workers levy.</w:t>
      </w:r>
      <w:r w:rsidRPr="00952B0B">
        <w:rPr>
          <w:rFonts w:asciiTheme="majorBidi" w:hAnsiTheme="majorBidi" w:cstheme="majorBidi"/>
          <w:sz w:val="24"/>
          <w:szCs w:val="24"/>
          <w:lang w:val="en-GB"/>
        </w:rPr>
        <w:t xml:space="preserve"> The Court addressed taxation issues related to employment</w:t>
      </w:r>
      <w:r w:rsidRPr="00952B0B">
        <w:rPr>
          <w:rFonts w:asciiTheme="majorBidi" w:hAnsiTheme="majorBidi" w:cstheme="majorBidi"/>
          <w:color w:val="44546A" w:themeColor="dark2"/>
          <w:sz w:val="24"/>
          <w:szCs w:val="24"/>
          <w:lang w:val="en-GB"/>
        </w:rPr>
        <w:t xml:space="preserve"> </w:t>
      </w:r>
      <w:r w:rsidRPr="00952B0B">
        <w:rPr>
          <w:rFonts w:asciiTheme="majorBidi" w:hAnsiTheme="majorBidi" w:cstheme="majorBidi"/>
          <w:sz w:val="24"/>
          <w:szCs w:val="24"/>
          <w:lang w:val="en-GB"/>
        </w:rPr>
        <w:t xml:space="preserve">of 10,000 </w:t>
      </w:r>
      <w:r w:rsidRPr="00952B0B">
        <w:rPr>
          <w:rFonts w:asciiTheme="majorBidi" w:hAnsiTheme="majorBidi" w:cstheme="majorBidi"/>
          <w:sz w:val="24"/>
          <w:szCs w:val="24"/>
        </w:rPr>
        <w:t>Palestinians</w:t>
      </w:r>
      <w:r w:rsidRPr="00952B0B">
        <w:rPr>
          <w:rFonts w:asciiTheme="majorBidi" w:hAnsiTheme="majorBidi" w:cstheme="majorBidi"/>
          <w:sz w:val="24"/>
          <w:szCs w:val="24"/>
          <w:lang w:val="en-GB"/>
        </w:rPr>
        <w:t xml:space="preserve"> residing in Israel and the </w:t>
      </w:r>
      <w:r w:rsidRPr="00952B0B">
        <w:rPr>
          <w:rFonts w:asciiTheme="majorBidi" w:hAnsiTheme="majorBidi" w:cstheme="majorBidi"/>
          <w:sz w:val="24"/>
          <w:szCs w:val="24"/>
        </w:rPr>
        <w:t>e</w:t>
      </w:r>
      <w:r w:rsidRPr="00952B0B">
        <w:rPr>
          <w:rFonts w:asciiTheme="majorBidi" w:hAnsiTheme="majorBidi" w:cstheme="majorBidi"/>
          <w:sz w:val="24"/>
          <w:szCs w:val="24"/>
          <w:lang w:val="en-GB"/>
        </w:rPr>
        <w:t xml:space="preserve">astern neighbourhoods of Jerusalem by way of temporary staying permits or B/1 visas provided by family reunification </w:t>
      </w:r>
      <w:r w:rsidRPr="00952B0B">
        <w:rPr>
          <w:rFonts w:asciiTheme="majorBidi" w:eastAsia="Calibri" w:hAnsiTheme="majorBidi" w:cstheme="majorBidi"/>
          <w:sz w:val="24"/>
          <w:szCs w:val="24"/>
        </w:rPr>
        <w:t>procedures.</w:t>
      </w:r>
      <w:r w:rsidRPr="00952B0B">
        <w:rPr>
          <w:rFonts w:asciiTheme="majorBidi" w:hAnsiTheme="majorBidi" w:cstheme="majorBidi"/>
          <w:sz w:val="24"/>
          <w:szCs w:val="24"/>
          <w:lang w:val="en-GB"/>
        </w:rPr>
        <w:t xml:space="preserve"> According to the </w:t>
      </w:r>
      <w:r w:rsidRPr="00952B0B">
        <w:rPr>
          <w:rFonts w:asciiTheme="majorBidi" w:hAnsiTheme="majorBidi" w:cstheme="majorBidi"/>
          <w:i/>
          <w:iCs/>
          <w:sz w:val="24"/>
          <w:szCs w:val="24"/>
          <w:lang w:val="en-GB"/>
        </w:rPr>
        <w:t>Citizenship and Entry into Israel Law (Temporary Provision)</w:t>
      </w:r>
      <w:r w:rsidRPr="00952B0B">
        <w:rPr>
          <w:rFonts w:asciiTheme="majorBidi" w:hAnsiTheme="majorBidi" w:cstheme="majorBidi"/>
          <w:sz w:val="24"/>
          <w:szCs w:val="24"/>
          <w:lang w:val="en-GB"/>
        </w:rPr>
        <w:t>, these Palestinians were considered on certain matters as foreign workers based on the definitions in the relevant statute, which according to the petitioners, has negative implications to their ability to work and earn a living in Israel. The petition focused on foreign worker levy (a sum of 15-20% of the worker's salary) and</w:t>
      </w:r>
      <w:r w:rsidRPr="00952B0B">
        <w:rPr>
          <w:rFonts w:asciiTheme="majorBidi" w:hAnsiTheme="majorBidi" w:cstheme="majorBidi"/>
          <w:sz w:val="24"/>
          <w:szCs w:val="24"/>
          <w:rtl/>
          <w:lang w:val="en-GB" w:bidi="ar-JO"/>
        </w:rPr>
        <w:t xml:space="preserve"> </w:t>
      </w:r>
      <w:r w:rsidRPr="00952B0B">
        <w:rPr>
          <w:rFonts w:asciiTheme="majorBidi" w:hAnsiTheme="majorBidi" w:cstheme="majorBidi"/>
          <w:sz w:val="24"/>
          <w:szCs w:val="24"/>
          <w:lang w:bidi="ar-JO"/>
        </w:rPr>
        <w:t>reduced tax credits.</w:t>
      </w:r>
      <w:r w:rsidRPr="00952B0B">
        <w:rPr>
          <w:rFonts w:asciiTheme="majorBidi" w:hAnsiTheme="majorBidi" w:cstheme="majorBidi"/>
          <w:sz w:val="24"/>
          <w:szCs w:val="24"/>
          <w:lang w:val="en-GB"/>
        </w:rPr>
        <w:t xml:space="preserve"> </w:t>
      </w:r>
    </w:p>
    <w:p w14:paraId="012BD443" w14:textId="77777777" w:rsidR="003C3FA3" w:rsidRPr="00952B0B" w:rsidRDefault="0008531E" w:rsidP="003D0F98">
      <w:pPr>
        <w:bidi w:val="0"/>
        <w:spacing w:before="240" w:line="360" w:lineRule="auto"/>
        <w:ind w:left="-142"/>
        <w:jc w:val="both"/>
        <w:rPr>
          <w:rFonts w:asciiTheme="majorBidi" w:hAnsiTheme="majorBidi" w:cstheme="majorBidi"/>
          <w:sz w:val="24"/>
          <w:szCs w:val="24"/>
        </w:rPr>
      </w:pPr>
      <w:r w:rsidRPr="00952B0B">
        <w:rPr>
          <w:rFonts w:asciiTheme="majorBidi" w:hAnsiTheme="majorBidi" w:cstheme="majorBidi"/>
          <w:sz w:val="24"/>
          <w:szCs w:val="24"/>
          <w:lang w:val="en-GB"/>
        </w:rPr>
        <w:t xml:space="preserve">Following this petition, Israel re-examined its legal position, and determined that the relevant statute can be interpreted so employers of these workers will be exempt from </w:t>
      </w:r>
      <w:r w:rsidRPr="00952B0B">
        <w:rPr>
          <w:rFonts w:asciiTheme="majorBidi" w:eastAsia="Calibri" w:hAnsiTheme="majorBidi" w:cstheme="majorBidi"/>
          <w:sz w:val="24"/>
          <w:szCs w:val="24"/>
        </w:rPr>
        <w:t>paying</w:t>
      </w:r>
      <w:r w:rsidRPr="00952B0B">
        <w:rPr>
          <w:rFonts w:asciiTheme="majorBidi" w:hAnsiTheme="majorBidi" w:cstheme="majorBidi"/>
          <w:sz w:val="24"/>
          <w:szCs w:val="24"/>
          <w:lang w:val="en-GB"/>
        </w:rPr>
        <w:t xml:space="preserve"> the foreign workers levy. Moreover, it was determined that the legislation also allows these workers to be entitled to tax credits, as Israeli residents are. On March 3, 2019, the State and the petitioners submitted a joint request to dismiss the case since the two main issues of the petitions were resolved</w:t>
      </w:r>
      <w:r w:rsidR="003D0F98">
        <w:rPr>
          <w:rFonts w:asciiTheme="majorBidi" w:hAnsiTheme="majorBidi" w:cstheme="majorBidi"/>
          <w:sz w:val="24"/>
          <w:szCs w:val="24"/>
        </w:rPr>
        <w:t>,</w:t>
      </w:r>
      <w:r w:rsidRPr="00952B0B">
        <w:rPr>
          <w:rFonts w:asciiTheme="majorBidi" w:hAnsiTheme="majorBidi" w:cstheme="majorBidi"/>
          <w:sz w:val="24"/>
          <w:szCs w:val="24"/>
          <w:lang w:val="en-GB"/>
        </w:rPr>
        <w:t xml:space="preserve"> and the remaining issues will be examined </w:t>
      </w:r>
      <w:r w:rsidRPr="00952B0B">
        <w:rPr>
          <w:rFonts w:asciiTheme="majorBidi" w:hAnsiTheme="majorBidi" w:cstheme="majorBidi"/>
          <w:sz w:val="24"/>
          <w:szCs w:val="24"/>
          <w:lang w:val="en-GB"/>
        </w:rPr>
        <w:lastRenderedPageBreak/>
        <w:t xml:space="preserve">separately, while </w:t>
      </w:r>
      <w:r w:rsidR="003D0F98">
        <w:rPr>
          <w:rFonts w:asciiTheme="majorBidi" w:hAnsiTheme="majorBidi" w:cstheme="majorBidi"/>
          <w:sz w:val="24"/>
          <w:szCs w:val="24"/>
          <w:lang w:val="en-GB"/>
        </w:rPr>
        <w:t>reserving</w:t>
      </w:r>
      <w:r w:rsidR="003D0F98" w:rsidRPr="00952B0B">
        <w:rPr>
          <w:rFonts w:asciiTheme="majorBidi" w:hAnsiTheme="majorBidi" w:cstheme="majorBidi"/>
          <w:sz w:val="24"/>
          <w:szCs w:val="24"/>
          <w:lang w:val="en-GB"/>
        </w:rPr>
        <w:t xml:space="preserve"> </w:t>
      </w:r>
      <w:r w:rsidRPr="00952B0B">
        <w:rPr>
          <w:rFonts w:asciiTheme="majorBidi" w:hAnsiTheme="majorBidi" w:cstheme="majorBidi"/>
          <w:sz w:val="24"/>
          <w:szCs w:val="24"/>
          <w:lang w:val="en-GB"/>
        </w:rPr>
        <w:t>their legal claims.</w:t>
      </w:r>
      <w:r w:rsidRPr="00952B0B">
        <w:rPr>
          <w:rFonts w:asciiTheme="majorBidi" w:hAnsiTheme="majorBidi" w:cstheme="majorBidi"/>
          <w:sz w:val="24"/>
          <w:szCs w:val="24"/>
        </w:rPr>
        <w:t xml:space="preserve"> On March 5, 2019, the Court </w:t>
      </w:r>
      <w:r w:rsidR="003D0F98">
        <w:rPr>
          <w:rFonts w:asciiTheme="majorBidi" w:hAnsiTheme="majorBidi" w:cstheme="majorBidi"/>
          <w:sz w:val="24"/>
          <w:szCs w:val="24"/>
        </w:rPr>
        <w:t>dismissed</w:t>
      </w:r>
      <w:r w:rsidR="003D0F98" w:rsidRPr="00952B0B">
        <w:rPr>
          <w:rFonts w:asciiTheme="majorBidi" w:hAnsiTheme="majorBidi" w:cstheme="majorBidi"/>
          <w:sz w:val="24"/>
          <w:szCs w:val="24"/>
        </w:rPr>
        <w:t xml:space="preserve"> </w:t>
      </w:r>
      <w:r w:rsidRPr="00952B0B">
        <w:rPr>
          <w:rFonts w:asciiTheme="majorBidi" w:hAnsiTheme="majorBidi" w:cstheme="majorBidi"/>
          <w:sz w:val="24"/>
          <w:szCs w:val="24"/>
        </w:rPr>
        <w:t xml:space="preserve">the petitions, noting specifically that the legal claims of both sides were </w:t>
      </w:r>
      <w:r w:rsidR="003D0F98">
        <w:rPr>
          <w:rFonts w:asciiTheme="majorBidi" w:hAnsiTheme="majorBidi" w:cstheme="majorBidi"/>
          <w:sz w:val="24"/>
          <w:szCs w:val="24"/>
        </w:rPr>
        <w:t>reserved</w:t>
      </w:r>
      <w:r w:rsidR="00AE2A39" w:rsidRPr="00952B0B">
        <w:rPr>
          <w:rFonts w:asciiTheme="majorBidi" w:hAnsiTheme="majorBidi" w:cstheme="majorBidi"/>
          <w:sz w:val="24"/>
          <w:szCs w:val="24"/>
        </w:rPr>
        <w:t>.</w:t>
      </w:r>
      <w:r w:rsidR="00AE2A39" w:rsidRPr="00952B0B">
        <w:rPr>
          <w:rStyle w:val="FootnoteReference"/>
          <w:rFonts w:asciiTheme="majorBidi" w:hAnsiTheme="majorBidi" w:cstheme="majorBidi"/>
          <w:sz w:val="24"/>
          <w:szCs w:val="24"/>
        </w:rPr>
        <w:footnoteReference w:id="5"/>
      </w:r>
    </w:p>
    <w:sectPr w:rsidR="003C3FA3" w:rsidRPr="00952B0B" w:rsidSect="00F83898">
      <w:headerReference w:type="default" r:id="rId8"/>
      <w:headerReference w:type="first" r:id="rId9"/>
      <w:foot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6EFC" w14:textId="77777777" w:rsidR="006B5DE3" w:rsidRDefault="006B5DE3" w:rsidP="00F83898">
      <w:pPr>
        <w:spacing w:after="0" w:line="240" w:lineRule="auto"/>
      </w:pPr>
      <w:r>
        <w:separator/>
      </w:r>
    </w:p>
  </w:endnote>
  <w:endnote w:type="continuationSeparator" w:id="0">
    <w:p w14:paraId="3C0449AB" w14:textId="77777777" w:rsidR="006B5DE3" w:rsidRDefault="006B5DE3" w:rsidP="00F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tl/>
      </w:rPr>
      <w:id w:val="-1988005842"/>
      <w:docPartObj>
        <w:docPartGallery w:val="Page Numbers (Bottom of Page)"/>
        <w:docPartUnique/>
      </w:docPartObj>
    </w:sdtPr>
    <w:sdtEndPr>
      <w:rPr>
        <w:cs/>
      </w:rPr>
    </w:sdtEndPr>
    <w:sdtContent>
      <w:p w14:paraId="2ACAC41A" w14:textId="77777777" w:rsidR="00952B0B" w:rsidRPr="00DB6451" w:rsidRDefault="00952B0B">
        <w:pPr>
          <w:pStyle w:val="Footer"/>
          <w:jc w:val="center"/>
          <w:rPr>
            <w:rFonts w:asciiTheme="majorBidi" w:hAnsiTheme="majorBidi" w:cstheme="majorBidi"/>
            <w:rtl/>
            <w:cs/>
          </w:rPr>
        </w:pPr>
        <w:r w:rsidRPr="00DB6451">
          <w:rPr>
            <w:rFonts w:asciiTheme="majorBidi" w:hAnsiTheme="majorBidi" w:cstheme="majorBidi"/>
          </w:rPr>
          <w:fldChar w:fldCharType="begin"/>
        </w:r>
        <w:r w:rsidRPr="00DB6451">
          <w:rPr>
            <w:rFonts w:asciiTheme="majorBidi" w:hAnsiTheme="majorBidi" w:cstheme="majorBidi"/>
          </w:rPr>
          <w:instrText>PAGE</w:instrText>
        </w:r>
        <w:r w:rsidRPr="00DB6451">
          <w:rPr>
            <w:rFonts w:asciiTheme="majorBidi" w:hAnsiTheme="majorBidi" w:cstheme="majorBidi"/>
            <w:rtl/>
          </w:rPr>
          <w:instrText xml:space="preserve">   </w:instrText>
        </w:r>
        <w:r w:rsidRPr="00DB6451">
          <w:rPr>
            <w:rFonts w:asciiTheme="majorBidi" w:hAnsiTheme="majorBidi" w:cstheme="majorBidi"/>
          </w:rPr>
          <w:instrText>\</w:instrText>
        </w:r>
        <w:r w:rsidRPr="00DB6451">
          <w:rPr>
            <w:rFonts w:asciiTheme="majorBidi" w:hAnsiTheme="majorBidi" w:cstheme="majorBidi"/>
            <w:rtl/>
          </w:rPr>
          <w:instrText xml:space="preserve">* </w:instrText>
        </w:r>
        <w:r w:rsidRPr="00DB6451">
          <w:rPr>
            <w:rFonts w:asciiTheme="majorBidi" w:hAnsiTheme="majorBidi" w:cstheme="majorBidi"/>
          </w:rPr>
          <w:instrText>MERGEFORMAT</w:instrText>
        </w:r>
        <w:r w:rsidRPr="00DB6451">
          <w:rPr>
            <w:rFonts w:asciiTheme="majorBidi" w:hAnsiTheme="majorBidi" w:cstheme="majorBidi"/>
          </w:rPr>
          <w:fldChar w:fldCharType="separate"/>
        </w:r>
        <w:r w:rsidR="00EF4BE8" w:rsidRPr="00EF4BE8">
          <w:rPr>
            <w:rFonts w:asciiTheme="majorBidi" w:hAnsiTheme="majorBidi" w:cstheme="majorBidi"/>
            <w:noProof/>
            <w:rtl/>
            <w:lang w:val="he-IL"/>
          </w:rPr>
          <w:t>1</w:t>
        </w:r>
        <w:r w:rsidRPr="00DB6451">
          <w:rPr>
            <w:rFonts w:asciiTheme="majorBidi" w:hAnsiTheme="majorBidi" w:cstheme="majorBidi"/>
          </w:rPr>
          <w:fldChar w:fldCharType="end"/>
        </w:r>
      </w:p>
    </w:sdtContent>
  </w:sdt>
  <w:p w14:paraId="3FD1E067" w14:textId="77777777" w:rsidR="00952B0B" w:rsidRDefault="0095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1F2B" w14:textId="77777777" w:rsidR="006B5DE3" w:rsidRDefault="006B5DE3" w:rsidP="00F83898">
      <w:pPr>
        <w:spacing w:after="0" w:line="240" w:lineRule="auto"/>
      </w:pPr>
      <w:r>
        <w:separator/>
      </w:r>
    </w:p>
  </w:footnote>
  <w:footnote w:type="continuationSeparator" w:id="0">
    <w:p w14:paraId="28CBD84B" w14:textId="77777777" w:rsidR="006B5DE3" w:rsidRDefault="006B5DE3" w:rsidP="00F83898">
      <w:pPr>
        <w:spacing w:after="0" w:line="240" w:lineRule="auto"/>
      </w:pPr>
      <w:r>
        <w:continuationSeparator/>
      </w:r>
    </w:p>
  </w:footnote>
  <w:footnote w:id="1">
    <w:p w14:paraId="12ED2B2F" w14:textId="77777777" w:rsidR="00897294" w:rsidRPr="00484632" w:rsidRDefault="00897294" w:rsidP="00952B0B">
      <w:pPr>
        <w:pStyle w:val="FootnoteText"/>
        <w:bidi w:val="0"/>
        <w:jc w:val="both"/>
        <w:rPr>
          <w:rFonts w:asciiTheme="majorBidi" w:hAnsiTheme="majorBidi" w:cstheme="majorBidi"/>
        </w:rPr>
      </w:pPr>
      <w:r w:rsidRPr="00484632">
        <w:rPr>
          <w:rStyle w:val="FootnoteReference"/>
          <w:rFonts w:asciiTheme="majorBidi" w:hAnsiTheme="majorBidi" w:cstheme="majorBidi"/>
        </w:rPr>
        <w:footnoteRef/>
      </w:r>
      <w:r w:rsidRPr="00484632">
        <w:rPr>
          <w:rFonts w:asciiTheme="majorBidi" w:hAnsiTheme="majorBidi" w:cstheme="majorBidi"/>
          <w:rtl/>
        </w:rPr>
        <w:t xml:space="preserve"> </w:t>
      </w:r>
      <w:r w:rsidRPr="00484632">
        <w:rPr>
          <w:rFonts w:asciiTheme="majorBidi" w:hAnsiTheme="majorBidi" w:cstheme="majorBidi"/>
        </w:rPr>
        <w:t xml:space="preserve">Cr.Ap. 8937/20 </w:t>
      </w:r>
      <w:r w:rsidR="0009683B" w:rsidRPr="00484632">
        <w:rPr>
          <w:rFonts w:asciiTheme="majorBidi" w:hAnsiTheme="majorBidi" w:cstheme="majorBidi"/>
          <w:i/>
          <w:iCs/>
        </w:rPr>
        <w:t>The State of Israel v. Jabor</w:t>
      </w:r>
      <w:r w:rsidR="0009683B" w:rsidRPr="00484632">
        <w:rPr>
          <w:rFonts w:asciiTheme="majorBidi" w:hAnsiTheme="majorBidi" w:cstheme="majorBidi"/>
        </w:rPr>
        <w:t xml:space="preserve"> (3.12.2020).</w:t>
      </w:r>
    </w:p>
  </w:footnote>
  <w:footnote w:id="2">
    <w:p w14:paraId="2F9E590E" w14:textId="77777777" w:rsidR="00AE2A39" w:rsidRPr="00484632" w:rsidRDefault="00AE2A39" w:rsidP="00952B0B">
      <w:pPr>
        <w:pStyle w:val="FootnoteText"/>
        <w:bidi w:val="0"/>
        <w:jc w:val="both"/>
      </w:pPr>
      <w:r w:rsidRPr="00484632">
        <w:rPr>
          <w:rStyle w:val="FootnoteReference"/>
        </w:rPr>
        <w:footnoteRef/>
      </w:r>
      <w:r w:rsidRPr="00484632">
        <w:rPr>
          <w:rtl/>
        </w:rPr>
        <w:t xml:space="preserve"> </w:t>
      </w:r>
      <w:r w:rsidRPr="00484632">
        <w:rPr>
          <w:rFonts w:asciiTheme="majorBidi" w:hAnsiTheme="majorBidi" w:cstheme="majorBidi"/>
        </w:rPr>
        <w:t xml:space="preserve">H.C.J. 6272/20 </w:t>
      </w:r>
      <w:r w:rsidRPr="00484632">
        <w:rPr>
          <w:rFonts w:asciiTheme="majorBidi" w:hAnsiTheme="majorBidi" w:cstheme="majorBidi"/>
          <w:i/>
          <w:iCs/>
        </w:rPr>
        <w:t xml:space="preserve">Kav L'Oved </w:t>
      </w:r>
      <w:r w:rsidRPr="00484632">
        <w:rPr>
          <w:rFonts w:asciiTheme="majorBidi" w:hAnsiTheme="majorBidi" w:cstheme="majorBidi"/>
          <w:i/>
          <w:iCs/>
        </w:rPr>
        <w:t>et. al. v. The Government of Israel et. al.</w:t>
      </w:r>
      <w:r w:rsidRPr="00484632">
        <w:rPr>
          <w:rFonts w:asciiTheme="majorBidi" w:hAnsiTheme="majorBidi" w:cstheme="majorBidi"/>
        </w:rPr>
        <w:t xml:space="preserve"> (pending)</w:t>
      </w:r>
    </w:p>
  </w:footnote>
  <w:footnote w:id="3">
    <w:p w14:paraId="68CB43A7" w14:textId="77777777" w:rsidR="00FB012A" w:rsidRPr="00484632" w:rsidRDefault="00FB012A" w:rsidP="00952B0B">
      <w:pPr>
        <w:pStyle w:val="FootnoteText"/>
        <w:bidi w:val="0"/>
        <w:jc w:val="both"/>
      </w:pPr>
      <w:r w:rsidRPr="00484632">
        <w:rPr>
          <w:rStyle w:val="FootnoteReference"/>
        </w:rPr>
        <w:footnoteRef/>
      </w:r>
      <w:r w:rsidRPr="00484632">
        <w:rPr>
          <w:rtl/>
        </w:rPr>
        <w:t xml:space="preserve"> </w:t>
      </w:r>
      <w:r w:rsidRPr="003673FF">
        <w:rPr>
          <w:rFonts w:asciiTheme="majorBidi" w:hAnsiTheme="majorBidi" w:cstheme="majorBidi"/>
        </w:rPr>
        <w:t xml:space="preserve">H.C.J. 6272/20 </w:t>
      </w:r>
      <w:r w:rsidRPr="003673FF">
        <w:rPr>
          <w:rFonts w:asciiTheme="majorBidi" w:hAnsiTheme="majorBidi" w:cstheme="majorBidi"/>
          <w:i/>
          <w:iCs/>
        </w:rPr>
        <w:t xml:space="preserve">Kav L'Oved </w:t>
      </w:r>
      <w:r w:rsidRPr="003673FF">
        <w:rPr>
          <w:rFonts w:asciiTheme="majorBidi" w:hAnsiTheme="majorBidi" w:cstheme="majorBidi"/>
          <w:i/>
          <w:iCs/>
        </w:rPr>
        <w:t>et. al. v. The Government of Israel et. al</w:t>
      </w:r>
      <w:r w:rsidRPr="003673FF">
        <w:rPr>
          <w:rFonts w:asciiTheme="majorBidi" w:hAnsiTheme="majorBidi" w:cstheme="majorBidi"/>
        </w:rPr>
        <w:t>. (pending)</w:t>
      </w:r>
    </w:p>
  </w:footnote>
  <w:footnote w:id="4">
    <w:p w14:paraId="58EF4824" w14:textId="77777777" w:rsidR="00AE2A39" w:rsidRPr="00484632" w:rsidRDefault="00AE2A39" w:rsidP="00952B0B">
      <w:pPr>
        <w:pStyle w:val="FootnoteText"/>
        <w:bidi w:val="0"/>
        <w:jc w:val="both"/>
      </w:pPr>
      <w:r w:rsidRPr="00484632">
        <w:rPr>
          <w:rStyle w:val="FootnoteReference"/>
        </w:rPr>
        <w:footnoteRef/>
      </w:r>
      <w:r w:rsidRPr="00484632">
        <w:rPr>
          <w:rtl/>
        </w:rPr>
        <w:t xml:space="preserve"> </w:t>
      </w:r>
      <w:r w:rsidRPr="003673FF">
        <w:rPr>
          <w:rFonts w:asciiTheme="majorBidi" w:hAnsiTheme="majorBidi" w:cstheme="majorBidi"/>
        </w:rPr>
        <w:t>H.C.J. 2730/20</w:t>
      </w:r>
      <w:r w:rsidRPr="003673FF">
        <w:rPr>
          <w:rFonts w:asciiTheme="majorBidi" w:hAnsiTheme="majorBidi" w:cstheme="majorBidi"/>
          <w:i/>
          <w:iCs/>
        </w:rPr>
        <w:t xml:space="preserve"> </w:t>
      </w:r>
      <w:r w:rsidRPr="003673FF">
        <w:rPr>
          <w:rFonts w:asciiTheme="majorBidi" w:hAnsiTheme="majorBidi" w:cstheme="majorBidi"/>
          <w:i/>
          <w:iCs/>
        </w:rPr>
        <w:t xml:space="preserve">Kav L'Oved </w:t>
      </w:r>
      <w:r w:rsidRPr="003673FF">
        <w:rPr>
          <w:rFonts w:asciiTheme="majorBidi" w:hAnsiTheme="majorBidi" w:cstheme="majorBidi"/>
          <w:i/>
          <w:iCs/>
        </w:rPr>
        <w:t>et. al. v. the Minister of Health et. al.</w:t>
      </w:r>
      <w:r w:rsidRPr="003673FF">
        <w:rPr>
          <w:rFonts w:asciiTheme="majorBidi" w:hAnsiTheme="majorBidi" w:cstheme="majorBidi"/>
        </w:rPr>
        <w:t xml:space="preserve"> (24.09.20)</w:t>
      </w:r>
    </w:p>
  </w:footnote>
  <w:footnote w:id="5">
    <w:p w14:paraId="6EAF6B2F" w14:textId="77777777" w:rsidR="00AE2A39" w:rsidRPr="003673FF" w:rsidRDefault="00AE2A39" w:rsidP="003E1901">
      <w:pPr>
        <w:pStyle w:val="FootnoteText"/>
        <w:bidi w:val="0"/>
        <w:jc w:val="both"/>
        <w:rPr>
          <w:rtl/>
        </w:rPr>
      </w:pPr>
      <w:r w:rsidRPr="00484632">
        <w:rPr>
          <w:rStyle w:val="FootnoteReference"/>
        </w:rPr>
        <w:footnoteRef/>
      </w:r>
      <w:r w:rsidRPr="00484632">
        <w:rPr>
          <w:rtl/>
        </w:rPr>
        <w:t xml:space="preserve"> </w:t>
      </w:r>
      <w:r w:rsidRPr="00484632">
        <w:rPr>
          <w:rFonts w:asciiTheme="majorBidi" w:hAnsiTheme="majorBidi" w:cstheme="majorBidi"/>
        </w:rPr>
        <w:t xml:space="preserve">H.C.J. </w:t>
      </w:r>
      <w:r w:rsidRPr="00484632">
        <w:rPr>
          <w:rFonts w:asciiTheme="majorBidi" w:hAnsiTheme="majorBidi" w:cstheme="majorBidi"/>
          <w:lang w:val="en-GB"/>
        </w:rPr>
        <w:t xml:space="preserve">1889/18 </w:t>
      </w:r>
      <w:r w:rsidRPr="003673FF">
        <w:rPr>
          <w:rFonts w:asciiTheme="majorBidi" w:hAnsiTheme="majorBidi" w:cstheme="majorBidi"/>
          <w:i/>
          <w:iCs/>
          <w:lang w:val="en-GB"/>
        </w:rPr>
        <w:t xml:space="preserve">Tab’ouni et. al. v. The Services to Employers and Foreign Workers Branch </w:t>
      </w:r>
      <w:r w:rsidRPr="003673FF">
        <w:rPr>
          <w:rFonts w:asciiTheme="majorBidi" w:hAnsiTheme="majorBidi" w:cstheme="majorBidi"/>
          <w:lang w:val="en-GB"/>
        </w:rPr>
        <w:t>(04.03.2018)</w:t>
      </w:r>
      <w:r w:rsidRPr="003673FF">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C999" w14:textId="77777777"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14:paraId="3655B592" w14:textId="77777777" w:rsidR="00F83898" w:rsidRPr="00F83898" w:rsidRDefault="00F8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A105" w14:textId="77777777" w:rsidR="00F83898" w:rsidRPr="001C4DC4" w:rsidRDefault="00F83898" w:rsidP="00F83898">
    <w:pPr>
      <w:tabs>
        <w:tab w:val="center" w:pos="4153"/>
        <w:tab w:val="right" w:pos="8306"/>
      </w:tabs>
      <w:spacing w:after="0" w:line="240" w:lineRule="auto"/>
      <w:jc w:val="center"/>
      <w:rPr>
        <w:rFonts w:cs="David"/>
        <w:b/>
        <w:bCs/>
        <w:spacing w:val="60"/>
        <w:szCs w:val="28"/>
        <w:rtl/>
      </w:rPr>
    </w:pPr>
    <w:r w:rsidRPr="001C4DC4">
      <w:object w:dxaOrig="1345" w:dyaOrig="1249" w14:anchorId="4D64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2.25pt">
          <v:imagedata r:id="rId1" o:title=""/>
        </v:shape>
        <o:OLEObject Type="Embed" ProgID="Word.Document.8" ShapeID="_x0000_i1025" DrawAspect="Content" ObjectID="_1709707346" r:id="rId2"/>
      </w:object>
    </w:r>
  </w:p>
  <w:p w14:paraId="0CA70BDF" w14:textId="77777777" w:rsidR="00F83898" w:rsidRPr="001C4DC4" w:rsidRDefault="00F83898"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14:paraId="7F7F0F53" w14:textId="77777777" w:rsidR="00F83898" w:rsidRPr="001C4DC4" w:rsidRDefault="00F83898"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14:paraId="487BCE86" w14:textId="77777777"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lace">
      <w:smartTag w:uri="urn:schemas-microsoft-com:office:smarttags" w:element="PersonName">
        <w:r w:rsidRPr="001C4DC4">
          <w:rPr>
            <w:rFonts w:ascii="Times New Roman" w:hAnsi="Times New Roman" w:cs="Times New Roman"/>
            <w:b/>
            <w:bCs/>
            <w:spacing w:val="60"/>
            <w:szCs w:val="28"/>
          </w:rPr>
          <w:t>Israel</w:t>
        </w:r>
      </w:smartTag>
    </w:smartTag>
  </w:p>
  <w:p w14:paraId="50AECFC2" w14:textId="77777777"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14:paraId="5D652097" w14:textId="77777777" w:rsidR="00F83898" w:rsidRPr="001C4DC4" w:rsidRDefault="00F83898" w:rsidP="00F83898">
    <w:pPr>
      <w:tabs>
        <w:tab w:val="center" w:pos="4153"/>
        <w:tab w:val="right" w:pos="8306"/>
      </w:tabs>
      <w:bidi w:val="0"/>
      <w:spacing w:after="0" w:line="240" w:lineRule="auto"/>
      <w:jc w:val="center"/>
      <w:rPr>
        <w:rFonts w:cs="David"/>
        <w:b/>
        <w:bCs/>
        <w:spacing w:val="60"/>
        <w:szCs w:val="28"/>
      </w:rPr>
    </w:pPr>
  </w:p>
  <w:p w14:paraId="0BA015E7" w14:textId="77777777"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14:paraId="1774F89E" w14:textId="77777777" w:rsidR="00F83898" w:rsidRPr="00F83898" w:rsidRDefault="00F83898" w:rsidP="00F8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2AF"/>
    <w:multiLevelType w:val="hybridMultilevel"/>
    <w:tmpl w:val="52C85672"/>
    <w:lvl w:ilvl="0" w:tplc="4074F078">
      <w:start w:val="1"/>
      <w:numFmt w:val="decimal"/>
      <w:lvlText w:val="%1."/>
      <w:lvlJc w:val="left"/>
      <w:pPr>
        <w:ind w:left="720" w:hanging="360"/>
      </w:pPr>
      <w:rPr>
        <w:rFonts w:hint="default"/>
      </w:rPr>
    </w:lvl>
    <w:lvl w:ilvl="1" w:tplc="EEA6E320" w:tentative="1">
      <w:start w:val="1"/>
      <w:numFmt w:val="lowerLetter"/>
      <w:lvlText w:val="%2."/>
      <w:lvlJc w:val="left"/>
      <w:pPr>
        <w:ind w:left="1440" w:hanging="360"/>
      </w:pPr>
    </w:lvl>
    <w:lvl w:ilvl="2" w:tplc="08F6140E" w:tentative="1">
      <w:start w:val="1"/>
      <w:numFmt w:val="lowerRoman"/>
      <w:lvlText w:val="%3."/>
      <w:lvlJc w:val="right"/>
      <w:pPr>
        <w:ind w:left="2160" w:hanging="180"/>
      </w:pPr>
    </w:lvl>
    <w:lvl w:ilvl="3" w:tplc="CB88ADD0" w:tentative="1">
      <w:start w:val="1"/>
      <w:numFmt w:val="decimal"/>
      <w:lvlText w:val="%4."/>
      <w:lvlJc w:val="left"/>
      <w:pPr>
        <w:ind w:left="2880" w:hanging="360"/>
      </w:pPr>
    </w:lvl>
    <w:lvl w:ilvl="4" w:tplc="7F5ED47A" w:tentative="1">
      <w:start w:val="1"/>
      <w:numFmt w:val="lowerLetter"/>
      <w:lvlText w:val="%5."/>
      <w:lvlJc w:val="left"/>
      <w:pPr>
        <w:ind w:left="3600" w:hanging="360"/>
      </w:pPr>
    </w:lvl>
    <w:lvl w:ilvl="5" w:tplc="0D1C5C78" w:tentative="1">
      <w:start w:val="1"/>
      <w:numFmt w:val="lowerRoman"/>
      <w:lvlText w:val="%6."/>
      <w:lvlJc w:val="right"/>
      <w:pPr>
        <w:ind w:left="4320" w:hanging="180"/>
      </w:pPr>
    </w:lvl>
    <w:lvl w:ilvl="6" w:tplc="ED4402B4" w:tentative="1">
      <w:start w:val="1"/>
      <w:numFmt w:val="decimal"/>
      <w:lvlText w:val="%7."/>
      <w:lvlJc w:val="left"/>
      <w:pPr>
        <w:ind w:left="5040" w:hanging="360"/>
      </w:pPr>
    </w:lvl>
    <w:lvl w:ilvl="7" w:tplc="256626EE" w:tentative="1">
      <w:start w:val="1"/>
      <w:numFmt w:val="lowerLetter"/>
      <w:lvlText w:val="%8."/>
      <w:lvlJc w:val="left"/>
      <w:pPr>
        <w:ind w:left="5760" w:hanging="360"/>
      </w:pPr>
    </w:lvl>
    <w:lvl w:ilvl="8" w:tplc="D0F86788" w:tentative="1">
      <w:start w:val="1"/>
      <w:numFmt w:val="lowerRoman"/>
      <w:lvlText w:val="%9."/>
      <w:lvlJc w:val="right"/>
      <w:pPr>
        <w:ind w:left="6480" w:hanging="180"/>
      </w:pPr>
    </w:lvl>
  </w:abstractNum>
  <w:abstractNum w:abstractNumId="1" w15:restartNumberingAfterBreak="0">
    <w:nsid w:val="29136AF6"/>
    <w:multiLevelType w:val="hybridMultilevel"/>
    <w:tmpl w:val="69CEA4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96ABB"/>
    <w:multiLevelType w:val="hybridMultilevel"/>
    <w:tmpl w:val="AD4E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34FE0"/>
    <w:multiLevelType w:val="hybridMultilevel"/>
    <w:tmpl w:val="3DBCA082"/>
    <w:lvl w:ilvl="0" w:tplc="2E76E7F0">
      <w:start w:val="1"/>
      <w:numFmt w:val="decimal"/>
      <w:lvlText w:val="%1."/>
      <w:lvlJc w:val="left"/>
      <w:pPr>
        <w:ind w:left="720" w:hanging="360"/>
      </w:pPr>
      <w:rPr>
        <w:rFonts w:cs="Narkisim" w:hint="cs"/>
        <w:b w:val="0"/>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A6477"/>
    <w:multiLevelType w:val="hybridMultilevel"/>
    <w:tmpl w:val="C7C0BDB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52F120E7"/>
    <w:multiLevelType w:val="hybridMultilevel"/>
    <w:tmpl w:val="09A8E57A"/>
    <w:lvl w:ilvl="0" w:tplc="F500CBE6">
      <w:start w:val="1"/>
      <w:numFmt w:val="bullet"/>
      <w:lvlText w:val=""/>
      <w:lvlJc w:val="left"/>
      <w:pPr>
        <w:ind w:left="1211" w:hanging="360"/>
      </w:pPr>
      <w:rPr>
        <w:rFonts w:ascii="Symbol" w:hAnsi="Symbol" w:hint="default"/>
        <w:b/>
        <w:bCs/>
        <w:color w:val="auto"/>
      </w:rPr>
    </w:lvl>
    <w:lvl w:ilvl="1" w:tplc="B662655E">
      <w:start w:val="1"/>
      <w:numFmt w:val="bullet"/>
      <w:lvlText w:val=""/>
      <w:lvlJc w:val="left"/>
      <w:pPr>
        <w:ind w:left="1146" w:hanging="360"/>
      </w:pPr>
      <w:rPr>
        <w:rFonts w:ascii="Symbol" w:hAnsi="Symbol" w:hint="default"/>
        <w:b/>
        <w:bCs/>
        <w:color w:val="auto"/>
        <w:sz w:val="24"/>
        <w:szCs w:val="24"/>
      </w:rPr>
    </w:lvl>
    <w:lvl w:ilvl="2" w:tplc="32CC34A2">
      <w:start w:val="1"/>
      <w:numFmt w:val="lowerLetter"/>
      <w:lvlText w:val="%3."/>
      <w:lvlJc w:val="left"/>
      <w:pPr>
        <w:ind w:left="2046" w:hanging="360"/>
      </w:pPr>
      <w:rPr>
        <w:rFonts w:hint="default"/>
      </w:rPr>
    </w:lvl>
    <w:lvl w:ilvl="3" w:tplc="7F62736C">
      <w:start w:val="2"/>
      <w:numFmt w:val="lowerRoman"/>
      <w:lvlText w:val="%4."/>
      <w:lvlJc w:val="left"/>
      <w:pPr>
        <w:ind w:left="2946" w:hanging="720"/>
      </w:pPr>
      <w:rPr>
        <w:rFonts w:hint="default"/>
      </w:rPr>
    </w:lvl>
    <w:lvl w:ilvl="4" w:tplc="4FA830C6">
      <w:start w:val="1"/>
      <w:numFmt w:val="decimal"/>
      <w:lvlText w:val="(%5)"/>
      <w:lvlJc w:val="left"/>
      <w:pPr>
        <w:ind w:left="3306" w:hanging="360"/>
      </w:pPr>
      <w:rPr>
        <w:rFonts w:hint="default"/>
      </w:rPr>
    </w:lvl>
    <w:lvl w:ilvl="5" w:tplc="7B5ACE4A">
      <w:start w:val="1"/>
      <w:numFmt w:val="lowerRoman"/>
      <w:lvlText w:val="%6."/>
      <w:lvlJc w:val="right"/>
      <w:pPr>
        <w:ind w:left="4026" w:hanging="180"/>
      </w:pPr>
    </w:lvl>
    <w:lvl w:ilvl="6" w:tplc="66B83BFC">
      <w:start w:val="1"/>
      <w:numFmt w:val="bullet"/>
      <w:lvlText w:val=""/>
      <w:lvlJc w:val="left"/>
      <w:pPr>
        <w:ind w:left="4746" w:hanging="360"/>
      </w:pPr>
      <w:rPr>
        <w:rFonts w:ascii="Symbol" w:hAnsi="Symbol" w:hint="default"/>
        <w:b w:val="0"/>
        <w:bCs w:val="0"/>
      </w:rPr>
    </w:lvl>
    <w:lvl w:ilvl="7" w:tplc="C58296D2">
      <w:start w:val="1"/>
      <w:numFmt w:val="lowerLetter"/>
      <w:lvlText w:val="%8."/>
      <w:lvlJc w:val="left"/>
      <w:pPr>
        <w:ind w:left="5466" w:hanging="360"/>
      </w:pPr>
    </w:lvl>
    <w:lvl w:ilvl="8" w:tplc="A1E673EC">
      <w:start w:val="1"/>
      <w:numFmt w:val="lowerRoman"/>
      <w:lvlText w:val="%9."/>
      <w:lvlJc w:val="right"/>
      <w:pPr>
        <w:ind w:left="6186" w:hanging="180"/>
      </w:pPr>
    </w:lvl>
  </w:abstractNum>
  <w:abstractNum w:abstractNumId="6" w15:restartNumberingAfterBreak="0">
    <w:nsid w:val="588E0817"/>
    <w:multiLevelType w:val="hybridMultilevel"/>
    <w:tmpl w:val="1700E296"/>
    <w:lvl w:ilvl="0" w:tplc="F500CBE6">
      <w:start w:val="1"/>
      <w:numFmt w:val="bullet"/>
      <w:lvlText w:val=""/>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D15B6"/>
    <w:multiLevelType w:val="hybridMultilevel"/>
    <w:tmpl w:val="58DC5130"/>
    <w:lvl w:ilvl="0" w:tplc="F500CBE6">
      <w:start w:val="1"/>
      <w:numFmt w:val="bullet"/>
      <w:lvlText w:val=""/>
      <w:lvlJc w:val="left"/>
      <w:pPr>
        <w:ind w:left="1211"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E5713"/>
    <w:multiLevelType w:val="hybridMultilevel"/>
    <w:tmpl w:val="70889E8E"/>
    <w:lvl w:ilvl="0" w:tplc="04090017">
      <w:start w:val="1"/>
      <w:numFmt w:val="lowerLetter"/>
      <w:lvlText w:val="%1)"/>
      <w:lvlJc w:val="left"/>
      <w:pPr>
        <w:ind w:left="2340" w:hanging="360"/>
      </w:pPr>
    </w:lvl>
    <w:lvl w:ilvl="1" w:tplc="1EF61F08">
      <w:start w:val="1"/>
      <w:numFmt w:val="decimal"/>
      <w:lvlText w:val="%2."/>
      <w:lvlJc w:val="left"/>
      <w:pPr>
        <w:ind w:left="3060" w:hanging="360"/>
      </w:pPr>
      <w:rPr>
        <w:rFonts w:eastAsia="Times New Roman"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78121AA7"/>
    <w:multiLevelType w:val="hybridMultilevel"/>
    <w:tmpl w:val="490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B088F"/>
    <w:multiLevelType w:val="multilevel"/>
    <w:tmpl w:val="BAEC93E0"/>
    <w:lvl w:ilvl="0">
      <w:start w:val="1"/>
      <w:numFmt w:val="decimal"/>
      <w:lvlText w:val="%1."/>
      <w:lvlJc w:val="center"/>
      <w:pPr>
        <w:tabs>
          <w:tab w:val="num" w:pos="284"/>
        </w:tabs>
        <w:ind w:left="0" w:firstLine="0"/>
      </w:pPr>
      <w:rPr>
        <w:rFonts w:hint="default"/>
        <w:b w:val="0"/>
        <w:bCs w:val="0"/>
        <w:i w:val="0"/>
        <w:iCs w:val="0"/>
        <w:lang w:val="en-US" w:bidi="he-IL"/>
      </w:rPr>
    </w:lvl>
    <w:lvl w:ilvl="1">
      <w:start w:val="1"/>
      <w:numFmt w:val="decimal"/>
      <w:lvlText w:val="%1.%2."/>
      <w:lvlJc w:val="center"/>
      <w:pPr>
        <w:tabs>
          <w:tab w:val="num" w:pos="794"/>
        </w:tabs>
        <w:ind w:left="794" w:hanging="434"/>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224"/>
        </w:tabs>
        <w:ind w:left="1224" w:hanging="504"/>
      </w:pPr>
      <w:rPr>
        <w:rFonts w:hint="default"/>
      </w:rPr>
    </w:lvl>
    <w:lvl w:ilvl="3">
      <w:start w:val="1"/>
      <w:numFmt w:val="decimal"/>
      <w:lvlText w:val="%1.%2.%3.%4."/>
      <w:lvlJc w:val="center"/>
      <w:pPr>
        <w:tabs>
          <w:tab w:val="num" w:pos="1728"/>
        </w:tabs>
        <w:ind w:left="1728" w:hanging="648"/>
      </w:pPr>
      <w:rPr>
        <w:rFonts w:hint="default"/>
      </w:rPr>
    </w:lvl>
    <w:lvl w:ilvl="4">
      <w:start w:val="1"/>
      <w:numFmt w:val="decimal"/>
      <w:lvlText w:val="%1.%2.%3.%4.%5."/>
      <w:lvlJc w:val="center"/>
      <w:pPr>
        <w:tabs>
          <w:tab w:val="num" w:pos="2232"/>
        </w:tabs>
        <w:ind w:left="2232" w:hanging="792"/>
      </w:pPr>
      <w:rPr>
        <w:rFonts w:hint="default"/>
      </w:rPr>
    </w:lvl>
    <w:lvl w:ilvl="5">
      <w:start w:val="1"/>
      <w:numFmt w:val="decimal"/>
      <w:lvlText w:val="%1.%2.%3.%4.%5.%6."/>
      <w:lvlJc w:val="center"/>
      <w:pPr>
        <w:tabs>
          <w:tab w:val="num" w:pos="2736"/>
        </w:tabs>
        <w:ind w:left="2736" w:hanging="936"/>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11" w15:restartNumberingAfterBreak="0">
    <w:nsid w:val="7EC408A6"/>
    <w:multiLevelType w:val="hybridMultilevel"/>
    <w:tmpl w:val="DFE8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D0D31"/>
    <w:multiLevelType w:val="hybridMultilevel"/>
    <w:tmpl w:val="B49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2"/>
  </w:num>
  <w:num w:numId="5">
    <w:abstractNumId w:val="6"/>
  </w:num>
  <w:num w:numId="6">
    <w:abstractNumId w:val="5"/>
  </w:num>
  <w:num w:numId="7">
    <w:abstractNumId w:val="7"/>
  </w:num>
  <w:num w:numId="8">
    <w:abstractNumId w:val="9"/>
  </w:num>
  <w:num w:numId="9">
    <w:abstractNumId w:val="4"/>
  </w:num>
  <w:num w:numId="10">
    <w:abstractNumId w:val="0"/>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FD"/>
    <w:rsid w:val="000024C1"/>
    <w:rsid w:val="000126FB"/>
    <w:rsid w:val="000139FE"/>
    <w:rsid w:val="00075568"/>
    <w:rsid w:val="0008531E"/>
    <w:rsid w:val="0009683B"/>
    <w:rsid w:val="000C6E91"/>
    <w:rsid w:val="000D457E"/>
    <w:rsid w:val="000E427F"/>
    <w:rsid w:val="000F12E1"/>
    <w:rsid w:val="00117490"/>
    <w:rsid w:val="00186C56"/>
    <w:rsid w:val="001935F3"/>
    <w:rsid w:val="00195B3D"/>
    <w:rsid w:val="001D2FFD"/>
    <w:rsid w:val="001E5260"/>
    <w:rsid w:val="001F0FD8"/>
    <w:rsid w:val="00200B76"/>
    <w:rsid w:val="00237A9D"/>
    <w:rsid w:val="00271F4D"/>
    <w:rsid w:val="00274A8E"/>
    <w:rsid w:val="00281B21"/>
    <w:rsid w:val="002B1DA3"/>
    <w:rsid w:val="002D40D6"/>
    <w:rsid w:val="00331416"/>
    <w:rsid w:val="003673FF"/>
    <w:rsid w:val="003945E9"/>
    <w:rsid w:val="003C02EA"/>
    <w:rsid w:val="003C3FA3"/>
    <w:rsid w:val="003D0F98"/>
    <w:rsid w:val="003D5BF4"/>
    <w:rsid w:val="003E1901"/>
    <w:rsid w:val="00455958"/>
    <w:rsid w:val="00462D1D"/>
    <w:rsid w:val="004646E7"/>
    <w:rsid w:val="00484632"/>
    <w:rsid w:val="0048781C"/>
    <w:rsid w:val="004A52CB"/>
    <w:rsid w:val="004E4D46"/>
    <w:rsid w:val="004F0ED2"/>
    <w:rsid w:val="00513E61"/>
    <w:rsid w:val="00584A25"/>
    <w:rsid w:val="005A500A"/>
    <w:rsid w:val="005B3D77"/>
    <w:rsid w:val="005B5370"/>
    <w:rsid w:val="005B53FD"/>
    <w:rsid w:val="005E46CA"/>
    <w:rsid w:val="006074AE"/>
    <w:rsid w:val="006431A4"/>
    <w:rsid w:val="00644BBC"/>
    <w:rsid w:val="00661D05"/>
    <w:rsid w:val="006A01D6"/>
    <w:rsid w:val="006B4445"/>
    <w:rsid w:val="006B5DE3"/>
    <w:rsid w:val="006C2ECC"/>
    <w:rsid w:val="006D646C"/>
    <w:rsid w:val="00702395"/>
    <w:rsid w:val="00742683"/>
    <w:rsid w:val="00742744"/>
    <w:rsid w:val="007600B0"/>
    <w:rsid w:val="007B1FFD"/>
    <w:rsid w:val="007E0DB3"/>
    <w:rsid w:val="00811F6A"/>
    <w:rsid w:val="00813281"/>
    <w:rsid w:val="00820A94"/>
    <w:rsid w:val="008606CE"/>
    <w:rsid w:val="00865DCE"/>
    <w:rsid w:val="00895E7F"/>
    <w:rsid w:val="00897294"/>
    <w:rsid w:val="009231BB"/>
    <w:rsid w:val="00952B0B"/>
    <w:rsid w:val="00996B9B"/>
    <w:rsid w:val="009A1059"/>
    <w:rsid w:val="009C413E"/>
    <w:rsid w:val="009D51F3"/>
    <w:rsid w:val="009D6259"/>
    <w:rsid w:val="009E4E46"/>
    <w:rsid w:val="00A22F09"/>
    <w:rsid w:val="00A40A32"/>
    <w:rsid w:val="00A56204"/>
    <w:rsid w:val="00A67582"/>
    <w:rsid w:val="00AC0854"/>
    <w:rsid w:val="00AD3955"/>
    <w:rsid w:val="00AE2A39"/>
    <w:rsid w:val="00B251BA"/>
    <w:rsid w:val="00B426C6"/>
    <w:rsid w:val="00B713F5"/>
    <w:rsid w:val="00BB765D"/>
    <w:rsid w:val="00C0770F"/>
    <w:rsid w:val="00C11707"/>
    <w:rsid w:val="00C624BC"/>
    <w:rsid w:val="00C63A88"/>
    <w:rsid w:val="00CE3433"/>
    <w:rsid w:val="00D41310"/>
    <w:rsid w:val="00D4551C"/>
    <w:rsid w:val="00D51071"/>
    <w:rsid w:val="00D57334"/>
    <w:rsid w:val="00D83F03"/>
    <w:rsid w:val="00DB6451"/>
    <w:rsid w:val="00DF3880"/>
    <w:rsid w:val="00E166FD"/>
    <w:rsid w:val="00E6239C"/>
    <w:rsid w:val="00E73F09"/>
    <w:rsid w:val="00EE523D"/>
    <w:rsid w:val="00EF2F77"/>
    <w:rsid w:val="00EF4BE8"/>
    <w:rsid w:val="00F03796"/>
    <w:rsid w:val="00F051A6"/>
    <w:rsid w:val="00F37ABC"/>
    <w:rsid w:val="00F6375E"/>
    <w:rsid w:val="00F71F74"/>
    <w:rsid w:val="00F83473"/>
    <w:rsid w:val="00F83898"/>
    <w:rsid w:val="00F97E82"/>
    <w:rsid w:val="00FA1292"/>
    <w:rsid w:val="00FB012A"/>
    <w:rsid w:val="00FC5577"/>
    <w:rsid w:val="00FE6A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1BB3919F"/>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semiHidden/>
    <w:unhideWhenUsed/>
    <w:qFormat/>
    <w:rsid w:val="00A5620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E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20A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20A9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898"/>
  </w:style>
  <w:style w:type="paragraph" w:styleId="Footer">
    <w:name w:val="footer"/>
    <w:basedOn w:val="Normal"/>
    <w:link w:val="FooterChar"/>
    <w:uiPriority w:val="99"/>
    <w:unhideWhenUsed/>
    <w:rsid w:val="00F83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898"/>
  </w:style>
  <w:style w:type="paragraph" w:customStyle="1" w:styleId="Default">
    <w:name w:val="Default"/>
    <w:link w:val="Default0"/>
    <w:rsid w:val="00E623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תו"/>
    <w:link w:val="Default"/>
    <w:rsid w:val="00E6239C"/>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0B0"/>
    <w:rPr>
      <w:sz w:val="20"/>
      <w:szCs w:val="20"/>
    </w:rPr>
  </w:style>
  <w:style w:type="character" w:styleId="FootnoteReference">
    <w:name w:val="footnote reference"/>
    <w:basedOn w:val="DefaultParagraphFont"/>
    <w:uiPriority w:val="99"/>
    <w:semiHidden/>
    <w:unhideWhenUsed/>
    <w:rsid w:val="007600B0"/>
    <w:rPr>
      <w:vertAlign w:val="superscript"/>
    </w:rPr>
  </w:style>
  <w:style w:type="character" w:customStyle="1" w:styleId="Heading2Char">
    <w:name w:val="Heading 2 Char"/>
    <w:basedOn w:val="DefaultParagraphFont"/>
    <w:link w:val="Heading2"/>
    <w:rsid w:val="00A5620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A56204"/>
    <w:rPr>
      <w:sz w:val="16"/>
      <w:szCs w:val="16"/>
    </w:rPr>
  </w:style>
  <w:style w:type="paragraph" w:styleId="CommentText">
    <w:name w:val="annotation text"/>
    <w:basedOn w:val="Normal"/>
    <w:link w:val="CommentTextChar"/>
    <w:uiPriority w:val="99"/>
    <w:semiHidden/>
    <w:unhideWhenUsed/>
    <w:rsid w:val="00A56204"/>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A56204"/>
    <w:rPr>
      <w:rFonts w:ascii="Calibri" w:eastAsia="Calibri" w:hAnsi="Calibri" w:cs="Arial"/>
      <w:sz w:val="20"/>
      <w:szCs w:val="20"/>
    </w:rPr>
  </w:style>
  <w:style w:type="paragraph" w:styleId="BalloonText">
    <w:name w:val="Balloon Text"/>
    <w:basedOn w:val="Normal"/>
    <w:link w:val="BalloonTextChar"/>
    <w:uiPriority w:val="99"/>
    <w:semiHidden/>
    <w:unhideWhenUsed/>
    <w:rsid w:val="00A5620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56204"/>
    <w:rPr>
      <w:rFonts w:ascii="Tahoma" w:hAnsi="Tahoma" w:cs="Tahoma"/>
      <w:sz w:val="18"/>
      <w:szCs w:val="18"/>
    </w:rPr>
  </w:style>
  <w:style w:type="paragraph" w:styleId="ListParagraph">
    <w:name w:val="List Paragraph"/>
    <w:aliases w:val="Bullet List,FooterText,LP1,List Paragraph_0,List Paragraph_1,Paragraphe de liste1,lp1,numbered,פיסקת bullets"/>
    <w:basedOn w:val="Normal"/>
    <w:link w:val="ListParagraphChar"/>
    <w:uiPriority w:val="34"/>
    <w:qFormat/>
    <w:rsid w:val="009E4E46"/>
    <w:pPr>
      <w:spacing w:after="200" w:line="276" w:lineRule="auto"/>
      <w:ind w:left="720"/>
    </w:pPr>
    <w:rPr>
      <w:rFonts w:ascii="Calibri" w:eastAsia="Calibri" w:hAnsi="Calibri" w:cs="Arial"/>
    </w:rPr>
  </w:style>
  <w:style w:type="character" w:customStyle="1" w:styleId="ListParagraphChar">
    <w:name w:val="List Paragraph Char"/>
    <w:aliases w:val="Bullet List Char,FooterText Char,LP1 Char,List Paragraph_0 Char,List Paragraph_1 Char,Paragraphe de liste1 Char,lp1 Char,numbered Char,פיסקת bullets Char"/>
    <w:link w:val="ListParagraph"/>
    <w:uiPriority w:val="34"/>
    <w:rsid w:val="009E4E46"/>
    <w:rPr>
      <w:rFonts w:ascii="Calibri" w:eastAsia="Calibri" w:hAnsi="Calibri" w:cs="Arial"/>
    </w:rPr>
  </w:style>
  <w:style w:type="character" w:customStyle="1" w:styleId="Heading4Char">
    <w:name w:val="Heading 4 Char"/>
    <w:basedOn w:val="DefaultParagraphFont"/>
    <w:link w:val="Heading4"/>
    <w:uiPriority w:val="9"/>
    <w:semiHidden/>
    <w:rsid w:val="009E4E46"/>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9E4E46"/>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DF3880"/>
  </w:style>
  <w:style w:type="paragraph" w:customStyle="1" w:styleId="paragraph">
    <w:name w:val="paragraph"/>
    <w:basedOn w:val="Normal"/>
    <w:rsid w:val="00DF3880"/>
    <w:pPr>
      <w:bidi w:val="0"/>
      <w:spacing w:after="0" w:line="240" w:lineRule="auto"/>
    </w:pPr>
    <w:rPr>
      <w:rFonts w:ascii="Times New Roman" w:hAnsi="Times New Roman" w:cs="Times New Roman"/>
      <w:sz w:val="24"/>
      <w:szCs w:val="24"/>
    </w:rPr>
  </w:style>
  <w:style w:type="character" w:customStyle="1" w:styleId="eop">
    <w:name w:val="eop"/>
    <w:basedOn w:val="DefaultParagraphFont"/>
    <w:rsid w:val="00DF3880"/>
  </w:style>
  <w:style w:type="paragraph" w:customStyle="1" w:styleId="a">
    <w:name w:val="תשובה"/>
    <w:basedOn w:val="Normal"/>
    <w:link w:val="a0"/>
    <w:qFormat/>
    <w:rsid w:val="00DF3880"/>
    <w:pPr>
      <w:bidi w:val="0"/>
      <w:spacing w:before="240" w:after="200" w:line="360" w:lineRule="auto"/>
      <w:ind w:left="709" w:right="-4"/>
      <w:jc w:val="both"/>
    </w:pPr>
    <w:rPr>
      <w:rFonts w:ascii="Garamond" w:eastAsia="Times New Roman" w:hAnsi="Garamond" w:cs="Times New Roman"/>
      <w:sz w:val="24"/>
      <w:szCs w:val="24"/>
      <w:lang w:eastAsia="he-IL"/>
    </w:rPr>
  </w:style>
  <w:style w:type="character" w:customStyle="1" w:styleId="a0">
    <w:name w:val="תשובה תו"/>
    <w:link w:val="a"/>
    <w:rsid w:val="00DF3880"/>
    <w:rPr>
      <w:rFonts w:ascii="Garamond" w:eastAsia="Times New Roman" w:hAnsi="Garamond" w:cs="Times New Roman"/>
      <w:sz w:val="24"/>
      <w:szCs w:val="24"/>
      <w:lang w:eastAsia="he-IL"/>
    </w:rPr>
  </w:style>
  <w:style w:type="character" w:styleId="Hyperlink">
    <w:name w:val="Hyperlink"/>
    <w:uiPriority w:val="99"/>
    <w:rsid w:val="00DF3880"/>
    <w:rPr>
      <w:color w:val="0000FF"/>
      <w:u w:val="single"/>
    </w:rPr>
  </w:style>
  <w:style w:type="paragraph" w:styleId="HTMLPreformatted">
    <w:name w:val="HTML Preformatted"/>
    <w:basedOn w:val="Normal"/>
    <w:link w:val="HTMLPreformattedChar"/>
    <w:uiPriority w:val="99"/>
    <w:unhideWhenUsed/>
    <w:rsid w:val="00DF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3880"/>
    <w:rPr>
      <w:rFonts w:ascii="Courier New" w:eastAsia="Times New Roman" w:hAnsi="Courier New" w:cs="Courier New"/>
      <w:sz w:val="20"/>
      <w:szCs w:val="20"/>
    </w:rPr>
  </w:style>
  <w:style w:type="character" w:customStyle="1" w:styleId="y2iqfc">
    <w:name w:val="y2iqfc"/>
    <w:basedOn w:val="DefaultParagraphFont"/>
    <w:rsid w:val="00DF3880"/>
  </w:style>
  <w:style w:type="paragraph" w:styleId="CommentSubject">
    <w:name w:val="annotation subject"/>
    <w:basedOn w:val="CommentText"/>
    <w:next w:val="CommentText"/>
    <w:link w:val="CommentSubjectChar"/>
    <w:uiPriority w:val="99"/>
    <w:semiHidden/>
    <w:unhideWhenUsed/>
    <w:rsid w:val="00FA129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A1292"/>
    <w:rPr>
      <w:rFonts w:ascii="Calibri" w:eastAsia="Calibri" w:hAnsi="Calibri" w:cs="Arial"/>
      <w:b/>
      <w:bCs/>
      <w:sz w:val="20"/>
      <w:szCs w:val="20"/>
    </w:rPr>
  </w:style>
  <w:style w:type="character" w:customStyle="1" w:styleId="Heading6Char">
    <w:name w:val="Heading 6 Char"/>
    <w:basedOn w:val="DefaultParagraphFont"/>
    <w:link w:val="Heading6"/>
    <w:uiPriority w:val="9"/>
    <w:semiHidden/>
    <w:rsid w:val="00820A9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20A9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E0E19E-26AE-41BF-9B08-F436FFA3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3329</Words>
  <Characters>18981</Characters>
  <Application>Microsoft Office Word</Application>
  <DocSecurity>0</DocSecurity>
  <Lines>158</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Satya Jennings</cp:lastModifiedBy>
  <cp:revision>2</cp:revision>
  <dcterms:created xsi:type="dcterms:W3CDTF">2022-03-25T08:56:00Z</dcterms:created>
  <dcterms:modified xsi:type="dcterms:W3CDTF">2022-03-25T08:56:00Z</dcterms:modified>
</cp:coreProperties>
</file>