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8E755" w14:textId="5970CA8E" w:rsidR="003E5145" w:rsidRDefault="003E5145" w:rsidP="003E5145">
      <w:pPr>
        <w:spacing w:line="276" w:lineRule="auto"/>
        <w:jc w:val="both"/>
        <w:rPr>
          <w:rFonts w:ascii="Calibri Light" w:hAnsi="Calibri Light" w:cs="Calibri Light"/>
          <w:b/>
          <w:bCs/>
          <w:color w:val="2F5496" w:themeColor="accent1" w:themeShade="BF"/>
          <w:sz w:val="32"/>
          <w:szCs w:val="32"/>
        </w:rPr>
      </w:pPr>
      <w:bookmarkStart w:id="0" w:name="_GoBack"/>
      <w:bookmarkEnd w:id="0"/>
      <w:r>
        <w:rPr>
          <w:noProof/>
          <w:lang w:eastAsia="en-GB"/>
        </w:rPr>
        <w:drawing>
          <wp:inline distT="0" distB="0" distL="0" distR="0" wp14:anchorId="57178A8B" wp14:editId="46BDDB0C">
            <wp:extent cx="2809875" cy="542925"/>
            <wp:effectExtent l="0" t="0" r="9525" b="9525"/>
            <wp:docPr id="4" name="Picture 4" descr="UNODC_logo_E_black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DC_logo_E_black_6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875" cy="542925"/>
                    </a:xfrm>
                    <a:prstGeom prst="rect">
                      <a:avLst/>
                    </a:prstGeom>
                    <a:noFill/>
                    <a:ln>
                      <a:noFill/>
                    </a:ln>
                  </pic:spPr>
                </pic:pic>
              </a:graphicData>
            </a:graphic>
          </wp:inline>
        </w:drawing>
      </w:r>
    </w:p>
    <w:p w14:paraId="051A3F9B" w14:textId="7C892310" w:rsidR="004764AF" w:rsidRPr="0077307D" w:rsidRDefault="004764AF" w:rsidP="003E5145">
      <w:pPr>
        <w:spacing w:line="276" w:lineRule="auto"/>
        <w:jc w:val="both"/>
        <w:rPr>
          <w:rFonts w:ascii="Calibri Light" w:hAnsi="Calibri Light" w:cs="Calibri Light"/>
          <w:b/>
          <w:bCs/>
          <w:color w:val="2F5496" w:themeColor="accent1" w:themeShade="BF"/>
          <w:sz w:val="32"/>
          <w:szCs w:val="32"/>
        </w:rPr>
      </w:pPr>
      <w:r w:rsidRPr="0077307D">
        <w:rPr>
          <w:rFonts w:ascii="Calibri Light" w:hAnsi="Calibri Light" w:cs="Calibri Light"/>
          <w:b/>
          <w:bCs/>
          <w:color w:val="2F5496" w:themeColor="accent1" w:themeShade="BF"/>
          <w:sz w:val="32"/>
          <w:szCs w:val="32"/>
        </w:rPr>
        <w:t>UNODC submission to the Report of the</w:t>
      </w:r>
      <w:r w:rsidR="00166BFA" w:rsidRPr="0077307D">
        <w:rPr>
          <w:rFonts w:ascii="Calibri Light" w:hAnsi="Calibri Light" w:cs="Calibri Light"/>
          <w:b/>
          <w:bCs/>
          <w:color w:val="2F5496" w:themeColor="accent1" w:themeShade="BF"/>
          <w:sz w:val="32"/>
          <w:szCs w:val="32"/>
        </w:rPr>
        <w:t xml:space="preserve"> Special Rapporteur on Contemporary Forms of Slavery</w:t>
      </w:r>
      <w:r w:rsidRPr="0077307D">
        <w:rPr>
          <w:rFonts w:ascii="Calibri Light" w:hAnsi="Calibri Light" w:cs="Calibri Light"/>
          <w:b/>
          <w:bCs/>
          <w:color w:val="2F5496" w:themeColor="accent1" w:themeShade="BF"/>
          <w:sz w:val="32"/>
          <w:szCs w:val="32"/>
        </w:rPr>
        <w:t>, February 2022</w:t>
      </w:r>
    </w:p>
    <w:p w14:paraId="34CC26CD" w14:textId="7F52112B" w:rsidR="004764AF" w:rsidRPr="00F53DAB" w:rsidRDefault="004764AF" w:rsidP="003E5145">
      <w:pPr>
        <w:spacing w:line="276" w:lineRule="auto"/>
        <w:ind w:left="1440" w:hanging="1440"/>
        <w:jc w:val="both"/>
        <w:rPr>
          <w:rFonts w:ascii="Calibri Light" w:hAnsi="Calibri Light" w:cs="Calibri Light"/>
          <w:color w:val="2F5496" w:themeColor="accent1" w:themeShade="BF"/>
          <w:sz w:val="28"/>
          <w:szCs w:val="28"/>
        </w:rPr>
      </w:pPr>
      <w:r w:rsidRPr="00F53DAB">
        <w:rPr>
          <w:rFonts w:ascii="Calibri Light" w:hAnsi="Calibri Light" w:cs="Calibri Light"/>
          <w:b/>
          <w:bCs/>
          <w:color w:val="2F5496" w:themeColor="accent1" w:themeShade="BF"/>
          <w:sz w:val="28"/>
          <w:szCs w:val="28"/>
        </w:rPr>
        <w:t>Focus:</w:t>
      </w:r>
      <w:r w:rsidRPr="00F53DAB">
        <w:rPr>
          <w:rFonts w:ascii="Calibri Light" w:hAnsi="Calibri Light" w:cs="Calibri Light"/>
          <w:color w:val="2F5496" w:themeColor="accent1" w:themeShade="BF"/>
          <w:sz w:val="28"/>
          <w:szCs w:val="28"/>
        </w:rPr>
        <w:tab/>
        <w:t>Contemporary forms of slavery as affecting persons belonging to ethnic, religious and linguistic minority communities</w:t>
      </w:r>
    </w:p>
    <w:p w14:paraId="6AE38BEC" w14:textId="30A0E5BA" w:rsidR="0087550D" w:rsidRPr="0077307D" w:rsidRDefault="0087550D" w:rsidP="003E5145">
      <w:pPr>
        <w:spacing w:line="276" w:lineRule="auto"/>
        <w:jc w:val="both"/>
        <w:rPr>
          <w:color w:val="000000"/>
          <w:sz w:val="24"/>
          <w:szCs w:val="24"/>
          <w:u w:val="single"/>
        </w:rPr>
      </w:pPr>
      <w:r w:rsidRPr="0077307D">
        <w:rPr>
          <w:color w:val="000000"/>
          <w:sz w:val="24"/>
          <w:szCs w:val="24"/>
        </w:rPr>
        <w:t>The U</w:t>
      </w:r>
      <w:r w:rsidR="004764AF" w:rsidRPr="0077307D">
        <w:rPr>
          <w:color w:val="000000"/>
          <w:sz w:val="24"/>
          <w:szCs w:val="24"/>
        </w:rPr>
        <w:t xml:space="preserve">nited </w:t>
      </w:r>
      <w:r w:rsidRPr="0077307D">
        <w:rPr>
          <w:color w:val="000000"/>
          <w:sz w:val="24"/>
          <w:szCs w:val="24"/>
        </w:rPr>
        <w:t>N</w:t>
      </w:r>
      <w:r w:rsidR="004764AF" w:rsidRPr="0077307D">
        <w:rPr>
          <w:color w:val="000000"/>
          <w:sz w:val="24"/>
          <w:szCs w:val="24"/>
        </w:rPr>
        <w:t>ations</w:t>
      </w:r>
      <w:r w:rsidRPr="0077307D">
        <w:rPr>
          <w:color w:val="000000"/>
          <w:sz w:val="24"/>
          <w:szCs w:val="24"/>
        </w:rPr>
        <w:t xml:space="preserve"> Convention against Transnational Organized Crime calls</w:t>
      </w:r>
      <w:r w:rsidR="00776142">
        <w:rPr>
          <w:color w:val="000000"/>
          <w:sz w:val="24"/>
          <w:szCs w:val="24"/>
        </w:rPr>
        <w:t xml:space="preserve"> upon States to develop and promote</w:t>
      </w:r>
      <w:r w:rsidRPr="0077307D">
        <w:rPr>
          <w:color w:val="000000"/>
          <w:sz w:val="24"/>
          <w:szCs w:val="24"/>
        </w:rPr>
        <w:t xml:space="preserve"> measures to alleviate “</w:t>
      </w:r>
      <w:r w:rsidRPr="0077307D">
        <w:rPr>
          <w:sz w:val="24"/>
          <w:szCs w:val="24"/>
        </w:rPr>
        <w:t xml:space="preserve">the circumstances that render </w:t>
      </w:r>
      <w:r w:rsidRPr="0077307D">
        <w:rPr>
          <w:b/>
          <w:bCs/>
          <w:sz w:val="24"/>
          <w:szCs w:val="24"/>
        </w:rPr>
        <w:t>socially marginalized groups</w:t>
      </w:r>
      <w:r w:rsidRPr="0077307D">
        <w:rPr>
          <w:sz w:val="24"/>
          <w:szCs w:val="24"/>
        </w:rPr>
        <w:t xml:space="preserve"> vulnerable to the action of transnational organized crime”</w:t>
      </w:r>
      <w:r w:rsidR="00CC60EC" w:rsidRPr="0077307D">
        <w:rPr>
          <w:rStyle w:val="FootnoteReference"/>
          <w:sz w:val="24"/>
          <w:szCs w:val="24"/>
        </w:rPr>
        <w:footnoteReference w:id="1"/>
      </w:r>
      <w:r w:rsidRPr="0077307D">
        <w:rPr>
          <w:sz w:val="24"/>
          <w:szCs w:val="24"/>
        </w:rPr>
        <w:t xml:space="preserve">. Minority communities </w:t>
      </w:r>
      <w:r w:rsidR="00CC60EC" w:rsidRPr="0077307D">
        <w:rPr>
          <w:sz w:val="24"/>
          <w:szCs w:val="24"/>
        </w:rPr>
        <w:t>are among</w:t>
      </w:r>
      <w:r w:rsidRPr="0077307D">
        <w:rPr>
          <w:sz w:val="24"/>
          <w:szCs w:val="24"/>
        </w:rPr>
        <w:t xml:space="preserve"> socially marginalized groups </w:t>
      </w:r>
      <w:r w:rsidR="00CC60EC" w:rsidRPr="0077307D">
        <w:rPr>
          <w:sz w:val="24"/>
          <w:szCs w:val="24"/>
        </w:rPr>
        <w:t xml:space="preserve">across the globe </w:t>
      </w:r>
      <w:r w:rsidRPr="0077307D">
        <w:rPr>
          <w:sz w:val="24"/>
          <w:szCs w:val="24"/>
        </w:rPr>
        <w:t xml:space="preserve">who, </w:t>
      </w:r>
      <w:r w:rsidR="004764AF" w:rsidRPr="0077307D">
        <w:rPr>
          <w:sz w:val="24"/>
          <w:szCs w:val="24"/>
        </w:rPr>
        <w:t>because of</w:t>
      </w:r>
      <w:r w:rsidRPr="0077307D">
        <w:rPr>
          <w:sz w:val="24"/>
          <w:szCs w:val="24"/>
        </w:rPr>
        <w:t xml:space="preserve"> their marginalization, are disproportionately disadvantaged</w:t>
      </w:r>
      <w:r w:rsidR="00CC60EC" w:rsidRPr="0077307D">
        <w:rPr>
          <w:sz w:val="24"/>
          <w:szCs w:val="24"/>
        </w:rPr>
        <w:t xml:space="preserve"> and vulnerable to exploitation by criminal networks, including </w:t>
      </w:r>
      <w:r w:rsidR="002705FE" w:rsidRPr="0077307D">
        <w:rPr>
          <w:sz w:val="24"/>
          <w:szCs w:val="24"/>
        </w:rPr>
        <w:t xml:space="preserve">human </w:t>
      </w:r>
      <w:r w:rsidR="00CC60EC" w:rsidRPr="0077307D">
        <w:rPr>
          <w:sz w:val="24"/>
          <w:szCs w:val="24"/>
        </w:rPr>
        <w:t xml:space="preserve">traffickers. </w:t>
      </w:r>
      <w:r w:rsidR="00842657" w:rsidRPr="0077307D">
        <w:rPr>
          <w:sz w:val="24"/>
          <w:szCs w:val="24"/>
        </w:rPr>
        <w:t xml:space="preserve">The conditions </w:t>
      </w:r>
      <w:r w:rsidR="002705FE" w:rsidRPr="0077307D">
        <w:rPr>
          <w:sz w:val="24"/>
          <w:szCs w:val="24"/>
        </w:rPr>
        <w:t xml:space="preserve">making minority communities vulnerable </w:t>
      </w:r>
      <w:r w:rsidR="00842657" w:rsidRPr="0077307D">
        <w:rPr>
          <w:sz w:val="24"/>
          <w:szCs w:val="24"/>
        </w:rPr>
        <w:t>are amplified if combined with other circumstances such as socioeconomic exclusion and inequality that trigger insecurity. Through this submission, the United Nations Office on Drugs and Crime (UNODC) highlight</w:t>
      </w:r>
      <w:r w:rsidR="002705FE" w:rsidRPr="0077307D">
        <w:rPr>
          <w:sz w:val="24"/>
          <w:szCs w:val="24"/>
        </w:rPr>
        <w:t>s</w:t>
      </w:r>
      <w:r w:rsidR="00842657" w:rsidRPr="0077307D">
        <w:rPr>
          <w:sz w:val="24"/>
          <w:szCs w:val="24"/>
        </w:rPr>
        <w:t xml:space="preserve"> the </w:t>
      </w:r>
      <w:r w:rsidR="002705FE" w:rsidRPr="0077307D">
        <w:rPr>
          <w:sz w:val="24"/>
          <w:szCs w:val="24"/>
        </w:rPr>
        <w:t xml:space="preserve">intersectional </w:t>
      </w:r>
      <w:r w:rsidR="00842657" w:rsidRPr="0077307D">
        <w:rPr>
          <w:sz w:val="24"/>
          <w:szCs w:val="24"/>
        </w:rPr>
        <w:t xml:space="preserve">vulnerabilities of minority communities to trafficking in persons and </w:t>
      </w:r>
      <w:r w:rsidR="002705FE" w:rsidRPr="0077307D">
        <w:rPr>
          <w:sz w:val="24"/>
          <w:szCs w:val="24"/>
        </w:rPr>
        <w:t xml:space="preserve">calls for increased efforts to alleviate the </w:t>
      </w:r>
      <w:r w:rsidR="00842657" w:rsidRPr="0077307D">
        <w:rPr>
          <w:sz w:val="24"/>
          <w:szCs w:val="24"/>
        </w:rPr>
        <w:t>vulnerability</w:t>
      </w:r>
      <w:r w:rsidR="002705FE" w:rsidRPr="0077307D">
        <w:rPr>
          <w:sz w:val="24"/>
          <w:szCs w:val="24"/>
        </w:rPr>
        <w:t xml:space="preserve"> of minority communities</w:t>
      </w:r>
      <w:r w:rsidR="00321428">
        <w:rPr>
          <w:sz w:val="24"/>
          <w:szCs w:val="24"/>
        </w:rPr>
        <w:t>, which will in turn reduce their</w:t>
      </w:r>
      <w:r w:rsidR="002705FE" w:rsidRPr="0077307D">
        <w:rPr>
          <w:sz w:val="24"/>
          <w:szCs w:val="24"/>
        </w:rPr>
        <w:t xml:space="preserve"> risk </w:t>
      </w:r>
      <w:r w:rsidR="00321428">
        <w:rPr>
          <w:sz w:val="24"/>
          <w:szCs w:val="24"/>
        </w:rPr>
        <w:t>to</w:t>
      </w:r>
      <w:r w:rsidR="00E3027C">
        <w:rPr>
          <w:sz w:val="24"/>
          <w:szCs w:val="24"/>
        </w:rPr>
        <w:t xml:space="preserve"> abuse and</w:t>
      </w:r>
      <w:r w:rsidR="002705FE" w:rsidRPr="0077307D">
        <w:rPr>
          <w:sz w:val="24"/>
          <w:szCs w:val="24"/>
        </w:rPr>
        <w:t xml:space="preserve"> exploitation by smugglers and traffickers</w:t>
      </w:r>
      <w:r w:rsidR="00842657" w:rsidRPr="0077307D">
        <w:rPr>
          <w:sz w:val="24"/>
          <w:szCs w:val="24"/>
        </w:rPr>
        <w:t>.</w:t>
      </w:r>
    </w:p>
    <w:p w14:paraId="192921DE" w14:textId="77777777" w:rsidR="001B0A50" w:rsidRPr="0077307D" w:rsidRDefault="001B0A50" w:rsidP="003E5145">
      <w:pPr>
        <w:spacing w:line="276" w:lineRule="auto"/>
        <w:jc w:val="both"/>
        <w:rPr>
          <w:color w:val="000000"/>
          <w:sz w:val="24"/>
          <w:szCs w:val="24"/>
          <w:u w:val="single"/>
        </w:rPr>
      </w:pPr>
    </w:p>
    <w:p w14:paraId="0418492E" w14:textId="35684B78" w:rsidR="00166BFA" w:rsidRPr="0077307D" w:rsidRDefault="00427775" w:rsidP="003E5145">
      <w:pPr>
        <w:spacing w:line="276" w:lineRule="auto"/>
        <w:jc w:val="both"/>
        <w:rPr>
          <w:b/>
          <w:bCs/>
          <w:color w:val="000000"/>
          <w:sz w:val="26"/>
          <w:szCs w:val="26"/>
        </w:rPr>
      </w:pPr>
      <w:r w:rsidRPr="0077307D">
        <w:rPr>
          <w:b/>
          <w:bCs/>
          <w:color w:val="000000"/>
          <w:sz w:val="26"/>
          <w:szCs w:val="26"/>
        </w:rPr>
        <w:t>Vulnerability of minority communities to trafficking in persons</w:t>
      </w:r>
    </w:p>
    <w:p w14:paraId="660760FB" w14:textId="2923B6B8" w:rsidR="006B2467" w:rsidRPr="0077307D" w:rsidRDefault="00933C65" w:rsidP="003E5145">
      <w:pPr>
        <w:spacing w:line="276" w:lineRule="auto"/>
        <w:jc w:val="both"/>
        <w:rPr>
          <w:color w:val="000000"/>
          <w:sz w:val="24"/>
          <w:szCs w:val="24"/>
        </w:rPr>
      </w:pPr>
      <w:r w:rsidRPr="0077307D">
        <w:rPr>
          <w:color w:val="000000"/>
          <w:sz w:val="24"/>
          <w:szCs w:val="24"/>
        </w:rPr>
        <w:t>Minority communities often face several challenges</w:t>
      </w:r>
      <w:r w:rsidR="002705FE" w:rsidRPr="0077307D">
        <w:rPr>
          <w:color w:val="000000"/>
          <w:sz w:val="24"/>
          <w:szCs w:val="24"/>
        </w:rPr>
        <w:t xml:space="preserve"> including socioeconomic exclusion</w:t>
      </w:r>
      <w:r w:rsidRPr="0077307D">
        <w:rPr>
          <w:color w:val="000000"/>
          <w:sz w:val="24"/>
          <w:szCs w:val="24"/>
        </w:rPr>
        <w:t xml:space="preserve"> that make them vulnerable to exploitation and transnational organized crime including trafficking in persons.</w:t>
      </w:r>
      <w:r w:rsidR="002705FE" w:rsidRPr="0077307D">
        <w:rPr>
          <w:rStyle w:val="FootnoteReference"/>
          <w:color w:val="000000"/>
          <w:sz w:val="24"/>
          <w:szCs w:val="24"/>
        </w:rPr>
        <w:footnoteReference w:id="2"/>
      </w:r>
      <w:r w:rsidRPr="0077307D">
        <w:rPr>
          <w:color w:val="000000"/>
          <w:sz w:val="24"/>
          <w:szCs w:val="24"/>
        </w:rPr>
        <w:t xml:space="preserve"> These vulnerabilities are exacerbated in conflict situations, where ethnic or religious minorities are disproportiona</w:t>
      </w:r>
      <w:r w:rsidR="00321428">
        <w:rPr>
          <w:color w:val="000000"/>
          <w:sz w:val="24"/>
          <w:szCs w:val="24"/>
        </w:rPr>
        <w:t>tel</w:t>
      </w:r>
      <w:r w:rsidRPr="0077307D">
        <w:rPr>
          <w:color w:val="000000"/>
          <w:sz w:val="24"/>
          <w:szCs w:val="24"/>
        </w:rPr>
        <w:t xml:space="preserve">y disadvantaged, and are often </w:t>
      </w:r>
      <w:r w:rsidR="002705FE" w:rsidRPr="0077307D">
        <w:rPr>
          <w:color w:val="000000"/>
          <w:sz w:val="24"/>
          <w:szCs w:val="24"/>
        </w:rPr>
        <w:t>exposed to exploitation by</w:t>
      </w:r>
      <w:r w:rsidRPr="0077307D">
        <w:rPr>
          <w:color w:val="000000"/>
          <w:sz w:val="24"/>
          <w:szCs w:val="24"/>
        </w:rPr>
        <w:t xml:space="preserve"> traffickers</w:t>
      </w:r>
      <w:r w:rsidRPr="0077307D">
        <w:rPr>
          <w:sz w:val="24"/>
          <w:szCs w:val="24"/>
        </w:rPr>
        <w:t>.</w:t>
      </w:r>
      <w:r w:rsidRPr="0077307D">
        <w:rPr>
          <w:rStyle w:val="FootnoteReference"/>
          <w:sz w:val="24"/>
          <w:szCs w:val="24"/>
        </w:rPr>
        <w:footnoteReference w:id="3"/>
      </w:r>
      <w:r w:rsidR="002705FE" w:rsidRPr="0077307D">
        <w:rPr>
          <w:sz w:val="24"/>
          <w:szCs w:val="24"/>
        </w:rPr>
        <w:t xml:space="preserve"> M</w:t>
      </w:r>
      <w:r w:rsidR="002F5DA1" w:rsidRPr="0077307D">
        <w:rPr>
          <w:color w:val="000000"/>
          <w:sz w:val="24"/>
          <w:szCs w:val="24"/>
        </w:rPr>
        <w:t>inority groups are particularly vulnerable to trafficking in persons owing to structural disadvantages</w:t>
      </w:r>
      <w:r w:rsidR="006B2467" w:rsidRPr="0077307D">
        <w:rPr>
          <w:color w:val="000000"/>
          <w:sz w:val="24"/>
          <w:szCs w:val="24"/>
        </w:rPr>
        <w:t xml:space="preserve"> that may </w:t>
      </w:r>
      <w:r w:rsidR="006B2467" w:rsidRPr="0077307D">
        <w:rPr>
          <w:sz w:val="24"/>
          <w:szCs w:val="24"/>
        </w:rPr>
        <w:t>aggravate a situation of economic need</w:t>
      </w:r>
      <w:r w:rsidR="002705FE" w:rsidRPr="0077307D">
        <w:rPr>
          <w:sz w:val="24"/>
          <w:szCs w:val="24"/>
        </w:rPr>
        <w:t>.</w:t>
      </w:r>
      <w:r w:rsidR="00E736F7" w:rsidRPr="0077307D">
        <w:rPr>
          <w:rStyle w:val="FootnoteReference"/>
          <w:sz w:val="24"/>
          <w:szCs w:val="24"/>
        </w:rPr>
        <w:footnoteReference w:id="4"/>
      </w:r>
      <w:r w:rsidR="006B2467" w:rsidRPr="0077307D">
        <w:rPr>
          <w:sz w:val="24"/>
          <w:szCs w:val="24"/>
        </w:rPr>
        <w:t xml:space="preserve"> </w:t>
      </w:r>
      <w:r w:rsidR="007F51D1" w:rsidRPr="0077307D">
        <w:rPr>
          <w:sz w:val="24"/>
          <w:szCs w:val="24"/>
        </w:rPr>
        <w:t xml:space="preserve">Meanwhile, </w:t>
      </w:r>
      <w:r w:rsidR="007F51D1" w:rsidRPr="0077307D">
        <w:rPr>
          <w:rFonts w:ascii="Calibri" w:hAnsi="Calibri" w:cs="Calibri"/>
          <w:color w:val="000000"/>
          <w:sz w:val="24"/>
          <w:szCs w:val="24"/>
        </w:rPr>
        <w:t xml:space="preserve">women and girls, especially those belonging to </w:t>
      </w:r>
      <w:r w:rsidR="007F51D1" w:rsidRPr="0077307D">
        <w:rPr>
          <w:rFonts w:ascii="Calibri" w:hAnsi="Calibri" w:cs="Calibri"/>
          <w:b/>
          <w:bCs/>
          <w:color w:val="000000"/>
          <w:sz w:val="24"/>
          <w:szCs w:val="24"/>
        </w:rPr>
        <w:t xml:space="preserve">indigenous and ethnic minority </w:t>
      </w:r>
      <w:r w:rsidR="007F51D1" w:rsidRPr="0077307D">
        <w:rPr>
          <w:rFonts w:ascii="Calibri" w:hAnsi="Calibri" w:cs="Calibri"/>
          <w:b/>
          <w:bCs/>
          <w:color w:val="000000"/>
          <w:sz w:val="24"/>
          <w:szCs w:val="24"/>
        </w:rPr>
        <w:lastRenderedPageBreak/>
        <w:t>communities,</w:t>
      </w:r>
      <w:r w:rsidR="007F51D1" w:rsidRPr="0077307D">
        <w:rPr>
          <w:rFonts w:ascii="Calibri" w:hAnsi="Calibri" w:cs="Calibri"/>
          <w:color w:val="000000"/>
          <w:sz w:val="24"/>
          <w:szCs w:val="24"/>
        </w:rPr>
        <w:t xml:space="preserve"> a</w:t>
      </w:r>
      <w:r w:rsidR="002705FE" w:rsidRPr="0077307D">
        <w:rPr>
          <w:rFonts w:ascii="Calibri" w:hAnsi="Calibri" w:cs="Calibri"/>
          <w:color w:val="000000"/>
          <w:sz w:val="24"/>
          <w:szCs w:val="24"/>
        </w:rPr>
        <w:t>re reported to be</w:t>
      </w:r>
      <w:r w:rsidR="007F51D1" w:rsidRPr="0077307D">
        <w:rPr>
          <w:rFonts w:ascii="Calibri" w:hAnsi="Calibri" w:cs="Calibri"/>
          <w:color w:val="000000"/>
          <w:sz w:val="24"/>
          <w:szCs w:val="24"/>
        </w:rPr>
        <w:t xml:space="preserve"> particularly vulnerable to being trafficked.</w:t>
      </w:r>
      <w:r w:rsidR="00E736F7" w:rsidRPr="0077307D">
        <w:rPr>
          <w:rStyle w:val="FootnoteReference"/>
          <w:rFonts w:ascii="Calibri" w:hAnsi="Calibri" w:cs="Calibri"/>
          <w:color w:val="000000"/>
          <w:sz w:val="24"/>
          <w:szCs w:val="24"/>
        </w:rPr>
        <w:footnoteReference w:id="5"/>
      </w:r>
      <w:r w:rsidR="00E13361" w:rsidRPr="0077307D">
        <w:rPr>
          <w:rFonts w:ascii="Calibri" w:hAnsi="Calibri" w:cs="Calibri"/>
          <w:color w:val="000000"/>
          <w:sz w:val="24"/>
          <w:szCs w:val="24"/>
        </w:rPr>
        <w:t xml:space="preserve"> </w:t>
      </w:r>
      <w:r w:rsidR="002705FE" w:rsidRPr="0077307D">
        <w:rPr>
          <w:rFonts w:ascii="Calibri" w:hAnsi="Calibri" w:cs="Calibri"/>
          <w:color w:val="000000"/>
          <w:sz w:val="24"/>
          <w:szCs w:val="24"/>
        </w:rPr>
        <w:t>However, w</w:t>
      </w:r>
      <w:r w:rsidR="00E13361" w:rsidRPr="0077307D">
        <w:rPr>
          <w:rFonts w:ascii="Calibri" w:hAnsi="Calibri" w:cs="Calibri"/>
          <w:color w:val="000000"/>
          <w:sz w:val="24"/>
          <w:szCs w:val="24"/>
        </w:rPr>
        <w:t xml:space="preserve">hile women and girls are mostly vulnerable to trafficking in persons, men may also </w:t>
      </w:r>
      <w:r w:rsidR="00E13361" w:rsidRPr="0077307D">
        <w:rPr>
          <w:sz w:val="24"/>
          <w:szCs w:val="24"/>
        </w:rPr>
        <w:t xml:space="preserve">become vulnerable to trafficking in certain circumstances such as belonging to ethno-linguistic </w:t>
      </w:r>
      <w:r w:rsidR="002705FE" w:rsidRPr="0077307D">
        <w:rPr>
          <w:sz w:val="24"/>
          <w:szCs w:val="24"/>
        </w:rPr>
        <w:t>minority communities</w:t>
      </w:r>
      <w:r w:rsidR="00E13361" w:rsidRPr="0077307D">
        <w:rPr>
          <w:sz w:val="24"/>
          <w:szCs w:val="24"/>
        </w:rPr>
        <w:t xml:space="preserve"> or a low socioeconomic standing in their </w:t>
      </w:r>
      <w:r w:rsidR="002705FE" w:rsidRPr="0077307D">
        <w:rPr>
          <w:sz w:val="24"/>
          <w:szCs w:val="24"/>
        </w:rPr>
        <w:t xml:space="preserve">respective </w:t>
      </w:r>
      <w:r w:rsidR="00E13361" w:rsidRPr="0077307D">
        <w:rPr>
          <w:sz w:val="24"/>
          <w:szCs w:val="24"/>
        </w:rPr>
        <w:t>countries.</w:t>
      </w:r>
      <w:r w:rsidR="00E13361" w:rsidRPr="0077307D">
        <w:rPr>
          <w:rStyle w:val="FootnoteReference"/>
          <w:sz w:val="24"/>
          <w:szCs w:val="24"/>
        </w:rPr>
        <w:footnoteReference w:id="6"/>
      </w:r>
      <w:r w:rsidR="002705FE" w:rsidRPr="0077307D">
        <w:rPr>
          <w:sz w:val="24"/>
          <w:szCs w:val="24"/>
        </w:rPr>
        <w:t xml:space="preserve"> </w:t>
      </w:r>
      <w:r w:rsidR="006B2467" w:rsidRPr="0077307D">
        <w:rPr>
          <w:sz w:val="24"/>
          <w:szCs w:val="24"/>
        </w:rPr>
        <w:t>In some cases, “people at risk of individual persecution based, for example, on their ethnicity, religion or political opinion, are also vulnerable to human trafficking”.</w:t>
      </w:r>
      <w:r w:rsidR="00E736F7" w:rsidRPr="0077307D">
        <w:rPr>
          <w:rStyle w:val="FootnoteReference"/>
          <w:sz w:val="24"/>
          <w:szCs w:val="24"/>
        </w:rPr>
        <w:footnoteReference w:id="7"/>
      </w:r>
      <w:r w:rsidR="00C446EF" w:rsidRPr="0077307D">
        <w:rPr>
          <w:sz w:val="24"/>
          <w:szCs w:val="24"/>
        </w:rPr>
        <w:t xml:space="preserve"> </w:t>
      </w:r>
      <w:r w:rsidR="001348A3">
        <w:rPr>
          <w:sz w:val="24"/>
          <w:szCs w:val="24"/>
        </w:rPr>
        <w:t xml:space="preserve">In situations of armed conflict, </w:t>
      </w:r>
      <w:r w:rsidR="001348A3" w:rsidRPr="0077307D">
        <w:rPr>
          <w:sz w:val="24"/>
          <w:szCs w:val="24"/>
        </w:rPr>
        <w:t xml:space="preserve">ethnic and religious minorities </w:t>
      </w:r>
      <w:r w:rsidR="001348A3">
        <w:rPr>
          <w:sz w:val="24"/>
          <w:szCs w:val="24"/>
        </w:rPr>
        <w:t>are targeted by armed groups who use t</w:t>
      </w:r>
      <w:r w:rsidR="006B2467" w:rsidRPr="0077307D">
        <w:rPr>
          <w:sz w:val="24"/>
          <w:szCs w:val="24"/>
        </w:rPr>
        <w:t>rafficking in persons as a strategy</w:t>
      </w:r>
      <w:r w:rsidR="001348A3">
        <w:rPr>
          <w:sz w:val="24"/>
          <w:szCs w:val="24"/>
        </w:rPr>
        <w:t xml:space="preserve"> of war</w:t>
      </w:r>
      <w:r w:rsidR="006B2467" w:rsidRPr="0077307D">
        <w:rPr>
          <w:sz w:val="24"/>
          <w:szCs w:val="24"/>
        </w:rPr>
        <w:t>.</w:t>
      </w:r>
      <w:r w:rsidR="00C446EF" w:rsidRPr="0077307D">
        <w:rPr>
          <w:rStyle w:val="FootnoteReference"/>
          <w:sz w:val="24"/>
          <w:szCs w:val="24"/>
        </w:rPr>
        <w:footnoteReference w:id="8"/>
      </w:r>
    </w:p>
    <w:p w14:paraId="7BDEB978" w14:textId="1E62F997" w:rsidR="00C446EF" w:rsidRPr="0077307D" w:rsidRDefault="00C446EF" w:rsidP="003E5145">
      <w:pPr>
        <w:spacing w:line="276" w:lineRule="auto"/>
        <w:jc w:val="both"/>
        <w:rPr>
          <w:sz w:val="24"/>
          <w:szCs w:val="24"/>
        </w:rPr>
      </w:pPr>
      <w:r w:rsidRPr="0077307D">
        <w:rPr>
          <w:color w:val="000000"/>
          <w:sz w:val="24"/>
          <w:szCs w:val="24"/>
        </w:rPr>
        <w:t>Direct l</w:t>
      </w:r>
      <w:r w:rsidR="006B2467" w:rsidRPr="0077307D">
        <w:rPr>
          <w:color w:val="000000"/>
          <w:sz w:val="24"/>
          <w:szCs w:val="24"/>
        </w:rPr>
        <w:t>ink</w:t>
      </w:r>
      <w:r w:rsidR="004A36AF" w:rsidRPr="0077307D">
        <w:rPr>
          <w:color w:val="000000"/>
          <w:sz w:val="24"/>
          <w:szCs w:val="24"/>
        </w:rPr>
        <w:t>age</w:t>
      </w:r>
      <w:r w:rsidR="006B2467" w:rsidRPr="0077307D">
        <w:rPr>
          <w:color w:val="000000"/>
          <w:sz w:val="24"/>
          <w:szCs w:val="24"/>
        </w:rPr>
        <w:t xml:space="preserve">s </w:t>
      </w:r>
      <w:r w:rsidRPr="0077307D">
        <w:rPr>
          <w:color w:val="000000"/>
          <w:sz w:val="24"/>
          <w:szCs w:val="24"/>
        </w:rPr>
        <w:t xml:space="preserve">can also be drawn </w:t>
      </w:r>
      <w:r w:rsidR="006B2467" w:rsidRPr="0077307D">
        <w:rPr>
          <w:color w:val="000000"/>
          <w:sz w:val="24"/>
          <w:szCs w:val="24"/>
        </w:rPr>
        <w:t xml:space="preserve">between conflict and </w:t>
      </w:r>
      <w:r w:rsidR="004A36AF" w:rsidRPr="0077307D">
        <w:rPr>
          <w:color w:val="000000"/>
          <w:sz w:val="24"/>
          <w:szCs w:val="24"/>
        </w:rPr>
        <w:t xml:space="preserve">enslavement on the basis of actual or perceived belonging to political, ethnic or religious minority </w:t>
      </w:r>
      <w:r w:rsidRPr="0077307D">
        <w:rPr>
          <w:color w:val="000000"/>
          <w:sz w:val="24"/>
          <w:szCs w:val="24"/>
        </w:rPr>
        <w:t xml:space="preserve">grouping </w:t>
      </w:r>
      <w:r w:rsidR="004A36AF" w:rsidRPr="0077307D">
        <w:rPr>
          <w:color w:val="000000"/>
          <w:sz w:val="24"/>
          <w:szCs w:val="24"/>
        </w:rPr>
        <w:t>or sexual orientation and gender identity.</w:t>
      </w:r>
      <w:r w:rsidR="00E736F7" w:rsidRPr="0077307D">
        <w:rPr>
          <w:rStyle w:val="FootnoteReference"/>
          <w:color w:val="000000"/>
          <w:sz w:val="24"/>
          <w:szCs w:val="24"/>
        </w:rPr>
        <w:footnoteReference w:id="9"/>
      </w:r>
      <w:r w:rsidR="00427775" w:rsidRPr="0077307D">
        <w:rPr>
          <w:color w:val="000000"/>
          <w:sz w:val="24"/>
          <w:szCs w:val="24"/>
        </w:rPr>
        <w:t xml:space="preserve"> </w:t>
      </w:r>
      <w:r w:rsidRPr="0077307D">
        <w:rPr>
          <w:color w:val="000000"/>
          <w:sz w:val="24"/>
          <w:szCs w:val="24"/>
        </w:rPr>
        <w:t>T</w:t>
      </w:r>
      <w:r w:rsidR="00427775" w:rsidRPr="0077307D">
        <w:rPr>
          <w:color w:val="000000"/>
          <w:sz w:val="24"/>
          <w:szCs w:val="24"/>
        </w:rPr>
        <w:t xml:space="preserve">he vulnerability of ethnic, religious and other minorities in conflict situations was </w:t>
      </w:r>
      <w:r w:rsidRPr="0077307D">
        <w:rPr>
          <w:color w:val="000000"/>
          <w:sz w:val="24"/>
          <w:szCs w:val="24"/>
        </w:rPr>
        <w:t xml:space="preserve">also </w:t>
      </w:r>
      <w:r w:rsidR="00427775" w:rsidRPr="0077307D">
        <w:rPr>
          <w:color w:val="000000"/>
          <w:sz w:val="24"/>
          <w:szCs w:val="24"/>
        </w:rPr>
        <w:t xml:space="preserve">highlighted in the case of </w:t>
      </w:r>
      <w:r w:rsidR="00427775" w:rsidRPr="0077307D">
        <w:rPr>
          <w:sz w:val="24"/>
          <w:szCs w:val="24"/>
        </w:rPr>
        <w:t>the exploitation of the Yazidi population in Iraq by ISIL</w:t>
      </w:r>
      <w:r w:rsidRPr="0077307D">
        <w:rPr>
          <w:sz w:val="24"/>
          <w:szCs w:val="24"/>
        </w:rPr>
        <w:t>, while the</w:t>
      </w:r>
      <w:r w:rsidR="00486663" w:rsidRPr="0077307D">
        <w:rPr>
          <w:sz w:val="24"/>
          <w:szCs w:val="24"/>
        </w:rPr>
        <w:t xml:space="preserve"> Rohingya </w:t>
      </w:r>
      <w:r w:rsidRPr="0077307D">
        <w:rPr>
          <w:sz w:val="24"/>
          <w:szCs w:val="24"/>
        </w:rPr>
        <w:t xml:space="preserve">people </w:t>
      </w:r>
      <w:r w:rsidR="00486663" w:rsidRPr="0077307D">
        <w:rPr>
          <w:sz w:val="24"/>
          <w:szCs w:val="24"/>
        </w:rPr>
        <w:t>in South-East Asia have been targeted by trafficking networks for exploitation.</w:t>
      </w:r>
      <w:r w:rsidR="00486663" w:rsidRPr="0077307D">
        <w:rPr>
          <w:rStyle w:val="FootnoteReference"/>
          <w:sz w:val="24"/>
          <w:szCs w:val="24"/>
        </w:rPr>
        <w:footnoteReference w:id="10"/>
      </w:r>
      <w:r w:rsidR="00427775" w:rsidRPr="0077307D">
        <w:rPr>
          <w:sz w:val="24"/>
          <w:szCs w:val="24"/>
        </w:rPr>
        <w:t xml:space="preserve"> </w:t>
      </w:r>
    </w:p>
    <w:p w14:paraId="531D17F0" w14:textId="1C55F7F7" w:rsidR="001C716D" w:rsidRPr="0077307D" w:rsidRDefault="00486663" w:rsidP="003E5145">
      <w:pPr>
        <w:spacing w:line="276" w:lineRule="auto"/>
        <w:jc w:val="both"/>
        <w:rPr>
          <w:color w:val="000000"/>
          <w:sz w:val="24"/>
          <w:szCs w:val="24"/>
        </w:rPr>
      </w:pPr>
      <w:r w:rsidRPr="0077307D">
        <w:rPr>
          <w:sz w:val="24"/>
          <w:szCs w:val="24"/>
        </w:rPr>
        <w:t>UNODC’s research on trafficking in persons in the context of conflict h</w:t>
      </w:r>
      <w:r w:rsidR="00BA467C" w:rsidRPr="0077307D">
        <w:rPr>
          <w:sz w:val="24"/>
          <w:szCs w:val="24"/>
        </w:rPr>
        <w:t>ighlighted that</w:t>
      </w:r>
      <w:r w:rsidR="009B16D7" w:rsidRPr="0077307D">
        <w:rPr>
          <w:sz w:val="24"/>
          <w:szCs w:val="24"/>
        </w:rPr>
        <w:t xml:space="preserve"> “</w:t>
      </w:r>
      <w:r w:rsidR="00BA467C" w:rsidRPr="0077307D">
        <w:rPr>
          <w:sz w:val="24"/>
          <w:szCs w:val="24"/>
        </w:rPr>
        <w:t>people may suffer discrimination and marginalization on the basis of their religion, ethnicity or political views</w:t>
      </w:r>
      <w:r w:rsidR="009B16D7" w:rsidRPr="0077307D">
        <w:rPr>
          <w:sz w:val="24"/>
          <w:szCs w:val="24"/>
        </w:rPr>
        <w:t xml:space="preserve">”, which puts them at risk of </w:t>
      </w:r>
      <w:r w:rsidR="00BA467C" w:rsidRPr="0077307D">
        <w:rPr>
          <w:sz w:val="24"/>
          <w:szCs w:val="24"/>
        </w:rPr>
        <w:t>being trafficked</w:t>
      </w:r>
      <w:r w:rsidR="009B16D7" w:rsidRPr="0077307D">
        <w:rPr>
          <w:sz w:val="24"/>
          <w:szCs w:val="24"/>
        </w:rPr>
        <w:t xml:space="preserve"> as they will be vulnerable owing to their </w:t>
      </w:r>
      <w:r w:rsidR="00BA467C" w:rsidRPr="0077307D">
        <w:rPr>
          <w:sz w:val="24"/>
          <w:szCs w:val="24"/>
        </w:rPr>
        <w:t>marginalization.</w:t>
      </w:r>
      <w:r w:rsidRPr="0077307D">
        <w:rPr>
          <w:rStyle w:val="FootnoteReference"/>
          <w:sz w:val="24"/>
          <w:szCs w:val="24"/>
        </w:rPr>
        <w:footnoteReference w:id="11"/>
      </w:r>
      <w:r w:rsidR="001C057E" w:rsidRPr="0077307D">
        <w:rPr>
          <w:sz w:val="24"/>
          <w:szCs w:val="24"/>
        </w:rPr>
        <w:t xml:space="preserve"> </w:t>
      </w:r>
      <w:r w:rsidR="00842657" w:rsidRPr="0077307D">
        <w:rPr>
          <w:color w:val="000000"/>
          <w:sz w:val="24"/>
          <w:szCs w:val="24"/>
        </w:rPr>
        <w:t xml:space="preserve">In Mexico, UNODC </w:t>
      </w:r>
      <w:r w:rsidR="00104631" w:rsidRPr="0077307D">
        <w:rPr>
          <w:color w:val="000000"/>
          <w:sz w:val="24"/>
          <w:szCs w:val="24"/>
        </w:rPr>
        <w:t>is</w:t>
      </w:r>
      <w:r w:rsidR="00842657" w:rsidRPr="0077307D">
        <w:rPr>
          <w:color w:val="000000"/>
          <w:sz w:val="24"/>
          <w:szCs w:val="24"/>
        </w:rPr>
        <w:t xml:space="preserve"> working with indigenous communities to understand the nature and scope of trafficking in persons</w:t>
      </w:r>
      <w:r w:rsidR="00104631" w:rsidRPr="0077307D">
        <w:rPr>
          <w:color w:val="000000"/>
          <w:sz w:val="24"/>
          <w:szCs w:val="24"/>
        </w:rPr>
        <w:t xml:space="preserve"> and</w:t>
      </w:r>
      <w:r w:rsidR="00842657" w:rsidRPr="0077307D">
        <w:rPr>
          <w:color w:val="000000"/>
          <w:sz w:val="24"/>
          <w:szCs w:val="24"/>
        </w:rPr>
        <w:t xml:space="preserve"> the risks that the communities are facing, </w:t>
      </w:r>
      <w:r w:rsidR="00104631" w:rsidRPr="0077307D">
        <w:rPr>
          <w:color w:val="000000"/>
          <w:sz w:val="24"/>
          <w:szCs w:val="24"/>
        </w:rPr>
        <w:t>to</w:t>
      </w:r>
      <w:r w:rsidR="00842657" w:rsidRPr="0077307D">
        <w:rPr>
          <w:color w:val="000000"/>
          <w:sz w:val="24"/>
          <w:szCs w:val="24"/>
        </w:rPr>
        <w:t xml:space="preserve"> learn from the indigenous communities regarding how trafficking in persons networks operate in their respective communities</w:t>
      </w:r>
      <w:r w:rsidR="00104631" w:rsidRPr="0077307D">
        <w:rPr>
          <w:color w:val="000000"/>
          <w:sz w:val="24"/>
          <w:szCs w:val="24"/>
        </w:rPr>
        <w:t>, and to encourage reporting of the crime</w:t>
      </w:r>
      <w:r w:rsidR="00842657" w:rsidRPr="0077307D">
        <w:rPr>
          <w:color w:val="000000"/>
          <w:sz w:val="24"/>
          <w:szCs w:val="24"/>
        </w:rPr>
        <w:t>.</w:t>
      </w:r>
      <w:r w:rsidR="00104631" w:rsidRPr="0077307D">
        <w:rPr>
          <w:color w:val="000000"/>
          <w:sz w:val="24"/>
          <w:szCs w:val="24"/>
        </w:rPr>
        <w:t xml:space="preserve"> Through the Blue Heart Campaign, UNODC produced awareness-raising materials including for radio and television, to be distributed amongst indigenous communities.</w:t>
      </w:r>
      <w:r w:rsidR="00842657" w:rsidRPr="0077307D">
        <w:rPr>
          <w:rStyle w:val="FootnoteReference"/>
          <w:color w:val="000000"/>
          <w:sz w:val="24"/>
          <w:szCs w:val="24"/>
        </w:rPr>
        <w:footnoteReference w:id="12"/>
      </w:r>
      <w:r w:rsidR="008360F3">
        <w:rPr>
          <w:color w:val="000000"/>
          <w:sz w:val="24"/>
          <w:szCs w:val="24"/>
        </w:rPr>
        <w:t xml:space="preserve"> </w:t>
      </w:r>
      <w:r w:rsidR="00E736F7" w:rsidRPr="0077307D">
        <w:rPr>
          <w:color w:val="000000"/>
          <w:sz w:val="24"/>
          <w:szCs w:val="24"/>
        </w:rPr>
        <w:t>In Canada</w:t>
      </w:r>
      <w:r w:rsidR="001C716D" w:rsidRPr="0077307D">
        <w:rPr>
          <w:color w:val="000000"/>
          <w:sz w:val="24"/>
          <w:szCs w:val="24"/>
        </w:rPr>
        <w:t>, minority indigenous and Inuit communities face an array of challenges such as poverty, racial discrimination and other social risk factors</w:t>
      </w:r>
      <w:r w:rsidR="008003DC" w:rsidRPr="0077307D">
        <w:rPr>
          <w:color w:val="000000"/>
          <w:sz w:val="24"/>
          <w:szCs w:val="24"/>
        </w:rPr>
        <w:t>, with indigenous and Inuit women particularly vulnerable to these</w:t>
      </w:r>
      <w:r w:rsidR="00C246B8" w:rsidRPr="0077307D">
        <w:rPr>
          <w:color w:val="000000"/>
          <w:sz w:val="24"/>
          <w:szCs w:val="24"/>
        </w:rPr>
        <w:t>, where over 50% of victims of sexual exploitation in Qu</w:t>
      </w:r>
      <w:r w:rsidR="00C246B8" w:rsidRPr="0077307D">
        <w:rPr>
          <w:rFonts w:cstheme="minorHAnsi"/>
          <w:color w:val="000000"/>
          <w:sz w:val="24"/>
          <w:szCs w:val="24"/>
        </w:rPr>
        <w:t>é</w:t>
      </w:r>
      <w:r w:rsidR="00C246B8" w:rsidRPr="0077307D">
        <w:rPr>
          <w:color w:val="000000"/>
          <w:sz w:val="24"/>
          <w:szCs w:val="24"/>
        </w:rPr>
        <w:t xml:space="preserve">bec are </w:t>
      </w:r>
      <w:r w:rsidR="00C246B8" w:rsidRPr="0077307D">
        <w:rPr>
          <w:color w:val="000000"/>
          <w:sz w:val="24"/>
          <w:szCs w:val="24"/>
        </w:rPr>
        <w:lastRenderedPageBreak/>
        <w:t>reportedly Indigenous</w:t>
      </w:r>
      <w:r w:rsidR="008003DC" w:rsidRPr="0077307D">
        <w:rPr>
          <w:color w:val="000000"/>
          <w:sz w:val="24"/>
          <w:szCs w:val="24"/>
        </w:rPr>
        <w:t>.</w:t>
      </w:r>
      <w:r w:rsidR="00E736F7" w:rsidRPr="0077307D">
        <w:rPr>
          <w:rStyle w:val="FootnoteReference"/>
          <w:color w:val="000000"/>
          <w:sz w:val="24"/>
          <w:szCs w:val="24"/>
        </w:rPr>
        <w:footnoteReference w:id="13"/>
      </w:r>
      <w:r w:rsidR="008003DC" w:rsidRPr="0077307D">
        <w:rPr>
          <w:color w:val="000000"/>
          <w:sz w:val="24"/>
          <w:szCs w:val="24"/>
        </w:rPr>
        <w:t xml:space="preserve"> The Canadian </w:t>
      </w:r>
      <w:r w:rsidR="008003DC" w:rsidRPr="0077307D">
        <w:rPr>
          <w:i/>
          <w:iCs/>
          <w:color w:val="000000"/>
          <w:sz w:val="24"/>
          <w:szCs w:val="24"/>
        </w:rPr>
        <w:t xml:space="preserve">National Strategy </w:t>
      </w:r>
      <w:r w:rsidR="002F5DA1" w:rsidRPr="0077307D">
        <w:rPr>
          <w:i/>
          <w:iCs/>
          <w:color w:val="000000"/>
          <w:sz w:val="24"/>
          <w:szCs w:val="24"/>
        </w:rPr>
        <w:t xml:space="preserve">to Combat Human Trafficking </w:t>
      </w:r>
      <w:r w:rsidR="008003DC" w:rsidRPr="0077307D">
        <w:rPr>
          <w:i/>
          <w:iCs/>
          <w:color w:val="000000"/>
          <w:sz w:val="24"/>
          <w:szCs w:val="24"/>
        </w:rPr>
        <w:t>2019-2024</w:t>
      </w:r>
      <w:r w:rsidR="00C246B8" w:rsidRPr="0077307D">
        <w:rPr>
          <w:color w:val="000000"/>
          <w:sz w:val="24"/>
          <w:szCs w:val="24"/>
        </w:rPr>
        <w:t>, in</w:t>
      </w:r>
      <w:r w:rsidR="008003DC" w:rsidRPr="0077307D">
        <w:rPr>
          <w:color w:val="000000"/>
          <w:sz w:val="24"/>
          <w:szCs w:val="24"/>
        </w:rPr>
        <w:t xml:space="preserve"> acknowledg</w:t>
      </w:r>
      <w:r w:rsidR="00C246B8" w:rsidRPr="0077307D">
        <w:rPr>
          <w:color w:val="000000"/>
          <w:sz w:val="24"/>
          <w:szCs w:val="24"/>
        </w:rPr>
        <w:t>ing</w:t>
      </w:r>
      <w:r w:rsidR="008003DC" w:rsidRPr="0077307D">
        <w:rPr>
          <w:color w:val="000000"/>
          <w:sz w:val="24"/>
          <w:szCs w:val="24"/>
        </w:rPr>
        <w:t xml:space="preserve"> that “</w:t>
      </w:r>
      <w:r w:rsidR="008003DC" w:rsidRPr="0077307D">
        <w:rPr>
          <w:sz w:val="24"/>
          <w:szCs w:val="24"/>
        </w:rPr>
        <w:t>human trafficking is strongly linked to the disproportionately high rates of violence against Indigenous women and girls and that the extent of human trafficking and victimization of Indigenous women is grossly under-reported</w:t>
      </w:r>
      <w:r w:rsidR="00C246B8" w:rsidRPr="0077307D">
        <w:rPr>
          <w:sz w:val="24"/>
          <w:szCs w:val="24"/>
        </w:rPr>
        <w:t>”, proposed the provision of</w:t>
      </w:r>
      <w:r w:rsidR="00C246B8" w:rsidRPr="0077307D">
        <w:rPr>
          <w:color w:val="000000"/>
          <w:sz w:val="24"/>
          <w:szCs w:val="24"/>
        </w:rPr>
        <w:t xml:space="preserve"> culturally appropriate services, including services tailored to meet the needs of </w:t>
      </w:r>
      <w:r w:rsidR="00C246B8" w:rsidRPr="0077307D">
        <w:rPr>
          <w:sz w:val="24"/>
          <w:szCs w:val="24"/>
        </w:rPr>
        <w:t>Indigenous victims</w:t>
      </w:r>
      <w:r w:rsidR="00E736F7" w:rsidRPr="0077307D">
        <w:rPr>
          <w:rStyle w:val="FootnoteReference"/>
          <w:sz w:val="24"/>
          <w:szCs w:val="24"/>
        </w:rPr>
        <w:footnoteReference w:id="14"/>
      </w:r>
      <w:r w:rsidR="008003DC" w:rsidRPr="0077307D">
        <w:rPr>
          <w:sz w:val="24"/>
          <w:szCs w:val="24"/>
        </w:rPr>
        <w:t xml:space="preserve">. </w:t>
      </w:r>
      <w:r w:rsidR="008003DC" w:rsidRPr="0077307D">
        <w:rPr>
          <w:color w:val="000000"/>
          <w:sz w:val="24"/>
          <w:szCs w:val="24"/>
        </w:rPr>
        <w:t>Additionally, there are challenges to reach out to and protect victims of abuse in isolated communities, wh</w:t>
      </w:r>
      <w:r w:rsidR="00E3027C">
        <w:rPr>
          <w:color w:val="000000"/>
          <w:sz w:val="24"/>
          <w:szCs w:val="24"/>
        </w:rPr>
        <w:t>ere</w:t>
      </w:r>
      <w:r w:rsidR="008003DC" w:rsidRPr="0077307D">
        <w:rPr>
          <w:color w:val="000000"/>
          <w:sz w:val="24"/>
          <w:szCs w:val="24"/>
        </w:rPr>
        <w:t xml:space="preserve"> lack of access to health resources makes it difficult to identify victims of trafficking and to prevent them from being targeted by traffickers.</w:t>
      </w:r>
    </w:p>
    <w:p w14:paraId="2F3FB7C6" w14:textId="3911B1E2" w:rsidR="0077307D" w:rsidRPr="0077307D" w:rsidRDefault="00C246B8" w:rsidP="003E5145">
      <w:pPr>
        <w:spacing w:line="276" w:lineRule="auto"/>
        <w:jc w:val="both"/>
        <w:rPr>
          <w:sz w:val="24"/>
          <w:szCs w:val="24"/>
        </w:rPr>
      </w:pPr>
      <w:r w:rsidRPr="0077307D">
        <w:rPr>
          <w:color w:val="000000"/>
          <w:sz w:val="24"/>
          <w:szCs w:val="24"/>
        </w:rPr>
        <w:t>Meanwhile, UNODC has developed tools aimed at mainstreaming the rights of marginalized groups, including minority communities, into criminal justice in response to trafficking in persons and smuggling of migrants. Factors including,</w:t>
      </w:r>
      <w:r w:rsidRPr="0077307D">
        <w:rPr>
          <w:i/>
          <w:iCs/>
          <w:color w:val="000000"/>
          <w:sz w:val="24"/>
          <w:szCs w:val="24"/>
        </w:rPr>
        <w:t xml:space="preserve"> </w:t>
      </w:r>
      <w:r w:rsidRPr="0077307D">
        <w:rPr>
          <w:i/>
          <w:iCs/>
          <w:sz w:val="24"/>
          <w:szCs w:val="24"/>
        </w:rPr>
        <w:t>inter alia</w:t>
      </w:r>
      <w:r w:rsidRPr="0077307D">
        <w:rPr>
          <w:sz w:val="24"/>
          <w:szCs w:val="24"/>
        </w:rPr>
        <w:t xml:space="preserve">, “gender identity, sexual orientation, ethnicity / race, indigenous or minority status, colour, socioeconomic status and/or caste, language, religion or belief, political opinion, national origin, etc”, </w:t>
      </w:r>
      <w:r w:rsidRPr="0077307D">
        <w:rPr>
          <w:color w:val="000000"/>
          <w:sz w:val="24"/>
          <w:szCs w:val="24"/>
        </w:rPr>
        <w:t xml:space="preserve">may </w:t>
      </w:r>
      <w:r w:rsidRPr="0077307D">
        <w:rPr>
          <w:sz w:val="24"/>
          <w:szCs w:val="24"/>
        </w:rPr>
        <w:t>hamper response</w:t>
      </w:r>
      <w:r w:rsidR="00E3027C">
        <w:rPr>
          <w:sz w:val="24"/>
          <w:szCs w:val="24"/>
        </w:rPr>
        <w:t>s</w:t>
      </w:r>
      <w:r w:rsidRPr="0077307D">
        <w:rPr>
          <w:sz w:val="24"/>
          <w:szCs w:val="24"/>
        </w:rPr>
        <w:t xml:space="preserve"> to trafficking in persons. In this regard, UNODC </w:t>
      </w:r>
      <w:r w:rsidRPr="0077307D">
        <w:rPr>
          <w:color w:val="000000"/>
          <w:sz w:val="24"/>
          <w:szCs w:val="24"/>
        </w:rPr>
        <w:t xml:space="preserve">proposes tools to </w:t>
      </w:r>
      <w:r w:rsidRPr="0077307D">
        <w:rPr>
          <w:sz w:val="24"/>
          <w:szCs w:val="24"/>
        </w:rPr>
        <w:t>identify the practical barriers that may exist for, among others</w:t>
      </w:r>
      <w:r w:rsidR="00E3027C">
        <w:rPr>
          <w:sz w:val="24"/>
          <w:szCs w:val="24"/>
        </w:rPr>
        <w:t>,</w:t>
      </w:r>
      <w:r w:rsidRPr="0077307D">
        <w:rPr>
          <w:color w:val="000000"/>
          <w:sz w:val="24"/>
          <w:szCs w:val="24"/>
        </w:rPr>
        <w:t xml:space="preserve"> indigenous groups and ethnic minorities, and develop strategies to counter th</w:t>
      </w:r>
      <w:r w:rsidR="00E3027C">
        <w:rPr>
          <w:color w:val="000000"/>
          <w:sz w:val="24"/>
          <w:szCs w:val="24"/>
        </w:rPr>
        <w:t>os</w:t>
      </w:r>
      <w:r w:rsidRPr="0077307D">
        <w:rPr>
          <w:color w:val="000000"/>
          <w:sz w:val="24"/>
          <w:szCs w:val="24"/>
        </w:rPr>
        <w:t>e barriers.</w:t>
      </w:r>
      <w:r w:rsidRPr="0077307D">
        <w:rPr>
          <w:rStyle w:val="FootnoteReference"/>
          <w:color w:val="000000"/>
          <w:sz w:val="24"/>
          <w:szCs w:val="24"/>
        </w:rPr>
        <w:footnoteReference w:id="15"/>
      </w:r>
    </w:p>
    <w:p w14:paraId="2A8B57E1" w14:textId="050A0DC9" w:rsidR="001C716D" w:rsidRPr="0077307D" w:rsidRDefault="001C716D" w:rsidP="003E5145">
      <w:pPr>
        <w:spacing w:line="276" w:lineRule="auto"/>
        <w:jc w:val="both"/>
        <w:rPr>
          <w:color w:val="000000"/>
          <w:sz w:val="24"/>
          <w:szCs w:val="24"/>
          <w:u w:val="single"/>
        </w:rPr>
      </w:pPr>
    </w:p>
    <w:p w14:paraId="1A6FFF0D" w14:textId="5BB33C32" w:rsidR="00166BFA" w:rsidRPr="0077307D" w:rsidRDefault="0077307D" w:rsidP="003E5145">
      <w:pPr>
        <w:shd w:val="clear" w:color="auto" w:fill="DEEAF6" w:themeFill="accent5" w:themeFillTint="33"/>
        <w:spacing w:line="276" w:lineRule="auto"/>
        <w:jc w:val="both"/>
        <w:rPr>
          <w:b/>
          <w:bCs/>
          <w:color w:val="000000"/>
          <w:sz w:val="26"/>
          <w:szCs w:val="26"/>
        </w:rPr>
      </w:pPr>
      <w:r>
        <w:rPr>
          <w:b/>
          <w:bCs/>
          <w:color w:val="000000"/>
          <w:sz w:val="26"/>
          <w:szCs w:val="26"/>
        </w:rPr>
        <w:t>Proposed r</w:t>
      </w:r>
      <w:r w:rsidR="00427775" w:rsidRPr="0077307D">
        <w:rPr>
          <w:b/>
          <w:bCs/>
          <w:color w:val="000000"/>
          <w:sz w:val="26"/>
          <w:szCs w:val="26"/>
        </w:rPr>
        <w:t>ecommendations</w:t>
      </w:r>
    </w:p>
    <w:p w14:paraId="7439D979" w14:textId="036315E5" w:rsidR="0077307D" w:rsidRPr="0077307D" w:rsidRDefault="0077307D" w:rsidP="003E5145">
      <w:pPr>
        <w:shd w:val="clear" w:color="auto" w:fill="DEEAF6" w:themeFill="accent5" w:themeFillTint="33"/>
        <w:spacing w:line="276" w:lineRule="auto"/>
        <w:jc w:val="both"/>
        <w:rPr>
          <w:noProof/>
          <w:sz w:val="24"/>
          <w:szCs w:val="24"/>
        </w:rPr>
      </w:pPr>
      <w:r w:rsidRPr="0077307D">
        <w:rPr>
          <w:noProof/>
          <w:sz w:val="24"/>
          <w:szCs w:val="24"/>
        </w:rPr>
        <w:t>UNODC recommends States to :</w:t>
      </w:r>
    </w:p>
    <w:p w14:paraId="5C902B4B" w14:textId="50D730F3" w:rsidR="008360F3" w:rsidRDefault="008360F3" w:rsidP="003E5145">
      <w:pPr>
        <w:pStyle w:val="ListParagraph"/>
        <w:numPr>
          <w:ilvl w:val="0"/>
          <w:numId w:val="3"/>
        </w:numPr>
        <w:shd w:val="clear" w:color="auto" w:fill="DEEAF6" w:themeFill="accent5" w:themeFillTint="33"/>
        <w:spacing w:line="276" w:lineRule="auto"/>
        <w:jc w:val="both"/>
        <w:rPr>
          <w:sz w:val="24"/>
          <w:szCs w:val="24"/>
        </w:rPr>
      </w:pPr>
      <w:r w:rsidRPr="001C62D1">
        <w:rPr>
          <w:sz w:val="24"/>
          <w:szCs w:val="24"/>
        </w:rPr>
        <w:t>Develop and implement measures to promote inclusion of minority communities in socioeconomic processes, which will ultimately strengthen their resilience and reduce their vulnerability to exploitation.</w:t>
      </w:r>
    </w:p>
    <w:p w14:paraId="6A7DCAE4" w14:textId="09DC472A" w:rsidR="008360F3" w:rsidRPr="001C62D1" w:rsidRDefault="008360F3" w:rsidP="003E5145">
      <w:pPr>
        <w:pStyle w:val="ListParagraph"/>
        <w:numPr>
          <w:ilvl w:val="0"/>
          <w:numId w:val="3"/>
        </w:numPr>
        <w:shd w:val="clear" w:color="auto" w:fill="DEEAF6" w:themeFill="accent5" w:themeFillTint="33"/>
        <w:spacing w:line="276" w:lineRule="auto"/>
        <w:jc w:val="both"/>
        <w:rPr>
          <w:sz w:val="24"/>
          <w:szCs w:val="24"/>
        </w:rPr>
      </w:pPr>
      <w:r w:rsidRPr="008360F3">
        <w:rPr>
          <w:sz w:val="24"/>
          <w:szCs w:val="24"/>
        </w:rPr>
        <w:t>Protect the rights of minority communities, including protecti</w:t>
      </w:r>
      <w:r w:rsidR="00E3027C">
        <w:rPr>
          <w:sz w:val="24"/>
          <w:szCs w:val="24"/>
        </w:rPr>
        <w:t>o</w:t>
      </w:r>
      <w:r w:rsidRPr="008360F3">
        <w:rPr>
          <w:sz w:val="24"/>
          <w:szCs w:val="24"/>
        </w:rPr>
        <w:t>n from discrimination, violence and exploitation</w:t>
      </w:r>
      <w:r>
        <w:rPr>
          <w:sz w:val="24"/>
          <w:szCs w:val="24"/>
        </w:rPr>
        <w:t>.</w:t>
      </w:r>
    </w:p>
    <w:p w14:paraId="2731CF62" w14:textId="77777777" w:rsidR="008360F3" w:rsidRPr="001C62D1" w:rsidRDefault="008360F3" w:rsidP="003E5145">
      <w:pPr>
        <w:pStyle w:val="ListParagraph"/>
        <w:numPr>
          <w:ilvl w:val="0"/>
          <w:numId w:val="3"/>
        </w:numPr>
        <w:shd w:val="clear" w:color="auto" w:fill="DEEAF6" w:themeFill="accent5" w:themeFillTint="33"/>
        <w:spacing w:line="276" w:lineRule="auto"/>
        <w:jc w:val="both"/>
        <w:rPr>
          <w:noProof/>
          <w:sz w:val="24"/>
          <w:szCs w:val="24"/>
        </w:rPr>
      </w:pPr>
      <w:r w:rsidRPr="001C62D1">
        <w:rPr>
          <w:sz w:val="24"/>
          <w:szCs w:val="24"/>
        </w:rPr>
        <w:t>Improve safe, orderly and regular migration pathways to facilitate legal and regularized movements and eliminate the risk of aggravations by smugglers and traffickers.</w:t>
      </w:r>
    </w:p>
    <w:p w14:paraId="3CEDB3F9" w14:textId="77777777" w:rsidR="008360F3" w:rsidRPr="001C62D1" w:rsidRDefault="008360F3" w:rsidP="003E5145">
      <w:pPr>
        <w:pStyle w:val="ListParagraph"/>
        <w:numPr>
          <w:ilvl w:val="0"/>
          <w:numId w:val="3"/>
        </w:numPr>
        <w:shd w:val="clear" w:color="auto" w:fill="DEEAF6" w:themeFill="accent5" w:themeFillTint="33"/>
        <w:spacing w:line="276" w:lineRule="auto"/>
        <w:jc w:val="both"/>
        <w:rPr>
          <w:noProof/>
          <w:sz w:val="24"/>
          <w:szCs w:val="24"/>
        </w:rPr>
      </w:pPr>
      <w:r w:rsidRPr="001C62D1">
        <w:rPr>
          <w:sz w:val="24"/>
          <w:szCs w:val="24"/>
        </w:rPr>
        <w:t>Reinforce labour and social rights, as well as access to education, in particular for disadvantaged groups (including minority communities).</w:t>
      </w:r>
    </w:p>
    <w:p w14:paraId="644F1228" w14:textId="3AD24CC8" w:rsidR="008003DC" w:rsidRPr="001C62D1" w:rsidRDefault="001B0A50" w:rsidP="003E5145">
      <w:pPr>
        <w:pStyle w:val="ListParagraph"/>
        <w:numPr>
          <w:ilvl w:val="0"/>
          <w:numId w:val="3"/>
        </w:numPr>
        <w:shd w:val="clear" w:color="auto" w:fill="DEEAF6" w:themeFill="accent5" w:themeFillTint="33"/>
        <w:spacing w:line="276" w:lineRule="auto"/>
        <w:jc w:val="both"/>
        <w:rPr>
          <w:noProof/>
          <w:sz w:val="24"/>
          <w:szCs w:val="24"/>
        </w:rPr>
      </w:pPr>
      <w:r w:rsidRPr="001C62D1">
        <w:rPr>
          <w:color w:val="000000"/>
          <w:sz w:val="24"/>
          <w:szCs w:val="24"/>
        </w:rPr>
        <w:t xml:space="preserve">Develop and implement prevention measures to address </w:t>
      </w:r>
      <w:r w:rsidRPr="001C62D1">
        <w:rPr>
          <w:sz w:val="24"/>
          <w:szCs w:val="24"/>
        </w:rPr>
        <w:t>vulnerabilities to trafficking and build resilience among individuals and communities through</w:t>
      </w:r>
      <w:r w:rsidR="0077307D" w:rsidRPr="001C62D1">
        <w:rPr>
          <w:sz w:val="24"/>
          <w:szCs w:val="24"/>
        </w:rPr>
        <w:t>,</w:t>
      </w:r>
      <w:r w:rsidRPr="001C62D1">
        <w:rPr>
          <w:sz w:val="24"/>
          <w:szCs w:val="24"/>
        </w:rPr>
        <w:t xml:space="preserve"> among others</w:t>
      </w:r>
      <w:r w:rsidR="0077307D" w:rsidRPr="001C62D1">
        <w:rPr>
          <w:sz w:val="24"/>
          <w:szCs w:val="24"/>
        </w:rPr>
        <w:t>,</w:t>
      </w:r>
      <w:r w:rsidRPr="001C62D1">
        <w:rPr>
          <w:sz w:val="24"/>
          <w:szCs w:val="24"/>
        </w:rPr>
        <w:t xml:space="preserve"> </w:t>
      </w:r>
      <w:r w:rsidRPr="001C62D1">
        <w:rPr>
          <w:sz w:val="24"/>
          <w:szCs w:val="24"/>
        </w:rPr>
        <w:lastRenderedPageBreak/>
        <w:t>combating discrimination against minority groups and fighting sexual and gender-based violence.</w:t>
      </w:r>
    </w:p>
    <w:p w14:paraId="1DF1B9CF" w14:textId="2AADBF05" w:rsidR="007F51D1" w:rsidRPr="001C62D1" w:rsidRDefault="001C62D1" w:rsidP="003E5145">
      <w:pPr>
        <w:pStyle w:val="ListParagraph"/>
        <w:numPr>
          <w:ilvl w:val="0"/>
          <w:numId w:val="3"/>
        </w:numPr>
        <w:shd w:val="clear" w:color="auto" w:fill="DEEAF6" w:themeFill="accent5" w:themeFillTint="33"/>
        <w:spacing w:line="276" w:lineRule="auto"/>
        <w:jc w:val="both"/>
        <w:rPr>
          <w:noProof/>
          <w:sz w:val="24"/>
          <w:szCs w:val="24"/>
        </w:rPr>
      </w:pPr>
      <w:r w:rsidRPr="001C62D1">
        <w:rPr>
          <w:sz w:val="24"/>
          <w:szCs w:val="24"/>
        </w:rPr>
        <w:t>Strengthen women empowerment and gender equality interventions to improve the resilience of the marginalized groups including women and children</w:t>
      </w:r>
      <w:r w:rsidR="008360F3">
        <w:rPr>
          <w:sz w:val="24"/>
          <w:szCs w:val="24"/>
        </w:rPr>
        <w:t>.</w:t>
      </w:r>
    </w:p>
    <w:p w14:paraId="7D52C01D" w14:textId="60B2F1F6" w:rsidR="00601FA2" w:rsidRPr="001C62D1" w:rsidRDefault="001C62D1" w:rsidP="003E5145">
      <w:pPr>
        <w:pStyle w:val="ListParagraph"/>
        <w:numPr>
          <w:ilvl w:val="0"/>
          <w:numId w:val="3"/>
        </w:numPr>
        <w:shd w:val="clear" w:color="auto" w:fill="DEEAF6" w:themeFill="accent5" w:themeFillTint="33"/>
        <w:spacing w:line="276" w:lineRule="auto"/>
        <w:jc w:val="both"/>
        <w:rPr>
          <w:noProof/>
          <w:sz w:val="24"/>
          <w:szCs w:val="24"/>
        </w:rPr>
      </w:pPr>
      <w:r w:rsidRPr="001C62D1">
        <w:rPr>
          <w:sz w:val="24"/>
          <w:szCs w:val="24"/>
        </w:rPr>
        <w:t>Strengthen</w:t>
      </w:r>
      <w:r w:rsidR="00601FA2" w:rsidRPr="001C62D1">
        <w:rPr>
          <w:sz w:val="24"/>
          <w:szCs w:val="24"/>
        </w:rPr>
        <w:t xml:space="preserve"> </w:t>
      </w:r>
      <w:r w:rsidRPr="001C62D1">
        <w:rPr>
          <w:sz w:val="24"/>
          <w:szCs w:val="24"/>
        </w:rPr>
        <w:t xml:space="preserve">the </w:t>
      </w:r>
      <w:r w:rsidR="00601FA2" w:rsidRPr="001C62D1">
        <w:rPr>
          <w:sz w:val="24"/>
          <w:szCs w:val="24"/>
        </w:rPr>
        <w:t xml:space="preserve">collection of </w:t>
      </w:r>
      <w:r w:rsidRPr="001C62D1">
        <w:rPr>
          <w:sz w:val="24"/>
          <w:szCs w:val="24"/>
        </w:rPr>
        <w:t xml:space="preserve">accurate and reliable </w:t>
      </w:r>
      <w:r w:rsidR="00601FA2" w:rsidRPr="001C62D1">
        <w:rPr>
          <w:sz w:val="24"/>
          <w:szCs w:val="24"/>
        </w:rPr>
        <w:t>data and profiling of victims of trafficking in persons disaggregated according to age</w:t>
      </w:r>
      <w:r w:rsidRPr="001C62D1">
        <w:rPr>
          <w:sz w:val="24"/>
          <w:szCs w:val="24"/>
        </w:rPr>
        <w:t>;</w:t>
      </w:r>
      <w:r w:rsidR="00601FA2" w:rsidRPr="001C62D1">
        <w:rPr>
          <w:sz w:val="24"/>
          <w:szCs w:val="24"/>
        </w:rPr>
        <w:t xml:space="preserve"> sex</w:t>
      </w:r>
      <w:r w:rsidRPr="001C62D1">
        <w:rPr>
          <w:sz w:val="24"/>
          <w:szCs w:val="24"/>
        </w:rPr>
        <w:t>;</w:t>
      </w:r>
      <w:r w:rsidR="00601FA2" w:rsidRPr="001C62D1">
        <w:rPr>
          <w:sz w:val="24"/>
          <w:szCs w:val="24"/>
        </w:rPr>
        <w:t xml:space="preserve"> eth</w:t>
      </w:r>
      <w:r w:rsidRPr="001C62D1">
        <w:rPr>
          <w:sz w:val="24"/>
          <w:szCs w:val="24"/>
        </w:rPr>
        <w:t>n</w:t>
      </w:r>
      <w:r w:rsidR="00601FA2" w:rsidRPr="001C62D1">
        <w:rPr>
          <w:sz w:val="24"/>
          <w:szCs w:val="24"/>
        </w:rPr>
        <w:t>ic, religious and linguistic belonging, etc</w:t>
      </w:r>
      <w:r w:rsidRPr="001C62D1">
        <w:rPr>
          <w:sz w:val="24"/>
          <w:szCs w:val="24"/>
        </w:rPr>
        <w:t>, to inform appropriate policy interventions to reduce the vulnerability of minority communities to the risk of crime.</w:t>
      </w:r>
    </w:p>
    <w:p w14:paraId="4BF95E22" w14:textId="6C2696A9" w:rsidR="001C62D1" w:rsidRDefault="001C62D1" w:rsidP="003E5145">
      <w:pPr>
        <w:pStyle w:val="ListParagraph"/>
        <w:numPr>
          <w:ilvl w:val="0"/>
          <w:numId w:val="3"/>
        </w:numPr>
        <w:shd w:val="clear" w:color="auto" w:fill="DEEAF6" w:themeFill="accent5" w:themeFillTint="33"/>
        <w:spacing w:line="276" w:lineRule="auto"/>
        <w:jc w:val="both"/>
        <w:rPr>
          <w:noProof/>
          <w:sz w:val="24"/>
          <w:szCs w:val="24"/>
        </w:rPr>
      </w:pPr>
      <w:r w:rsidRPr="001C62D1">
        <w:rPr>
          <w:sz w:val="24"/>
          <w:szCs w:val="24"/>
        </w:rPr>
        <w:t xml:space="preserve">Conduct </w:t>
      </w:r>
      <w:r w:rsidR="00CD5F49">
        <w:rPr>
          <w:sz w:val="24"/>
          <w:szCs w:val="24"/>
        </w:rPr>
        <w:t>targeted</w:t>
      </w:r>
      <w:r w:rsidRPr="001C62D1">
        <w:rPr>
          <w:sz w:val="24"/>
          <w:szCs w:val="24"/>
        </w:rPr>
        <w:t xml:space="preserve"> research on intersectional vulnerability of minority communities to trafficking in persons and ancillary offences.</w:t>
      </w:r>
    </w:p>
    <w:p w14:paraId="5BD03B13" w14:textId="1BDB68E9" w:rsidR="001C62D1" w:rsidRPr="001C62D1" w:rsidRDefault="001C62D1" w:rsidP="003E5145">
      <w:pPr>
        <w:pStyle w:val="ListParagraph"/>
        <w:numPr>
          <w:ilvl w:val="0"/>
          <w:numId w:val="3"/>
        </w:numPr>
        <w:shd w:val="clear" w:color="auto" w:fill="DEEAF6" w:themeFill="accent5" w:themeFillTint="33"/>
        <w:spacing w:line="276" w:lineRule="auto"/>
        <w:jc w:val="both"/>
        <w:rPr>
          <w:sz w:val="24"/>
          <w:szCs w:val="24"/>
        </w:rPr>
      </w:pPr>
      <w:r>
        <w:rPr>
          <w:sz w:val="24"/>
          <w:szCs w:val="24"/>
        </w:rPr>
        <w:t xml:space="preserve">Conduct </w:t>
      </w:r>
      <w:r w:rsidRPr="001C62D1">
        <w:rPr>
          <w:sz w:val="24"/>
          <w:szCs w:val="24"/>
        </w:rPr>
        <w:t>holistic and case-by-case analysis of the vulnerability factors especially as they relate to minority communities</w:t>
      </w:r>
      <w:r>
        <w:rPr>
          <w:sz w:val="24"/>
          <w:szCs w:val="24"/>
        </w:rPr>
        <w:t>.</w:t>
      </w:r>
    </w:p>
    <w:p w14:paraId="0D9F928C" w14:textId="48786811" w:rsidR="001C716D" w:rsidRPr="0077307D" w:rsidRDefault="001C716D" w:rsidP="003E5145">
      <w:pPr>
        <w:spacing w:line="276" w:lineRule="auto"/>
        <w:jc w:val="both"/>
        <w:rPr>
          <w:color w:val="000000"/>
          <w:sz w:val="24"/>
          <w:szCs w:val="24"/>
          <w:u w:val="single"/>
        </w:rPr>
      </w:pPr>
    </w:p>
    <w:p w14:paraId="4D91F2E5" w14:textId="3D2BAE8B" w:rsidR="00166BFA" w:rsidRPr="0077307D" w:rsidRDefault="00166BFA" w:rsidP="003E5145">
      <w:pPr>
        <w:spacing w:line="276" w:lineRule="auto"/>
        <w:jc w:val="both"/>
        <w:rPr>
          <w:b/>
          <w:bCs/>
          <w:color w:val="000000"/>
          <w:sz w:val="26"/>
          <w:szCs w:val="26"/>
        </w:rPr>
      </w:pPr>
      <w:r w:rsidRPr="0077307D">
        <w:rPr>
          <w:b/>
          <w:bCs/>
          <w:color w:val="000000"/>
          <w:sz w:val="26"/>
          <w:szCs w:val="26"/>
        </w:rPr>
        <w:t>Key source materials:</w:t>
      </w:r>
    </w:p>
    <w:p w14:paraId="5E0BD52F" w14:textId="5BDFDA07" w:rsidR="003E5145" w:rsidRPr="003E5145" w:rsidRDefault="003E2521" w:rsidP="003E5145">
      <w:pPr>
        <w:pStyle w:val="ListParagraph"/>
        <w:numPr>
          <w:ilvl w:val="0"/>
          <w:numId w:val="2"/>
        </w:numPr>
        <w:spacing w:line="276" w:lineRule="auto"/>
        <w:ind w:left="714" w:hanging="357"/>
        <w:contextualSpacing w:val="0"/>
        <w:jc w:val="both"/>
        <w:rPr>
          <w:sz w:val="24"/>
          <w:szCs w:val="24"/>
        </w:rPr>
      </w:pPr>
      <w:r>
        <w:rPr>
          <w:color w:val="000000"/>
          <w:sz w:val="24"/>
          <w:szCs w:val="24"/>
        </w:rPr>
        <w:t xml:space="preserve">UNODC </w:t>
      </w:r>
      <w:hyperlink r:id="rId9" w:history="1">
        <w:r w:rsidRPr="003E2521">
          <w:rPr>
            <w:rStyle w:val="Hyperlink"/>
            <w:sz w:val="24"/>
            <w:szCs w:val="24"/>
          </w:rPr>
          <w:t>Global Reports on Trafficking in Persons</w:t>
        </w:r>
      </w:hyperlink>
      <w:r w:rsidR="003E5145" w:rsidRPr="003E5145">
        <w:rPr>
          <w:rStyle w:val="Hyperlink"/>
          <w:color w:val="auto"/>
          <w:sz w:val="24"/>
          <w:szCs w:val="24"/>
          <w:u w:val="none"/>
        </w:rPr>
        <w:t xml:space="preserve"> (</w:t>
      </w:r>
      <w:r w:rsidR="003E5145" w:rsidRPr="003E5145">
        <w:rPr>
          <w:color w:val="000000"/>
        </w:rPr>
        <w:t>2012, 2016, 2018, 2020)</w:t>
      </w:r>
    </w:p>
    <w:p w14:paraId="2E394004" w14:textId="73761B06" w:rsidR="00166BFA" w:rsidRPr="0077307D" w:rsidRDefault="00166BFA" w:rsidP="003E5145">
      <w:pPr>
        <w:pStyle w:val="ListParagraph"/>
        <w:numPr>
          <w:ilvl w:val="0"/>
          <w:numId w:val="2"/>
        </w:numPr>
        <w:spacing w:line="276" w:lineRule="auto"/>
        <w:ind w:left="714" w:hanging="357"/>
        <w:contextualSpacing w:val="0"/>
        <w:jc w:val="both"/>
        <w:rPr>
          <w:sz w:val="24"/>
          <w:szCs w:val="24"/>
        </w:rPr>
      </w:pPr>
      <w:r w:rsidRPr="0077307D">
        <w:rPr>
          <w:color w:val="000000"/>
          <w:sz w:val="24"/>
          <w:szCs w:val="24"/>
        </w:rPr>
        <w:t>UNODC</w:t>
      </w:r>
      <w:r w:rsidR="003E5145">
        <w:rPr>
          <w:color w:val="000000"/>
          <w:sz w:val="24"/>
          <w:szCs w:val="24"/>
        </w:rPr>
        <w:t>, 2021.</w:t>
      </w:r>
      <w:r w:rsidRPr="0077307D">
        <w:rPr>
          <w:color w:val="000000"/>
          <w:sz w:val="24"/>
          <w:szCs w:val="24"/>
        </w:rPr>
        <w:t xml:space="preserve"> </w:t>
      </w:r>
      <w:hyperlink r:id="rId10" w:history="1">
        <w:r w:rsidRPr="0077307D">
          <w:rPr>
            <w:rStyle w:val="Hyperlink"/>
            <w:sz w:val="24"/>
            <w:szCs w:val="24"/>
          </w:rPr>
          <w:t>Toolkit for Human Rights and Gender Equality mainstreaming into criminal justice interventions to address TIP and SOM</w:t>
        </w:r>
      </w:hyperlink>
      <w:r w:rsidRPr="0077307D">
        <w:rPr>
          <w:sz w:val="24"/>
          <w:szCs w:val="24"/>
        </w:rPr>
        <w:t xml:space="preserve"> </w:t>
      </w:r>
    </w:p>
    <w:p w14:paraId="0ACF3613" w14:textId="2B2A78AB" w:rsidR="004A36AF" w:rsidRPr="0077307D" w:rsidRDefault="004A36AF" w:rsidP="003E5145">
      <w:pPr>
        <w:pStyle w:val="ListParagraph"/>
        <w:numPr>
          <w:ilvl w:val="0"/>
          <w:numId w:val="2"/>
        </w:numPr>
        <w:spacing w:line="276" w:lineRule="auto"/>
        <w:ind w:left="714" w:hanging="357"/>
        <w:contextualSpacing w:val="0"/>
        <w:jc w:val="both"/>
        <w:rPr>
          <w:color w:val="000000"/>
          <w:sz w:val="24"/>
          <w:szCs w:val="24"/>
        </w:rPr>
      </w:pPr>
      <w:r w:rsidRPr="0077307D">
        <w:rPr>
          <w:color w:val="000000"/>
          <w:sz w:val="24"/>
          <w:szCs w:val="24"/>
        </w:rPr>
        <w:t>UNODC</w:t>
      </w:r>
      <w:r w:rsidR="003E5145">
        <w:rPr>
          <w:color w:val="000000"/>
          <w:sz w:val="24"/>
          <w:szCs w:val="24"/>
        </w:rPr>
        <w:t xml:space="preserve">, 2018. </w:t>
      </w:r>
      <w:hyperlink r:id="rId11" w:history="1">
        <w:r w:rsidR="00427775" w:rsidRPr="0077307D">
          <w:rPr>
            <w:rStyle w:val="Hyperlink"/>
            <w:sz w:val="24"/>
            <w:szCs w:val="24"/>
          </w:rPr>
          <w:t>Countering Trafficking in Persons in Conflict Situations Thematic Paper</w:t>
        </w:r>
      </w:hyperlink>
      <w:r w:rsidR="00427775" w:rsidRPr="0077307D">
        <w:rPr>
          <w:color w:val="000000"/>
          <w:sz w:val="24"/>
          <w:szCs w:val="24"/>
        </w:rPr>
        <w:t xml:space="preserve"> </w:t>
      </w:r>
    </w:p>
    <w:p w14:paraId="69BEB316" w14:textId="176404A0" w:rsidR="00486663" w:rsidRPr="0077307D" w:rsidRDefault="00486663" w:rsidP="003E5145">
      <w:pPr>
        <w:pStyle w:val="ListParagraph"/>
        <w:numPr>
          <w:ilvl w:val="0"/>
          <w:numId w:val="2"/>
        </w:numPr>
        <w:spacing w:line="276" w:lineRule="auto"/>
        <w:ind w:left="714" w:hanging="357"/>
        <w:contextualSpacing w:val="0"/>
        <w:jc w:val="both"/>
        <w:rPr>
          <w:color w:val="000000"/>
          <w:sz w:val="24"/>
          <w:szCs w:val="24"/>
        </w:rPr>
      </w:pPr>
      <w:r w:rsidRPr="0077307D">
        <w:rPr>
          <w:sz w:val="24"/>
          <w:szCs w:val="24"/>
        </w:rPr>
        <w:t>UNODC</w:t>
      </w:r>
      <w:r w:rsidR="003E5145">
        <w:rPr>
          <w:sz w:val="24"/>
          <w:szCs w:val="24"/>
        </w:rPr>
        <w:t>,</w:t>
      </w:r>
      <w:r w:rsidRPr="0077307D">
        <w:rPr>
          <w:sz w:val="24"/>
          <w:szCs w:val="24"/>
        </w:rPr>
        <w:t xml:space="preserve"> 2018. </w:t>
      </w:r>
      <w:hyperlink r:id="rId12" w:history="1">
        <w:r w:rsidRPr="0077307D">
          <w:rPr>
            <w:rStyle w:val="Hyperlink"/>
            <w:sz w:val="24"/>
            <w:szCs w:val="24"/>
          </w:rPr>
          <w:t>Trafficking in Persons in the Context of Conflict</w:t>
        </w:r>
      </w:hyperlink>
    </w:p>
    <w:p w14:paraId="330A96FC" w14:textId="7312330E" w:rsidR="00933C65" w:rsidRPr="0077307D" w:rsidRDefault="00933C65" w:rsidP="003E5145">
      <w:pPr>
        <w:pStyle w:val="ListParagraph"/>
        <w:numPr>
          <w:ilvl w:val="0"/>
          <w:numId w:val="2"/>
        </w:numPr>
        <w:spacing w:line="276" w:lineRule="auto"/>
        <w:ind w:left="714" w:hanging="357"/>
        <w:contextualSpacing w:val="0"/>
        <w:jc w:val="both"/>
        <w:rPr>
          <w:color w:val="000000"/>
          <w:sz w:val="24"/>
          <w:szCs w:val="24"/>
        </w:rPr>
      </w:pPr>
      <w:r w:rsidRPr="0077307D">
        <w:rPr>
          <w:color w:val="000000"/>
          <w:sz w:val="24"/>
          <w:szCs w:val="24"/>
        </w:rPr>
        <w:t>ICAT</w:t>
      </w:r>
      <w:r w:rsidR="003E5145">
        <w:rPr>
          <w:color w:val="000000"/>
          <w:sz w:val="24"/>
          <w:szCs w:val="24"/>
        </w:rPr>
        <w:t>,</w:t>
      </w:r>
      <w:r w:rsidRPr="0077307D">
        <w:rPr>
          <w:color w:val="000000"/>
          <w:sz w:val="24"/>
          <w:szCs w:val="24"/>
        </w:rPr>
        <w:t xml:space="preserve"> 2020. </w:t>
      </w:r>
      <w:hyperlink r:id="rId13" w:history="1">
        <w:r w:rsidRPr="0077307D">
          <w:rPr>
            <w:rStyle w:val="Hyperlink"/>
            <w:sz w:val="24"/>
            <w:szCs w:val="24"/>
          </w:rPr>
          <w:t>20</w:t>
        </w:r>
        <w:r w:rsidRPr="0077307D">
          <w:rPr>
            <w:rStyle w:val="Hyperlink"/>
            <w:sz w:val="24"/>
            <w:szCs w:val="24"/>
            <w:vertAlign w:val="superscript"/>
          </w:rPr>
          <w:t>th</w:t>
        </w:r>
        <w:r w:rsidRPr="0077307D">
          <w:rPr>
            <w:rStyle w:val="Hyperlink"/>
            <w:sz w:val="24"/>
            <w:szCs w:val="24"/>
          </w:rPr>
          <w:t xml:space="preserve"> Anniversary of the Trafficking in Persons Protocol: An Analytical Review</w:t>
        </w:r>
      </w:hyperlink>
    </w:p>
    <w:p w14:paraId="5749D6C0" w14:textId="1D516A04" w:rsidR="00933C65" w:rsidRPr="0077307D" w:rsidRDefault="00933C65" w:rsidP="003E5145">
      <w:pPr>
        <w:pStyle w:val="ListParagraph"/>
        <w:spacing w:line="276" w:lineRule="auto"/>
        <w:jc w:val="both"/>
        <w:rPr>
          <w:color w:val="000000"/>
          <w:sz w:val="24"/>
          <w:szCs w:val="24"/>
        </w:rPr>
      </w:pPr>
    </w:p>
    <w:p w14:paraId="25A21D46" w14:textId="77777777" w:rsidR="00933C65" w:rsidRPr="0077307D" w:rsidRDefault="00933C65" w:rsidP="003E5145">
      <w:pPr>
        <w:pStyle w:val="ListParagraph"/>
        <w:spacing w:line="276" w:lineRule="auto"/>
        <w:jc w:val="both"/>
        <w:rPr>
          <w:color w:val="000000"/>
        </w:rPr>
      </w:pPr>
    </w:p>
    <w:p w14:paraId="7A9060EE" w14:textId="77777777" w:rsidR="004A36AF" w:rsidRPr="0077307D" w:rsidRDefault="004A36AF" w:rsidP="003E5145">
      <w:pPr>
        <w:pStyle w:val="ListParagraph"/>
        <w:spacing w:line="276" w:lineRule="auto"/>
        <w:jc w:val="both"/>
        <w:rPr>
          <w:color w:val="000000"/>
        </w:rPr>
      </w:pPr>
    </w:p>
    <w:sectPr w:rsidR="004A36AF" w:rsidRPr="0077307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20370" w14:textId="77777777" w:rsidR="006C4FEB" w:rsidRDefault="006C4FEB" w:rsidP="001C716D">
      <w:pPr>
        <w:spacing w:after="0" w:line="240" w:lineRule="auto"/>
      </w:pPr>
      <w:r>
        <w:separator/>
      </w:r>
    </w:p>
  </w:endnote>
  <w:endnote w:type="continuationSeparator" w:id="0">
    <w:p w14:paraId="63CFA85D" w14:textId="77777777" w:rsidR="006C4FEB" w:rsidRDefault="006C4FEB" w:rsidP="001C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332603"/>
      <w:docPartObj>
        <w:docPartGallery w:val="Page Numbers (Bottom of Page)"/>
        <w:docPartUnique/>
      </w:docPartObj>
    </w:sdtPr>
    <w:sdtEndPr>
      <w:rPr>
        <w:noProof/>
      </w:rPr>
    </w:sdtEndPr>
    <w:sdtContent>
      <w:p w14:paraId="6803B5CC" w14:textId="05F02906" w:rsidR="003E5145" w:rsidRDefault="003E5145">
        <w:pPr>
          <w:pStyle w:val="Footer"/>
          <w:jc w:val="center"/>
        </w:pPr>
        <w:r>
          <w:fldChar w:fldCharType="begin"/>
        </w:r>
        <w:r>
          <w:instrText xml:space="preserve"> PAGE   \* MERGEFORMAT </w:instrText>
        </w:r>
        <w:r>
          <w:fldChar w:fldCharType="separate"/>
        </w:r>
        <w:r w:rsidR="00737E10">
          <w:rPr>
            <w:noProof/>
          </w:rPr>
          <w:t>1</w:t>
        </w:r>
        <w:r>
          <w:rPr>
            <w:noProof/>
          </w:rPr>
          <w:fldChar w:fldCharType="end"/>
        </w:r>
      </w:p>
    </w:sdtContent>
  </w:sdt>
  <w:p w14:paraId="69982F61" w14:textId="77777777" w:rsidR="003E5145" w:rsidRDefault="003E5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19FA1" w14:textId="77777777" w:rsidR="006C4FEB" w:rsidRDefault="006C4FEB" w:rsidP="001C716D">
      <w:pPr>
        <w:spacing w:after="0" w:line="240" w:lineRule="auto"/>
      </w:pPr>
      <w:r>
        <w:separator/>
      </w:r>
    </w:p>
  </w:footnote>
  <w:footnote w:type="continuationSeparator" w:id="0">
    <w:p w14:paraId="6E3B40C7" w14:textId="77777777" w:rsidR="006C4FEB" w:rsidRDefault="006C4FEB" w:rsidP="001C716D">
      <w:pPr>
        <w:spacing w:after="0" w:line="240" w:lineRule="auto"/>
      </w:pPr>
      <w:r>
        <w:continuationSeparator/>
      </w:r>
    </w:p>
  </w:footnote>
  <w:footnote w:id="1">
    <w:p w14:paraId="7FC7AD18" w14:textId="71B22AE2" w:rsidR="00CC60EC" w:rsidRPr="00CC60EC" w:rsidRDefault="00CC60EC">
      <w:pPr>
        <w:pStyle w:val="FootnoteText"/>
      </w:pPr>
      <w:r>
        <w:rPr>
          <w:rStyle w:val="FootnoteReference"/>
        </w:rPr>
        <w:footnoteRef/>
      </w:r>
      <w:r>
        <w:t xml:space="preserve"> Article 31(7), </w:t>
      </w:r>
      <w:r w:rsidRPr="009F45E2">
        <w:t>United Nations Convention Against Transnational Organized Crime</w:t>
      </w:r>
      <w:r w:rsidR="009F45E2">
        <w:t xml:space="preserve">: </w:t>
      </w:r>
      <w:hyperlink r:id="rId1" w:history="1">
        <w:r w:rsidR="009F45E2" w:rsidRPr="00B80650">
          <w:rPr>
            <w:rStyle w:val="Hyperlink"/>
          </w:rPr>
          <w:t>https://www.unodc.org/documents/middleeastandnorthafrica/organised-crime/UNITED_NATIONS_CONVENTION_AGAINST_TRANSNATIONAL_ORGANIZED_CRIME_AND_THE_PROTOCOLS_THERETO.pdf</w:t>
        </w:r>
      </w:hyperlink>
      <w:r w:rsidR="009F45E2">
        <w:t xml:space="preserve"> </w:t>
      </w:r>
    </w:p>
  </w:footnote>
  <w:footnote w:id="2">
    <w:p w14:paraId="7ABB1E75" w14:textId="77777777" w:rsidR="002705FE" w:rsidRPr="00073469" w:rsidRDefault="002705FE" w:rsidP="002705FE">
      <w:pPr>
        <w:pStyle w:val="FootnoteText"/>
      </w:pPr>
      <w:r w:rsidRPr="00073469">
        <w:rPr>
          <w:rStyle w:val="FootnoteReference"/>
        </w:rPr>
        <w:footnoteRef/>
      </w:r>
      <w:r w:rsidRPr="00073469">
        <w:t xml:space="preserve"> Guidance Note of the Secretary-General on Racial Discrimination and Protection of Minorities, paragraph 32: </w:t>
      </w:r>
      <w:hyperlink r:id="rId2" w:history="1">
        <w:r w:rsidRPr="00B80650">
          <w:rPr>
            <w:rStyle w:val="Hyperlink"/>
          </w:rPr>
          <w:t>https://www.ohchr.org/Documents/Issues/Minorities/GuidanceNoteRacialDiscriminationMinorities.pdf</w:t>
        </w:r>
      </w:hyperlink>
    </w:p>
  </w:footnote>
  <w:footnote w:id="3">
    <w:p w14:paraId="5C3B272E" w14:textId="2C3CFF8A" w:rsidR="00933C65" w:rsidRPr="00933C65" w:rsidRDefault="00933C65">
      <w:pPr>
        <w:pStyle w:val="FootnoteText"/>
      </w:pPr>
      <w:r>
        <w:rPr>
          <w:rStyle w:val="FootnoteReference"/>
        </w:rPr>
        <w:footnoteRef/>
      </w:r>
      <w:r>
        <w:t xml:space="preserve"> ICAT 2020. 20</w:t>
      </w:r>
      <w:r w:rsidRPr="00933C65">
        <w:rPr>
          <w:vertAlign w:val="superscript"/>
        </w:rPr>
        <w:t>th</w:t>
      </w:r>
      <w:r>
        <w:t xml:space="preserve"> Anniversary of the Trafficking in Persons Protocol: an Analytical Review: </w:t>
      </w:r>
      <w:hyperlink r:id="rId3" w:history="1">
        <w:r w:rsidRPr="00B80650">
          <w:rPr>
            <w:rStyle w:val="Hyperlink"/>
          </w:rPr>
          <w:t>https://icat.un.org/sites/g/files/tmzbdl461/files/publications/icat_analytical_paper_2020_final_0.pdf</w:t>
        </w:r>
      </w:hyperlink>
      <w:r>
        <w:t xml:space="preserve"> </w:t>
      </w:r>
    </w:p>
  </w:footnote>
  <w:footnote w:id="4">
    <w:p w14:paraId="4C8F64C4" w14:textId="19E68102" w:rsidR="00E736F7" w:rsidRPr="00E736F7" w:rsidRDefault="00E736F7">
      <w:pPr>
        <w:pStyle w:val="FootnoteText"/>
      </w:pPr>
      <w:r>
        <w:rPr>
          <w:rStyle w:val="FootnoteReference"/>
        </w:rPr>
        <w:footnoteRef/>
      </w:r>
      <w:r>
        <w:t xml:space="preserve"> UNODC. Global Report on Trafficking in Persons 2020 (p.70-72): </w:t>
      </w:r>
      <w:hyperlink r:id="rId4" w:history="1">
        <w:r w:rsidRPr="00B80650">
          <w:rPr>
            <w:rStyle w:val="Hyperlink"/>
          </w:rPr>
          <w:t>https://www.unodc.org/documents/data-and-analysis/tip/2021/GLOTiP_2020_15jan_web.pdf</w:t>
        </w:r>
      </w:hyperlink>
      <w:r>
        <w:t xml:space="preserve"> </w:t>
      </w:r>
    </w:p>
  </w:footnote>
  <w:footnote w:id="5">
    <w:p w14:paraId="4DFAFDE8" w14:textId="7B87BE97" w:rsidR="00E736F7" w:rsidRPr="00E736F7" w:rsidRDefault="00E736F7">
      <w:pPr>
        <w:pStyle w:val="FootnoteText"/>
      </w:pPr>
      <w:r>
        <w:rPr>
          <w:rStyle w:val="FootnoteReference"/>
        </w:rPr>
        <w:footnoteRef/>
      </w:r>
      <w:r>
        <w:t xml:space="preserve"> CEDAW General Recommendation No.38 on Trafficking in Women and Girls in the Context of Global Migration (paragraph 20): </w:t>
      </w:r>
      <w:hyperlink r:id="rId5" w:history="1">
        <w:r w:rsidRPr="00B80650">
          <w:rPr>
            <w:rStyle w:val="Hyperlink"/>
            <w:rFonts w:ascii="Calibri" w:hAnsi="Calibri" w:cs="Calibri"/>
          </w:rPr>
          <w:t>https://digitallibrary.un.org/record/3899165/files/CEDAW_C_GC_38-EN.pdf</w:t>
        </w:r>
      </w:hyperlink>
      <w:r>
        <w:rPr>
          <w:rFonts w:ascii="Calibri" w:hAnsi="Calibri" w:cs="Calibri"/>
          <w:color w:val="000000"/>
        </w:rPr>
        <w:t xml:space="preserve"> </w:t>
      </w:r>
    </w:p>
  </w:footnote>
  <w:footnote w:id="6">
    <w:p w14:paraId="0E845D0D" w14:textId="2E9BF9C4" w:rsidR="00E13361" w:rsidRPr="00073469" w:rsidRDefault="00E13361">
      <w:pPr>
        <w:pStyle w:val="FootnoteText"/>
      </w:pPr>
      <w:r w:rsidRPr="00073469">
        <w:rPr>
          <w:rStyle w:val="FootnoteReference"/>
        </w:rPr>
        <w:footnoteRef/>
      </w:r>
      <w:r w:rsidRPr="00073469">
        <w:t xml:space="preserve"> UNODC Global report on Trafficking in Persons 2012 (p.27): </w:t>
      </w:r>
      <w:hyperlink r:id="rId6" w:history="1">
        <w:r w:rsidRPr="00073469">
          <w:rPr>
            <w:rStyle w:val="Hyperlink"/>
          </w:rPr>
          <w:t>https://www.unodc.org/documents/data-and-analysis/glotip/Trafficking_in_Persons_2012_web.pdf</w:t>
        </w:r>
      </w:hyperlink>
      <w:r w:rsidRPr="00073469">
        <w:t xml:space="preserve"> </w:t>
      </w:r>
    </w:p>
  </w:footnote>
  <w:footnote w:id="7">
    <w:p w14:paraId="6DC75AC6" w14:textId="0A553373" w:rsidR="00E736F7" w:rsidRPr="00E736F7" w:rsidRDefault="00E736F7">
      <w:pPr>
        <w:pStyle w:val="FootnoteText"/>
      </w:pPr>
      <w:r>
        <w:rPr>
          <w:rStyle w:val="FootnoteReference"/>
        </w:rPr>
        <w:footnoteRef/>
      </w:r>
      <w:r w:rsidRPr="00B97F25">
        <w:t xml:space="preserve"> UNODC. </w:t>
      </w:r>
      <w:r w:rsidRPr="00E736F7">
        <w:t>Global Report on Trafficking i</w:t>
      </w:r>
      <w:r>
        <w:t xml:space="preserve">n Persons 2016: </w:t>
      </w:r>
      <w:hyperlink r:id="rId7" w:history="1">
        <w:r w:rsidRPr="00B80650">
          <w:rPr>
            <w:rStyle w:val="Hyperlink"/>
          </w:rPr>
          <w:t>https://www.unodc.org/documents/data-and-analysis/glotip/2016_Global_Report_on_Trafficking_in_Persons.pdf</w:t>
        </w:r>
      </w:hyperlink>
      <w:r>
        <w:t xml:space="preserve"> </w:t>
      </w:r>
    </w:p>
  </w:footnote>
  <w:footnote w:id="8">
    <w:p w14:paraId="495F5396" w14:textId="7E280056" w:rsidR="00C446EF" w:rsidRPr="00C446EF" w:rsidRDefault="00C446EF">
      <w:pPr>
        <w:pStyle w:val="FootnoteText"/>
        <w:rPr>
          <w:lang w:val="en-US"/>
        </w:rPr>
      </w:pPr>
      <w:r>
        <w:rPr>
          <w:rStyle w:val="FootnoteReference"/>
        </w:rPr>
        <w:footnoteRef/>
      </w:r>
      <w:r>
        <w:t xml:space="preserve"> </w:t>
      </w:r>
      <w:r>
        <w:rPr>
          <w:lang w:val="en-US"/>
        </w:rPr>
        <w:t>Ibid</w:t>
      </w:r>
    </w:p>
  </w:footnote>
  <w:footnote w:id="9">
    <w:p w14:paraId="66B3AA17" w14:textId="3E0CB03A" w:rsidR="00E736F7" w:rsidRPr="00E736F7" w:rsidRDefault="00E736F7">
      <w:pPr>
        <w:pStyle w:val="FootnoteText"/>
      </w:pPr>
      <w:r>
        <w:rPr>
          <w:rStyle w:val="FootnoteReference"/>
        </w:rPr>
        <w:footnoteRef/>
      </w:r>
      <w:r w:rsidRPr="00B97F25">
        <w:t xml:space="preserve"> UNODC, 2018. </w:t>
      </w:r>
      <w:r>
        <w:t xml:space="preserve">Countering Trafficking in Persons in Conflict Situations: Thematic Paper: </w:t>
      </w:r>
      <w:hyperlink r:id="rId8" w:history="1">
        <w:r w:rsidRPr="00B80650">
          <w:rPr>
            <w:rStyle w:val="Hyperlink"/>
          </w:rPr>
          <w:t>https://www.unodc.org/documents/human-trafficking/2018/17-08776_ebook-Countering_Trafficking_in_Persons_in_Conflict_Situations.pdf</w:t>
        </w:r>
      </w:hyperlink>
      <w:r>
        <w:t xml:space="preserve"> </w:t>
      </w:r>
    </w:p>
  </w:footnote>
  <w:footnote w:id="10">
    <w:p w14:paraId="5B4007C0" w14:textId="4BE10AFA" w:rsidR="00486663" w:rsidRPr="00486663" w:rsidRDefault="00486663">
      <w:pPr>
        <w:pStyle w:val="FootnoteText"/>
      </w:pPr>
      <w:r>
        <w:rPr>
          <w:rStyle w:val="FootnoteReference"/>
        </w:rPr>
        <w:footnoteRef/>
      </w:r>
      <w:r>
        <w:t xml:space="preserve"> </w:t>
      </w:r>
      <w:r>
        <w:rPr>
          <w:lang w:val="en-US"/>
        </w:rPr>
        <w:t xml:space="preserve">Trafficking in Persons in the Context of Conflict 2018: </w:t>
      </w:r>
      <w:hyperlink r:id="rId9" w:history="1">
        <w:r w:rsidRPr="00B80650">
          <w:rPr>
            <w:rStyle w:val="Hyperlink"/>
            <w:lang w:val="en-US"/>
          </w:rPr>
          <w:t>https://www.unodc.org/documents/data-and-analysis/glotip/2018/GloTIP2018_BOOKLET_2_Conflict.pdf</w:t>
        </w:r>
      </w:hyperlink>
    </w:p>
  </w:footnote>
  <w:footnote w:id="11">
    <w:p w14:paraId="2A300FD5" w14:textId="37AF4F06" w:rsidR="00486663" w:rsidRPr="00486663" w:rsidRDefault="00486663">
      <w:pPr>
        <w:pStyle w:val="FootnoteText"/>
        <w:rPr>
          <w:lang w:val="en-US"/>
        </w:rPr>
      </w:pPr>
      <w:r>
        <w:rPr>
          <w:rStyle w:val="FootnoteReference"/>
        </w:rPr>
        <w:footnoteRef/>
      </w:r>
      <w:r>
        <w:t xml:space="preserve"> </w:t>
      </w:r>
      <w:r w:rsidR="003E5145">
        <w:rPr>
          <w:lang w:val="en-US"/>
        </w:rPr>
        <w:t>Ibid</w:t>
      </w:r>
      <w:r>
        <w:rPr>
          <w:lang w:val="en-US"/>
        </w:rPr>
        <w:t xml:space="preserve"> </w:t>
      </w:r>
    </w:p>
  </w:footnote>
  <w:footnote w:id="12">
    <w:p w14:paraId="485EEC0C" w14:textId="77777777" w:rsidR="00842657" w:rsidRPr="00073469" w:rsidRDefault="00842657" w:rsidP="00842657">
      <w:pPr>
        <w:pStyle w:val="FootnoteText"/>
      </w:pPr>
      <w:r w:rsidRPr="00073469">
        <w:rPr>
          <w:rStyle w:val="FootnoteReference"/>
        </w:rPr>
        <w:footnoteRef/>
      </w:r>
      <w:r w:rsidRPr="00073469">
        <w:t xml:space="preserve"> The Blue Heart Campaign reaches Indigenous Communities in Mexico: </w:t>
      </w:r>
      <w:hyperlink r:id="rId10" w:history="1">
        <w:r w:rsidRPr="00073469">
          <w:rPr>
            <w:rStyle w:val="Hyperlink"/>
          </w:rPr>
          <w:t>https://www.unodc.org/unodc/en/frontpage/2021/August/the-blue-heart-campaign-reaches-indigenous-communities-in-mexico.html</w:t>
        </w:r>
      </w:hyperlink>
    </w:p>
  </w:footnote>
  <w:footnote w:id="13">
    <w:p w14:paraId="51433355" w14:textId="4BAD32E9" w:rsidR="00E736F7" w:rsidRPr="00E736F7" w:rsidRDefault="00E736F7">
      <w:pPr>
        <w:pStyle w:val="FootnoteText"/>
        <w:rPr>
          <w:lang w:val="en-US"/>
        </w:rPr>
      </w:pPr>
      <w:r>
        <w:rPr>
          <w:rStyle w:val="FootnoteReference"/>
        </w:rPr>
        <w:footnoteRef/>
      </w:r>
      <w:r w:rsidRPr="00E736F7">
        <w:rPr>
          <w:lang w:val="en-US"/>
        </w:rPr>
        <w:t xml:space="preserve"> UNODC, </w:t>
      </w:r>
      <w:r w:rsidRPr="00E736F7">
        <w:rPr>
          <w:i/>
          <w:iCs/>
          <w:lang w:val="en-US"/>
        </w:rPr>
        <w:t>et al</w:t>
      </w:r>
      <w:r>
        <w:rPr>
          <w:lang w:val="en-US"/>
        </w:rPr>
        <w:t>, 2021.</w:t>
      </w:r>
      <w:r w:rsidRPr="00E736F7">
        <w:rPr>
          <w:lang w:val="en-US"/>
        </w:rPr>
        <w:t xml:space="preserve"> Datajam against Exploitation Participant Handbook: </w:t>
      </w:r>
      <w:hyperlink r:id="rId11" w:history="1">
        <w:r w:rsidRPr="00E736F7">
          <w:rPr>
            <w:rStyle w:val="Hyperlink"/>
            <w:lang w:val="en-US"/>
          </w:rPr>
          <w:t>https://cipc-icpc.org/wp-content/uploads/2021/07/DataJam-Against-Exploitation.-Participant-Handbook-2021-06-2021.pdf</w:t>
        </w:r>
      </w:hyperlink>
      <w:r w:rsidRPr="00E736F7">
        <w:rPr>
          <w:lang w:val="en-US"/>
        </w:rPr>
        <w:t xml:space="preserve"> </w:t>
      </w:r>
    </w:p>
  </w:footnote>
  <w:footnote w:id="14">
    <w:p w14:paraId="2C187E75" w14:textId="563FF977" w:rsidR="00E736F7" w:rsidRPr="00E736F7" w:rsidRDefault="00E736F7">
      <w:pPr>
        <w:pStyle w:val="FootnoteText"/>
        <w:rPr>
          <w:lang w:val="en-US"/>
        </w:rPr>
      </w:pPr>
      <w:r>
        <w:rPr>
          <w:rStyle w:val="FootnoteReference"/>
        </w:rPr>
        <w:footnoteRef/>
      </w:r>
      <w:r>
        <w:t xml:space="preserve"> </w:t>
      </w:r>
      <w:r>
        <w:rPr>
          <w:lang w:val="en-US"/>
        </w:rPr>
        <w:t xml:space="preserve">See </w:t>
      </w:r>
      <w:hyperlink r:id="rId12" w:history="1">
        <w:r w:rsidRPr="00B80650">
          <w:rPr>
            <w:rStyle w:val="Hyperlink"/>
            <w:lang w:val="en-US"/>
          </w:rPr>
          <w:t>https://www.publicsafety.gc.ca/cnt/rsrcs/pblctns/2019-ntnl-strtgy-hmnn-trffc/2019-ntnl-strtgy-hmnn-trffc-en.pdf</w:t>
        </w:r>
      </w:hyperlink>
      <w:r>
        <w:rPr>
          <w:lang w:val="en-US"/>
        </w:rPr>
        <w:t xml:space="preserve"> </w:t>
      </w:r>
    </w:p>
  </w:footnote>
  <w:footnote w:id="15">
    <w:p w14:paraId="46B49EB3" w14:textId="77777777" w:rsidR="00C246B8" w:rsidRPr="009F45E2" w:rsidRDefault="00C246B8" w:rsidP="00C246B8">
      <w:pPr>
        <w:pStyle w:val="FootnoteText"/>
        <w:rPr>
          <w:lang w:val="en-US"/>
        </w:rPr>
      </w:pPr>
      <w:r>
        <w:rPr>
          <w:rStyle w:val="FootnoteReference"/>
        </w:rPr>
        <w:footnoteRef/>
      </w:r>
      <w:r>
        <w:t xml:space="preserve"> </w:t>
      </w:r>
      <w:r>
        <w:rPr>
          <w:lang w:val="en-US"/>
        </w:rPr>
        <w:t xml:space="preserve">UNODC Toolkit for Mainstreaming Human Rights and Gender Equality into Criminal Justice Interventions to Address Trafficking in Persons and Smuggling of Migrants: </w:t>
      </w:r>
      <w:hyperlink r:id="rId13" w:history="1">
        <w:r w:rsidRPr="00B80650">
          <w:rPr>
            <w:rStyle w:val="Hyperlink"/>
            <w:lang w:val="en-US"/>
          </w:rPr>
          <w:t>https://www.unodc.org/documents/human-trafficking/GLO-ACTII/UNODC_Toolkit_for_mainstreaming_Human_Rights_and_Gender_Equality_February_2021.pdf</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46CF1"/>
    <w:multiLevelType w:val="hybridMultilevel"/>
    <w:tmpl w:val="0728D656"/>
    <w:lvl w:ilvl="0" w:tplc="8592988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131B1B"/>
    <w:multiLevelType w:val="hybridMultilevel"/>
    <w:tmpl w:val="0FA0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C2942"/>
    <w:multiLevelType w:val="hybridMultilevel"/>
    <w:tmpl w:val="1FFC5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FA"/>
    <w:rsid w:val="00036374"/>
    <w:rsid w:val="00073469"/>
    <w:rsid w:val="00081CCF"/>
    <w:rsid w:val="000D5313"/>
    <w:rsid w:val="00104631"/>
    <w:rsid w:val="001348A3"/>
    <w:rsid w:val="00166BFA"/>
    <w:rsid w:val="00193C7B"/>
    <w:rsid w:val="001B0A50"/>
    <w:rsid w:val="001C057E"/>
    <w:rsid w:val="001C62D1"/>
    <w:rsid w:val="001C716D"/>
    <w:rsid w:val="001E17B8"/>
    <w:rsid w:val="002705FE"/>
    <w:rsid w:val="002B6495"/>
    <w:rsid w:val="002F5DA1"/>
    <w:rsid w:val="00321428"/>
    <w:rsid w:val="00335B23"/>
    <w:rsid w:val="00342CDF"/>
    <w:rsid w:val="00380A59"/>
    <w:rsid w:val="003E2521"/>
    <w:rsid w:val="003E5145"/>
    <w:rsid w:val="00427775"/>
    <w:rsid w:val="00430AC6"/>
    <w:rsid w:val="004727BD"/>
    <w:rsid w:val="004764AF"/>
    <w:rsid w:val="00486663"/>
    <w:rsid w:val="004955A0"/>
    <w:rsid w:val="004A36AF"/>
    <w:rsid w:val="004B32C8"/>
    <w:rsid w:val="004C61F7"/>
    <w:rsid w:val="00601FA2"/>
    <w:rsid w:val="006B2467"/>
    <w:rsid w:val="006C4FEB"/>
    <w:rsid w:val="00737E10"/>
    <w:rsid w:val="0077307D"/>
    <w:rsid w:val="00776142"/>
    <w:rsid w:val="00795D45"/>
    <w:rsid w:val="007F51D1"/>
    <w:rsid w:val="008003DC"/>
    <w:rsid w:val="008360F3"/>
    <w:rsid w:val="00842657"/>
    <w:rsid w:val="0087550D"/>
    <w:rsid w:val="0087749C"/>
    <w:rsid w:val="008C774E"/>
    <w:rsid w:val="00916CCB"/>
    <w:rsid w:val="00933C65"/>
    <w:rsid w:val="009560FB"/>
    <w:rsid w:val="00966E88"/>
    <w:rsid w:val="009B16D7"/>
    <w:rsid w:val="009E12BB"/>
    <w:rsid w:val="009E1544"/>
    <w:rsid w:val="009F45E2"/>
    <w:rsid w:val="00A80A98"/>
    <w:rsid w:val="00AB63AD"/>
    <w:rsid w:val="00B14175"/>
    <w:rsid w:val="00B765C5"/>
    <w:rsid w:val="00B97F25"/>
    <w:rsid w:val="00BA467C"/>
    <w:rsid w:val="00BC55F4"/>
    <w:rsid w:val="00C246B8"/>
    <w:rsid w:val="00C446EF"/>
    <w:rsid w:val="00C72E31"/>
    <w:rsid w:val="00CC60EC"/>
    <w:rsid w:val="00CD5F49"/>
    <w:rsid w:val="00CE1983"/>
    <w:rsid w:val="00D95EE2"/>
    <w:rsid w:val="00E13361"/>
    <w:rsid w:val="00E3027C"/>
    <w:rsid w:val="00E32087"/>
    <w:rsid w:val="00E70794"/>
    <w:rsid w:val="00E736F7"/>
    <w:rsid w:val="00EB2236"/>
    <w:rsid w:val="00EC6D74"/>
    <w:rsid w:val="00F53D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5769C"/>
  <w15:chartTrackingRefBased/>
  <w15:docId w15:val="{A0472794-27C2-4BA5-A6FD-351F370B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BFA"/>
    <w:rPr>
      <w:color w:val="0563C1"/>
      <w:u w:val="single"/>
    </w:rPr>
  </w:style>
  <w:style w:type="paragraph" w:styleId="ListParagraph">
    <w:name w:val="List Paragraph"/>
    <w:basedOn w:val="Normal"/>
    <w:uiPriority w:val="34"/>
    <w:qFormat/>
    <w:rsid w:val="00166BFA"/>
    <w:pPr>
      <w:ind w:left="720"/>
      <w:contextualSpacing/>
    </w:pPr>
  </w:style>
  <w:style w:type="paragraph" w:styleId="Header">
    <w:name w:val="header"/>
    <w:basedOn w:val="Normal"/>
    <w:link w:val="HeaderChar"/>
    <w:uiPriority w:val="99"/>
    <w:unhideWhenUsed/>
    <w:rsid w:val="001C7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16D"/>
  </w:style>
  <w:style w:type="paragraph" w:styleId="Footer">
    <w:name w:val="footer"/>
    <w:basedOn w:val="Normal"/>
    <w:link w:val="FooterChar"/>
    <w:uiPriority w:val="99"/>
    <w:unhideWhenUsed/>
    <w:rsid w:val="001C7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16D"/>
  </w:style>
  <w:style w:type="character" w:customStyle="1" w:styleId="UnresolvedMention">
    <w:name w:val="Unresolved Mention"/>
    <w:basedOn w:val="DefaultParagraphFont"/>
    <w:uiPriority w:val="99"/>
    <w:semiHidden/>
    <w:unhideWhenUsed/>
    <w:rsid w:val="001C716D"/>
    <w:rPr>
      <w:color w:val="605E5C"/>
      <w:shd w:val="clear" w:color="auto" w:fill="E1DFDD"/>
    </w:rPr>
  </w:style>
  <w:style w:type="character" w:customStyle="1" w:styleId="apple-converted-space">
    <w:name w:val="apple-converted-space"/>
    <w:basedOn w:val="DefaultParagraphFont"/>
    <w:rsid w:val="001B0A50"/>
  </w:style>
  <w:style w:type="paragraph" w:styleId="FootnoteText">
    <w:name w:val="footnote text"/>
    <w:basedOn w:val="Normal"/>
    <w:link w:val="FootnoteTextChar"/>
    <w:uiPriority w:val="99"/>
    <w:semiHidden/>
    <w:unhideWhenUsed/>
    <w:rsid w:val="00E133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361"/>
    <w:rPr>
      <w:sz w:val="20"/>
      <w:szCs w:val="20"/>
    </w:rPr>
  </w:style>
  <w:style w:type="character" w:styleId="FootnoteReference">
    <w:name w:val="footnote reference"/>
    <w:basedOn w:val="DefaultParagraphFont"/>
    <w:uiPriority w:val="99"/>
    <w:semiHidden/>
    <w:unhideWhenUsed/>
    <w:rsid w:val="00E13361"/>
    <w:rPr>
      <w:vertAlign w:val="superscript"/>
    </w:rPr>
  </w:style>
  <w:style w:type="character" w:styleId="FollowedHyperlink">
    <w:name w:val="FollowedHyperlink"/>
    <w:basedOn w:val="DefaultParagraphFont"/>
    <w:uiPriority w:val="99"/>
    <w:semiHidden/>
    <w:unhideWhenUsed/>
    <w:rsid w:val="009F4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08738">
      <w:bodyDiv w:val="1"/>
      <w:marLeft w:val="0"/>
      <w:marRight w:val="0"/>
      <w:marTop w:val="0"/>
      <w:marBottom w:val="0"/>
      <w:divBdr>
        <w:top w:val="none" w:sz="0" w:space="0" w:color="auto"/>
        <w:left w:val="none" w:sz="0" w:space="0" w:color="auto"/>
        <w:bottom w:val="none" w:sz="0" w:space="0" w:color="auto"/>
        <w:right w:val="none" w:sz="0" w:space="0" w:color="auto"/>
      </w:divBdr>
    </w:div>
    <w:div w:id="185174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at.un.org/sites/g/files/tmzbdl461/files/publications/icat_analytical_paper_2020_final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dc.org/documents/data-and-analysis/glotip/2018/GloTIP2018_BOOKLET_2_Conflic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dc.org/documents/human-trafficking/2018/17-08776_ebook-Countering_Trafficking_in_Persons_in_Conflict_Situation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odc.org/documents/human-trafficking/GLO-ACTII/UNODC_Toolkit_for_mainstreaming_Human_Rights_and_Gender_Equality_February_2021.pdf" TargetMode="External"/><Relationship Id="rId4" Type="http://schemas.openxmlformats.org/officeDocument/2006/relationships/settings" Target="settings.xml"/><Relationship Id="rId9" Type="http://schemas.openxmlformats.org/officeDocument/2006/relationships/hyperlink" Target="https://www.unodc.org/unodc/data-and-analysis/glotip.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unodc.org/documents/human-trafficking/2018/17-08776_ebook-Countering_Trafficking_in_Persons_in_Conflict_Situations.pdf" TargetMode="External"/><Relationship Id="rId13" Type="http://schemas.openxmlformats.org/officeDocument/2006/relationships/hyperlink" Target="https://www.unodc.org/documents/human-trafficking/GLO-ACTII/UNODC_Toolkit_for_mainstreaming_Human_Rights_and_Gender_Equality_February_2021.pdf" TargetMode="External"/><Relationship Id="rId3" Type="http://schemas.openxmlformats.org/officeDocument/2006/relationships/hyperlink" Target="https://icat.un.org/sites/g/files/tmzbdl461/files/publications/icat_analytical_paper_2020_final_0.pdf" TargetMode="External"/><Relationship Id="rId7" Type="http://schemas.openxmlformats.org/officeDocument/2006/relationships/hyperlink" Target="https://www.unodc.org/documents/data-and-analysis/glotip/2016_Global_Report_on_Trafficking_in_Persons.pdf" TargetMode="External"/><Relationship Id="rId12" Type="http://schemas.openxmlformats.org/officeDocument/2006/relationships/hyperlink" Target="https://www.publicsafety.gc.ca/cnt/rsrcs/pblctns/2019-ntnl-strtgy-hmnn-trffc/2019-ntnl-strtgy-hmnn-trffc-en.pdf" TargetMode="External"/><Relationship Id="rId2" Type="http://schemas.openxmlformats.org/officeDocument/2006/relationships/hyperlink" Target="https://www.ohchr.org/Documents/Issues/Minorities/GuidanceNoteRacialDiscriminationMinorities.pdf" TargetMode="External"/><Relationship Id="rId1" Type="http://schemas.openxmlformats.org/officeDocument/2006/relationships/hyperlink" Target="https://www.unodc.org/documents/middleeastandnorthafrica/organised-crime/UNITED_NATIONS_CONVENTION_AGAINST_TRANSNATIONAL_ORGANIZED_CRIME_AND_THE_PROTOCOLS_THERETO.pdf" TargetMode="External"/><Relationship Id="rId6" Type="http://schemas.openxmlformats.org/officeDocument/2006/relationships/hyperlink" Target="https://www.unodc.org/documents/data-and-analysis/glotip/Trafficking_in_Persons_2012_web.pdf" TargetMode="External"/><Relationship Id="rId11" Type="http://schemas.openxmlformats.org/officeDocument/2006/relationships/hyperlink" Target="https://cipc-icpc.org/wp-content/uploads/2021/07/DataJam-Against-Exploitation.-Participant-Handbook-2021-06-2021.pdf" TargetMode="External"/><Relationship Id="rId5" Type="http://schemas.openxmlformats.org/officeDocument/2006/relationships/hyperlink" Target="https://digitallibrary.un.org/record/3899165/files/CEDAW_C_GC_38-EN.pdf" TargetMode="External"/><Relationship Id="rId10" Type="http://schemas.openxmlformats.org/officeDocument/2006/relationships/hyperlink" Target="https://www.unodc.org/unodc/en/frontpage/2021/August/the-blue-heart-campaign-reaches-indigenous-communities-in-mexico.html" TargetMode="External"/><Relationship Id="rId4" Type="http://schemas.openxmlformats.org/officeDocument/2006/relationships/hyperlink" Target="https://www.unodc.org/documents/data-and-analysis/tip/2021/GLOTiP_2020_15jan_web.pdf" TargetMode="External"/><Relationship Id="rId9" Type="http://schemas.openxmlformats.org/officeDocument/2006/relationships/hyperlink" Target="https://www.unodc.org/documents/data-and-analysis/glotip/2018/GloTIP2018_BOOKLET_2_Confli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36220-0382-4B45-8769-486E10E5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UNODC MM</dc:creator>
  <cp:keywords/>
  <dc:description/>
  <cp:lastModifiedBy>Satya Jennings</cp:lastModifiedBy>
  <cp:revision>2</cp:revision>
  <cp:lastPrinted>2022-02-16T14:29:00Z</cp:lastPrinted>
  <dcterms:created xsi:type="dcterms:W3CDTF">2022-02-21T09:29:00Z</dcterms:created>
  <dcterms:modified xsi:type="dcterms:W3CDTF">2022-02-21T09:29:00Z</dcterms:modified>
</cp:coreProperties>
</file>