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7AD3" w14:textId="0CCE675D" w:rsidR="00853C7E" w:rsidRPr="00853C7E" w:rsidRDefault="00853C7E" w:rsidP="00FE3E8C">
      <w:pPr>
        <w:jc w:val="center"/>
        <w:rPr>
          <w:b/>
          <w:bCs/>
          <w:lang w:val="en-GB"/>
        </w:rPr>
      </w:pPr>
      <w:r w:rsidRPr="00853C7E">
        <w:rPr>
          <w:b/>
          <w:bCs/>
          <w:lang w:val="en-GB"/>
        </w:rPr>
        <w:t xml:space="preserve">Hearing of the ECHR in the cases of </w:t>
      </w:r>
      <w:proofErr w:type="spellStart"/>
      <w:r w:rsidRPr="00853C7E">
        <w:rPr>
          <w:b/>
          <w:bCs/>
          <w:lang w:val="en-GB"/>
        </w:rPr>
        <w:t>Mikolaj</w:t>
      </w:r>
      <w:proofErr w:type="spellEnd"/>
      <w:r w:rsidRPr="00853C7E">
        <w:rPr>
          <w:b/>
          <w:bCs/>
          <w:lang w:val="en-GB"/>
        </w:rPr>
        <w:t xml:space="preserve"> PIETRZAK and Dominika BYCHAWSKA- SINARSKA and others v. Poland</w:t>
      </w:r>
    </w:p>
    <w:p w14:paraId="04788A6B" w14:textId="1416BCE7" w:rsidR="00F6772C" w:rsidRDefault="00853C7E" w:rsidP="00853C7E">
      <w:pPr>
        <w:jc w:val="center"/>
        <w:rPr>
          <w:b/>
          <w:bCs/>
          <w:lang w:val="en-GB"/>
        </w:rPr>
      </w:pPr>
      <w:r w:rsidRPr="00853C7E">
        <w:rPr>
          <w:b/>
          <w:bCs/>
          <w:lang w:val="en-GB"/>
        </w:rPr>
        <w:t xml:space="preserve">Oral </w:t>
      </w:r>
      <w:r>
        <w:rPr>
          <w:b/>
          <w:bCs/>
          <w:lang w:val="en-GB"/>
        </w:rPr>
        <w:t>submission</w:t>
      </w:r>
      <w:r w:rsidRPr="00853C7E">
        <w:rPr>
          <w:b/>
          <w:bCs/>
          <w:lang w:val="en-GB"/>
        </w:rPr>
        <w:t xml:space="preserve"> </w:t>
      </w:r>
      <w:r w:rsidR="00640786">
        <w:rPr>
          <w:b/>
          <w:bCs/>
          <w:lang w:val="en-GB"/>
        </w:rPr>
        <w:t>-</w:t>
      </w:r>
      <w:r w:rsidRPr="00853C7E">
        <w:rPr>
          <w:b/>
          <w:bCs/>
          <w:lang w:val="en-GB"/>
        </w:rPr>
        <w:t xml:space="preserve"> UN S</w:t>
      </w:r>
      <w:r w:rsidR="00F6772C">
        <w:rPr>
          <w:b/>
          <w:bCs/>
          <w:lang w:val="en-GB"/>
        </w:rPr>
        <w:t xml:space="preserve">pecial </w:t>
      </w:r>
      <w:r w:rsidRPr="00853C7E">
        <w:rPr>
          <w:b/>
          <w:bCs/>
          <w:lang w:val="en-GB"/>
        </w:rPr>
        <w:t>R</w:t>
      </w:r>
      <w:r w:rsidR="00F6772C">
        <w:rPr>
          <w:b/>
          <w:bCs/>
          <w:lang w:val="en-GB"/>
        </w:rPr>
        <w:t>apporteur on the protection and promotion of human rights while countering terrorism</w:t>
      </w:r>
      <w:r w:rsidRPr="00853C7E">
        <w:rPr>
          <w:b/>
          <w:bCs/>
          <w:lang w:val="en-GB"/>
        </w:rPr>
        <w:t xml:space="preserve"> </w:t>
      </w:r>
    </w:p>
    <w:p w14:paraId="36F77E4A" w14:textId="4FB4B6B9" w:rsidR="00853C7E" w:rsidRDefault="00853C7E" w:rsidP="00853C7E">
      <w:pPr>
        <w:jc w:val="center"/>
        <w:rPr>
          <w:b/>
          <w:bCs/>
          <w:lang w:val="en-GB"/>
        </w:rPr>
      </w:pPr>
    </w:p>
    <w:p w14:paraId="62D2A8E1" w14:textId="0DA06623" w:rsidR="00853C7E" w:rsidRPr="00FE3E8C" w:rsidRDefault="00853C7E" w:rsidP="00FE3E8C">
      <w:pPr>
        <w:jc w:val="right"/>
        <w:rPr>
          <w:lang w:val="en-GB"/>
        </w:rPr>
      </w:pPr>
      <w:r w:rsidRPr="00FE3E8C">
        <w:rPr>
          <w:lang w:val="en-GB"/>
        </w:rPr>
        <w:t>Strasbourg, 27 September 2022</w:t>
      </w:r>
    </w:p>
    <w:p w14:paraId="5D7AF4CD" w14:textId="510E3D21" w:rsidR="00853C7E" w:rsidRDefault="00853C7E" w:rsidP="00853C7E">
      <w:pPr>
        <w:rPr>
          <w:lang w:val="en-GB"/>
        </w:rPr>
      </w:pPr>
    </w:p>
    <w:p w14:paraId="2A4C00F8" w14:textId="40CDE5BD" w:rsidR="00853C7E" w:rsidRDefault="00853C7E" w:rsidP="00853C7E">
      <w:pPr>
        <w:rPr>
          <w:lang w:val="en-GB"/>
        </w:rPr>
      </w:pPr>
    </w:p>
    <w:p w14:paraId="35F34D9E" w14:textId="4FBF1C64" w:rsidR="00853C7E" w:rsidRDefault="00853C7E" w:rsidP="00640786">
      <w:pPr>
        <w:jc w:val="both"/>
        <w:rPr>
          <w:lang w:val="en-GB"/>
        </w:rPr>
      </w:pPr>
      <w:r>
        <w:rPr>
          <w:lang w:val="en-GB"/>
        </w:rPr>
        <w:t>Mr. President, Distinguished members of the Court,</w:t>
      </w:r>
    </w:p>
    <w:p w14:paraId="40BED11D" w14:textId="77777777" w:rsidR="00E92723" w:rsidRDefault="00E92723" w:rsidP="00640786">
      <w:pPr>
        <w:jc w:val="both"/>
        <w:rPr>
          <w:lang w:val="en-GB"/>
        </w:rPr>
      </w:pPr>
    </w:p>
    <w:p w14:paraId="73691B8A" w14:textId="65600B30" w:rsidR="00E92723" w:rsidRDefault="00E92723" w:rsidP="00640786">
      <w:pPr>
        <w:jc w:val="both"/>
        <w:rPr>
          <w:lang w:val="en-GB"/>
        </w:rPr>
      </w:pPr>
      <w:r>
        <w:rPr>
          <w:lang w:val="en-GB"/>
        </w:rPr>
        <w:t xml:space="preserve">The disclaimer </w:t>
      </w:r>
      <w:r w:rsidR="00F6772C">
        <w:rPr>
          <w:lang w:val="en-GB"/>
        </w:rPr>
        <w:t>relating to UN pr</w:t>
      </w:r>
      <w:r w:rsidR="000440DB">
        <w:rPr>
          <w:lang w:val="en-GB"/>
        </w:rPr>
        <w:t>i</w:t>
      </w:r>
      <w:r w:rsidR="00F6772C">
        <w:rPr>
          <w:lang w:val="en-GB"/>
        </w:rPr>
        <w:t xml:space="preserve">vileges and immunities </w:t>
      </w:r>
      <w:r>
        <w:rPr>
          <w:lang w:val="en-GB"/>
        </w:rPr>
        <w:t>that was included at the beginning of the Amicus Brief submitted to this Court in relation to this case in 2020 applies in full to this oral submission</w:t>
      </w:r>
      <w:r w:rsidR="00FE3E8C">
        <w:rPr>
          <w:lang w:val="en-GB"/>
        </w:rPr>
        <w:t>.</w:t>
      </w:r>
    </w:p>
    <w:p w14:paraId="0320B60C" w14:textId="77777777" w:rsidR="00341B48" w:rsidRDefault="00341B48" w:rsidP="00640786">
      <w:pPr>
        <w:jc w:val="both"/>
        <w:rPr>
          <w:lang w:val="en-GB"/>
        </w:rPr>
      </w:pPr>
    </w:p>
    <w:p w14:paraId="6A3319BF" w14:textId="4346831D" w:rsidR="00105CC0" w:rsidRPr="000440DB" w:rsidRDefault="00913622" w:rsidP="00640786">
      <w:pPr>
        <w:jc w:val="both"/>
        <w:rPr>
          <w:lang w:val="en-GB"/>
        </w:rPr>
      </w:pPr>
      <w:r w:rsidRPr="000440DB">
        <w:rPr>
          <w:lang w:val="en-GB"/>
        </w:rPr>
        <w:t>The Special Rapporteur’s mandate intervention in this case</w:t>
      </w:r>
      <w:r w:rsidR="008710BC" w:rsidRPr="000440DB">
        <w:rPr>
          <w:lang w:val="en-GB"/>
        </w:rPr>
        <w:t xml:space="preserve"> arises because the case</w:t>
      </w:r>
      <w:r w:rsidR="00554FF2" w:rsidRPr="000440DB">
        <w:rPr>
          <w:lang w:val="en-GB"/>
        </w:rPr>
        <w:t xml:space="preserve"> </w:t>
      </w:r>
      <w:r w:rsidR="00DD4CDE" w:rsidRPr="000440DB">
        <w:rPr>
          <w:lang w:val="en-GB"/>
        </w:rPr>
        <w:t xml:space="preserve">represents one example of the structural problem of </w:t>
      </w:r>
      <w:r w:rsidR="008710BC" w:rsidRPr="000440DB">
        <w:rPr>
          <w:lang w:val="en-GB"/>
        </w:rPr>
        <w:t xml:space="preserve">the contemporary </w:t>
      </w:r>
      <w:r w:rsidR="00DD4CDE" w:rsidRPr="000440DB">
        <w:rPr>
          <w:lang w:val="en-GB"/>
        </w:rPr>
        <w:t>overuse of counter-terrorism powers and</w:t>
      </w:r>
      <w:r w:rsidR="008710BC" w:rsidRPr="000440DB">
        <w:rPr>
          <w:lang w:val="en-GB"/>
        </w:rPr>
        <w:t xml:space="preserve"> the</w:t>
      </w:r>
      <w:r w:rsidR="00DD4CDE" w:rsidRPr="000440DB">
        <w:rPr>
          <w:lang w:val="en-GB"/>
        </w:rPr>
        <w:t xml:space="preserve"> serious human rights implications</w:t>
      </w:r>
      <w:r w:rsidR="008710BC" w:rsidRPr="000440DB">
        <w:rPr>
          <w:lang w:val="en-GB"/>
        </w:rPr>
        <w:t xml:space="preserve"> that follow</w:t>
      </w:r>
      <w:r w:rsidR="00DD4CDE" w:rsidRPr="000440DB">
        <w:rPr>
          <w:lang w:val="en-GB"/>
        </w:rPr>
        <w:t>.</w:t>
      </w:r>
    </w:p>
    <w:p w14:paraId="0D9D4E8E" w14:textId="77777777" w:rsidR="00105CC0" w:rsidRPr="000440DB" w:rsidRDefault="00105CC0" w:rsidP="00640786">
      <w:pPr>
        <w:jc w:val="both"/>
        <w:rPr>
          <w:lang w:val="en-GB"/>
        </w:rPr>
      </w:pPr>
    </w:p>
    <w:p w14:paraId="1DC79C30" w14:textId="5D3D5152" w:rsidR="00F5225E" w:rsidRPr="000440DB" w:rsidRDefault="008710BC" w:rsidP="00640786">
      <w:pPr>
        <w:jc w:val="both"/>
        <w:rPr>
          <w:lang w:val="en-GB"/>
        </w:rPr>
      </w:pPr>
      <w:r w:rsidRPr="000440DB">
        <w:rPr>
          <w:lang w:val="en-GB"/>
        </w:rPr>
        <w:t>In the mandate’s view</w:t>
      </w:r>
      <w:r w:rsidR="00341B48" w:rsidRPr="000440DB">
        <w:rPr>
          <w:lang w:val="en-GB"/>
        </w:rPr>
        <w:t>,</w:t>
      </w:r>
      <w:r w:rsidRPr="000440DB">
        <w:rPr>
          <w:lang w:val="en-GB"/>
        </w:rPr>
        <w:t xml:space="preserve"> </w:t>
      </w:r>
      <w:r w:rsidR="00F5225E" w:rsidRPr="000440DB">
        <w:rPr>
          <w:lang w:val="en-GB"/>
        </w:rPr>
        <w:t>t</w:t>
      </w:r>
      <w:r w:rsidR="0019644A" w:rsidRPr="000440DB">
        <w:rPr>
          <w:lang w:val="en-GB"/>
        </w:rPr>
        <w:t xml:space="preserve">he right to privacy functions as a gateway right that protects and enables </w:t>
      </w:r>
      <w:r w:rsidR="00F5225E" w:rsidRPr="000440DB">
        <w:rPr>
          <w:lang w:val="en-GB"/>
        </w:rPr>
        <w:t>many</w:t>
      </w:r>
      <w:r w:rsidR="0019644A" w:rsidRPr="000440DB">
        <w:rPr>
          <w:lang w:val="en-GB"/>
        </w:rPr>
        <w:t xml:space="preserve"> other rights</w:t>
      </w:r>
      <w:r w:rsidR="00745F88" w:rsidRPr="000440DB">
        <w:rPr>
          <w:lang w:val="en-GB"/>
        </w:rPr>
        <w:t xml:space="preserve"> and freedoms</w:t>
      </w:r>
      <w:r w:rsidR="00F5225E" w:rsidRPr="000440DB">
        <w:rPr>
          <w:lang w:val="en-GB"/>
        </w:rPr>
        <w:t xml:space="preserve">, </w:t>
      </w:r>
      <w:r w:rsidRPr="000440DB">
        <w:rPr>
          <w:lang w:val="en-GB"/>
        </w:rPr>
        <w:t xml:space="preserve">and </w:t>
      </w:r>
      <w:r w:rsidR="00F5225E" w:rsidRPr="000440DB">
        <w:rPr>
          <w:lang w:val="en-GB"/>
        </w:rPr>
        <w:t>its p</w:t>
      </w:r>
      <w:r w:rsidR="0019644A" w:rsidRPr="000440DB">
        <w:rPr>
          <w:lang w:val="en-GB"/>
        </w:rPr>
        <w:t>rotection is</w:t>
      </w:r>
      <w:r w:rsidRPr="000440DB">
        <w:rPr>
          <w:lang w:val="en-GB"/>
        </w:rPr>
        <w:t xml:space="preserve"> intimately</w:t>
      </w:r>
      <w:r w:rsidR="0019644A" w:rsidRPr="000440DB">
        <w:rPr>
          <w:lang w:val="en-GB"/>
        </w:rPr>
        <w:t xml:space="preserve"> co-related to the existence</w:t>
      </w:r>
      <w:r w:rsidRPr="000440DB">
        <w:rPr>
          <w:lang w:val="en-GB"/>
        </w:rPr>
        <w:t xml:space="preserve"> and advancement</w:t>
      </w:r>
      <w:r w:rsidR="0019644A" w:rsidRPr="000440DB">
        <w:rPr>
          <w:lang w:val="en-GB"/>
        </w:rPr>
        <w:t xml:space="preserve"> of a democratic society. </w:t>
      </w:r>
      <w:r w:rsidR="00411DDD" w:rsidRPr="000440DB">
        <w:rPr>
          <w:lang w:val="en-GB"/>
        </w:rPr>
        <w:t>The</w:t>
      </w:r>
      <w:r w:rsidR="0019644A" w:rsidRPr="000440DB">
        <w:rPr>
          <w:lang w:val="en-GB"/>
        </w:rPr>
        <w:t xml:space="preserve">refore, the Special Rapporteur </w:t>
      </w:r>
      <w:r w:rsidR="00411DDD" w:rsidRPr="000440DB">
        <w:rPr>
          <w:lang w:val="en-GB"/>
        </w:rPr>
        <w:t>sees the</w:t>
      </w:r>
      <w:r w:rsidR="00853C7E" w:rsidRPr="000440DB">
        <w:rPr>
          <w:lang w:val="en-GB"/>
        </w:rPr>
        <w:t xml:space="preserve"> </w:t>
      </w:r>
      <w:r w:rsidR="008308FA" w:rsidRPr="000440DB">
        <w:rPr>
          <w:lang w:val="en-GB"/>
        </w:rPr>
        <w:t>escalation</w:t>
      </w:r>
      <w:r w:rsidR="00073FD6" w:rsidRPr="000440DB">
        <w:rPr>
          <w:lang w:val="en-GB"/>
        </w:rPr>
        <w:t xml:space="preserve"> </w:t>
      </w:r>
      <w:r w:rsidR="00DD4CDE" w:rsidRPr="000440DB">
        <w:rPr>
          <w:lang w:val="en-GB"/>
        </w:rPr>
        <w:t>in</w:t>
      </w:r>
      <w:r w:rsidR="00073FD6" w:rsidRPr="000440DB">
        <w:rPr>
          <w:lang w:val="en-GB"/>
        </w:rPr>
        <w:t xml:space="preserve"> the use of secret surveillance </w:t>
      </w:r>
      <w:r w:rsidR="00F03F11" w:rsidRPr="000440DB">
        <w:rPr>
          <w:lang w:val="en-GB"/>
        </w:rPr>
        <w:t>and the collection of content information and</w:t>
      </w:r>
      <w:r w:rsidR="00005A40" w:rsidRPr="000440DB">
        <w:rPr>
          <w:lang w:val="en-GB"/>
        </w:rPr>
        <w:t xml:space="preserve"> of </w:t>
      </w:r>
      <w:r w:rsidR="00F03F11" w:rsidRPr="000440DB">
        <w:rPr>
          <w:lang w:val="en-GB"/>
        </w:rPr>
        <w:t xml:space="preserve">metadata </w:t>
      </w:r>
      <w:r w:rsidR="00411DDD" w:rsidRPr="000440DB">
        <w:rPr>
          <w:lang w:val="en-GB"/>
        </w:rPr>
        <w:t>for</w:t>
      </w:r>
      <w:r w:rsidR="008308FA" w:rsidRPr="000440DB">
        <w:rPr>
          <w:lang w:val="en-GB"/>
        </w:rPr>
        <w:t xml:space="preserve"> </w:t>
      </w:r>
      <w:r w:rsidR="00411DDD" w:rsidRPr="000440DB">
        <w:rPr>
          <w:lang w:val="en-GB"/>
        </w:rPr>
        <w:t>countering terrorism</w:t>
      </w:r>
      <w:r w:rsidR="00F03F11" w:rsidRPr="000440DB">
        <w:rPr>
          <w:lang w:val="en-GB"/>
        </w:rPr>
        <w:t xml:space="preserve"> purposes</w:t>
      </w:r>
      <w:r w:rsidR="008308FA" w:rsidRPr="000440DB">
        <w:rPr>
          <w:lang w:val="en-GB"/>
        </w:rPr>
        <w:t xml:space="preserve">, combined with </w:t>
      </w:r>
      <w:r w:rsidR="00411DDD" w:rsidRPr="000440DB">
        <w:rPr>
          <w:lang w:val="en-GB"/>
        </w:rPr>
        <w:t>the bolting</w:t>
      </w:r>
      <w:r w:rsidR="008308FA" w:rsidRPr="000440DB">
        <w:rPr>
          <w:lang w:val="en-GB"/>
        </w:rPr>
        <w:t xml:space="preserve"> development of </w:t>
      </w:r>
      <w:r w:rsidR="00F5225E" w:rsidRPr="000440DB">
        <w:rPr>
          <w:lang w:val="en-GB"/>
        </w:rPr>
        <w:t xml:space="preserve">under-regulated </w:t>
      </w:r>
      <w:r w:rsidR="008308FA" w:rsidRPr="000440DB">
        <w:rPr>
          <w:lang w:val="en-GB"/>
        </w:rPr>
        <w:t>new technologies</w:t>
      </w:r>
      <w:r w:rsidR="00F03F11" w:rsidRPr="000440DB">
        <w:rPr>
          <w:lang w:val="en-GB"/>
        </w:rPr>
        <w:t>,</w:t>
      </w:r>
      <w:r w:rsidR="008308FA" w:rsidRPr="000440DB">
        <w:rPr>
          <w:lang w:val="en-GB"/>
        </w:rPr>
        <w:t xml:space="preserve"> </w:t>
      </w:r>
      <w:r w:rsidR="00411DDD" w:rsidRPr="000440DB">
        <w:rPr>
          <w:lang w:val="en-GB"/>
        </w:rPr>
        <w:t>a</w:t>
      </w:r>
      <w:r w:rsidR="0019644A" w:rsidRPr="000440DB">
        <w:rPr>
          <w:lang w:val="en-GB"/>
        </w:rPr>
        <w:t>s</w:t>
      </w:r>
      <w:r w:rsidR="00411DDD" w:rsidRPr="000440DB">
        <w:rPr>
          <w:lang w:val="en-GB"/>
        </w:rPr>
        <w:t xml:space="preserve"> a</w:t>
      </w:r>
      <w:r w:rsidR="00005A40" w:rsidRPr="000440DB">
        <w:rPr>
          <w:lang w:val="en-GB"/>
        </w:rPr>
        <w:t xml:space="preserve"> </w:t>
      </w:r>
      <w:r w:rsidRPr="000440DB">
        <w:rPr>
          <w:lang w:val="en-GB"/>
        </w:rPr>
        <w:t xml:space="preserve">significant </w:t>
      </w:r>
      <w:r w:rsidR="00411DDD" w:rsidRPr="000440DB">
        <w:rPr>
          <w:lang w:val="en-GB"/>
        </w:rPr>
        <w:t>threat to democratic societies</w:t>
      </w:r>
      <w:r w:rsidR="005814C6" w:rsidRPr="000440DB">
        <w:rPr>
          <w:lang w:val="en-GB"/>
        </w:rPr>
        <w:t xml:space="preserve">. </w:t>
      </w:r>
    </w:p>
    <w:p w14:paraId="0AD65F49" w14:textId="77777777" w:rsidR="00F5225E" w:rsidRPr="000440DB" w:rsidRDefault="00F5225E" w:rsidP="00640786">
      <w:pPr>
        <w:jc w:val="both"/>
        <w:rPr>
          <w:lang w:val="en-GB"/>
        </w:rPr>
      </w:pPr>
    </w:p>
    <w:p w14:paraId="046497D4" w14:textId="3349ACB7" w:rsidR="00853C7E" w:rsidRDefault="005814C6" w:rsidP="00640786">
      <w:pPr>
        <w:jc w:val="both"/>
        <w:rPr>
          <w:lang w:val="en-GB"/>
        </w:rPr>
      </w:pPr>
      <w:r w:rsidRPr="000440DB">
        <w:rPr>
          <w:lang w:val="en-GB"/>
        </w:rPr>
        <w:t>The scale of the intrusion and the lack of safeguards</w:t>
      </w:r>
      <w:r w:rsidR="00F92A74" w:rsidRPr="000440DB">
        <w:rPr>
          <w:lang w:val="en-GB"/>
        </w:rPr>
        <w:t>,</w:t>
      </w:r>
      <w:r w:rsidRPr="000440DB">
        <w:rPr>
          <w:lang w:val="en-GB"/>
        </w:rPr>
        <w:t xml:space="preserve"> even in countries with limited threats</w:t>
      </w:r>
      <w:r>
        <w:rPr>
          <w:lang w:val="en-GB"/>
        </w:rPr>
        <w:t xml:space="preserve"> of terrorism</w:t>
      </w:r>
      <w:r w:rsidR="00F92A74">
        <w:rPr>
          <w:lang w:val="en-GB"/>
        </w:rPr>
        <w:t>,</w:t>
      </w:r>
      <w:r>
        <w:rPr>
          <w:lang w:val="en-GB"/>
        </w:rPr>
        <w:t xml:space="preserve"> is a great concern. In this respect, we </w:t>
      </w:r>
      <w:r w:rsidR="00757FF3">
        <w:rPr>
          <w:lang w:val="en-GB"/>
        </w:rPr>
        <w:t>would like to bring to th</w:t>
      </w:r>
      <w:r w:rsidR="005D7A7B">
        <w:rPr>
          <w:lang w:val="en-GB"/>
        </w:rPr>
        <w:t>is</w:t>
      </w:r>
      <w:r w:rsidR="00757FF3">
        <w:rPr>
          <w:lang w:val="en-GB"/>
        </w:rPr>
        <w:t xml:space="preserve"> Court’s attention that </w:t>
      </w:r>
      <w:r w:rsidR="00F5225E">
        <w:rPr>
          <w:lang w:val="en-GB"/>
        </w:rPr>
        <w:t>according to</w:t>
      </w:r>
      <w:r w:rsidR="00123FF1">
        <w:rPr>
          <w:lang w:val="en-GB"/>
        </w:rPr>
        <w:t xml:space="preserve"> </w:t>
      </w:r>
      <w:r w:rsidR="00757FF3">
        <w:rPr>
          <w:lang w:val="en-GB"/>
        </w:rPr>
        <w:t xml:space="preserve">the Global Counter-Terrorism Index, which ranks all countries </w:t>
      </w:r>
      <w:r w:rsidR="00123FF1">
        <w:rPr>
          <w:lang w:val="en-GB"/>
        </w:rPr>
        <w:t xml:space="preserve">of the world and </w:t>
      </w:r>
      <w:r>
        <w:rPr>
          <w:lang w:val="en-GB"/>
        </w:rPr>
        <w:t xml:space="preserve">is </w:t>
      </w:r>
      <w:r w:rsidR="00123FF1">
        <w:rPr>
          <w:lang w:val="en-GB"/>
        </w:rPr>
        <w:t xml:space="preserve">used to evaluate a risk of terrorism, Poland </w:t>
      </w:r>
      <w:r w:rsidR="0003330E">
        <w:rPr>
          <w:lang w:val="en-GB"/>
        </w:rPr>
        <w:t xml:space="preserve">holds </w:t>
      </w:r>
      <w:r w:rsidR="0003330E" w:rsidRPr="000440DB">
        <w:rPr>
          <w:lang w:val="en-GB"/>
        </w:rPr>
        <w:t xml:space="preserve">the </w:t>
      </w:r>
      <w:r w:rsidR="00123FF1" w:rsidRPr="000440DB">
        <w:rPr>
          <w:u w:val="single"/>
          <w:lang w:val="en-GB"/>
        </w:rPr>
        <w:t>last</w:t>
      </w:r>
      <w:r w:rsidR="0003330E" w:rsidRPr="000440DB">
        <w:rPr>
          <w:lang w:val="en-GB"/>
        </w:rPr>
        <w:t xml:space="preserve"> position</w:t>
      </w:r>
      <w:r w:rsidR="008710BC">
        <w:rPr>
          <w:lang w:val="en-GB"/>
        </w:rPr>
        <w:t xml:space="preserve">, </w:t>
      </w:r>
      <w:r w:rsidR="005D7A7B">
        <w:rPr>
          <w:lang w:val="en-GB"/>
        </w:rPr>
        <w:t xml:space="preserve">along with several other countries </w:t>
      </w:r>
      <w:r w:rsidR="008710BC">
        <w:rPr>
          <w:lang w:val="en-GB"/>
        </w:rPr>
        <w:t xml:space="preserve">identified </w:t>
      </w:r>
      <w:r w:rsidR="00F92A74">
        <w:rPr>
          <w:lang w:val="en-GB"/>
        </w:rPr>
        <w:t>as</w:t>
      </w:r>
      <w:r w:rsidR="008710BC">
        <w:rPr>
          <w:lang w:val="en-GB"/>
        </w:rPr>
        <w:t xml:space="preserve"> having a negligible threat of terrorism</w:t>
      </w:r>
      <w:r w:rsidR="00073FD6">
        <w:rPr>
          <w:lang w:val="en-GB"/>
        </w:rPr>
        <w:t xml:space="preserve">. </w:t>
      </w:r>
    </w:p>
    <w:p w14:paraId="337B84F3" w14:textId="24A83ABE" w:rsidR="00853C7E" w:rsidRDefault="00853C7E" w:rsidP="00640786">
      <w:pPr>
        <w:jc w:val="both"/>
        <w:rPr>
          <w:lang w:val="en-GB"/>
        </w:rPr>
      </w:pPr>
    </w:p>
    <w:p w14:paraId="64E2440B" w14:textId="138E7C60" w:rsidR="00853C7E" w:rsidRDefault="00853C7E" w:rsidP="00640786">
      <w:pPr>
        <w:jc w:val="both"/>
        <w:rPr>
          <w:lang w:val="en-GB"/>
        </w:rPr>
      </w:pPr>
      <w:r>
        <w:rPr>
          <w:lang w:val="en-GB"/>
        </w:rPr>
        <w:t xml:space="preserve">I will limit my remarks to three points, which we believe are of relevance to the follow-up questions that this Court has </w:t>
      </w:r>
      <w:r w:rsidR="00B776BC">
        <w:rPr>
          <w:lang w:val="en-GB"/>
        </w:rPr>
        <w:t>a</w:t>
      </w:r>
      <w:r w:rsidR="00107F29">
        <w:rPr>
          <w:lang w:val="en-GB"/>
        </w:rPr>
        <w:t>sked</w:t>
      </w:r>
      <w:r w:rsidR="00B776BC">
        <w:rPr>
          <w:lang w:val="en-GB"/>
        </w:rPr>
        <w:t xml:space="preserve"> </w:t>
      </w:r>
      <w:r w:rsidR="007E2868">
        <w:rPr>
          <w:lang w:val="en-GB"/>
        </w:rPr>
        <w:t>for this hearing</w:t>
      </w:r>
      <w:r>
        <w:rPr>
          <w:lang w:val="en-GB"/>
        </w:rPr>
        <w:t xml:space="preserve">. </w:t>
      </w:r>
    </w:p>
    <w:p w14:paraId="6EEBC9FA" w14:textId="66B07F3E" w:rsidR="00853C7E" w:rsidRDefault="00853C7E" w:rsidP="00640786">
      <w:pPr>
        <w:jc w:val="both"/>
        <w:rPr>
          <w:lang w:val="en-GB"/>
        </w:rPr>
      </w:pPr>
    </w:p>
    <w:p w14:paraId="1C0E5E71" w14:textId="2962557B" w:rsidR="00853C7E" w:rsidRPr="004949A0" w:rsidRDefault="00853C7E" w:rsidP="00640786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 w:rsidRPr="004949A0">
        <w:rPr>
          <w:b/>
          <w:bCs/>
          <w:lang w:val="en-GB"/>
        </w:rPr>
        <w:t>In accordance with the law</w:t>
      </w:r>
    </w:p>
    <w:p w14:paraId="577E2EDF" w14:textId="590E2BE0" w:rsidR="00853C7E" w:rsidRDefault="00853C7E" w:rsidP="00640786">
      <w:pPr>
        <w:jc w:val="both"/>
        <w:rPr>
          <w:lang w:val="en-GB"/>
        </w:rPr>
      </w:pPr>
    </w:p>
    <w:p w14:paraId="7DCD647D" w14:textId="3467257B" w:rsidR="00853C7E" w:rsidRPr="000440DB" w:rsidRDefault="00853C7E" w:rsidP="00640786">
      <w:pPr>
        <w:jc w:val="both"/>
        <w:rPr>
          <w:lang w:val="en-GB"/>
        </w:rPr>
      </w:pPr>
      <w:r w:rsidRPr="000440DB">
        <w:rPr>
          <w:lang w:val="en-GB"/>
        </w:rPr>
        <w:t xml:space="preserve">The first point I will address today relates to the requirement that the interference with rights must be “in accordance with the law”. The mandate notes that the approach of the Court </w:t>
      </w:r>
      <w:r w:rsidR="00554FF2" w:rsidRPr="000440DB">
        <w:rPr>
          <w:lang w:val="en-GB"/>
        </w:rPr>
        <w:t>with</w:t>
      </w:r>
      <w:r w:rsidRPr="000440DB">
        <w:rPr>
          <w:lang w:val="en-GB"/>
        </w:rPr>
        <w:t xml:space="preserve"> respect </w:t>
      </w:r>
      <w:r w:rsidR="00554FF2" w:rsidRPr="000440DB">
        <w:rPr>
          <w:lang w:val="en-GB"/>
        </w:rPr>
        <w:t>to</w:t>
      </w:r>
      <w:r w:rsidRPr="000440DB">
        <w:rPr>
          <w:lang w:val="en-GB"/>
        </w:rPr>
        <w:t xml:space="preserve"> secret surveillance is to address </w:t>
      </w:r>
      <w:r w:rsidR="00C6223E" w:rsidRPr="000440DB">
        <w:rPr>
          <w:lang w:val="en-GB"/>
        </w:rPr>
        <w:t xml:space="preserve">jointly the </w:t>
      </w:r>
      <w:r w:rsidRPr="000440DB">
        <w:rPr>
          <w:lang w:val="en-GB"/>
        </w:rPr>
        <w:t xml:space="preserve">“in accordance with the law” and </w:t>
      </w:r>
      <w:r w:rsidR="00005A40" w:rsidRPr="000440DB">
        <w:rPr>
          <w:lang w:val="en-GB"/>
        </w:rPr>
        <w:t xml:space="preserve">the </w:t>
      </w:r>
      <w:r w:rsidRPr="000440DB">
        <w:rPr>
          <w:lang w:val="en-GB"/>
        </w:rPr>
        <w:t>“necessity”</w:t>
      </w:r>
      <w:r w:rsidR="00C6223E" w:rsidRPr="000440DB">
        <w:rPr>
          <w:lang w:val="en-GB"/>
        </w:rPr>
        <w:t xml:space="preserve"> requirements</w:t>
      </w:r>
      <w:r w:rsidR="00145966" w:rsidRPr="000440DB">
        <w:rPr>
          <w:lang w:val="en-GB"/>
        </w:rPr>
        <w:t xml:space="preserve">, which implies (1) </w:t>
      </w:r>
      <w:r w:rsidRPr="000440DB">
        <w:rPr>
          <w:lang w:val="en-GB"/>
        </w:rPr>
        <w:t>that the domestic law must be</w:t>
      </w:r>
      <w:r>
        <w:rPr>
          <w:lang w:val="en-GB"/>
        </w:rPr>
        <w:t xml:space="preserve"> </w:t>
      </w:r>
      <w:r w:rsidRPr="000440DB">
        <w:rPr>
          <w:lang w:val="en-GB"/>
        </w:rPr>
        <w:t>accessible, foreseeable in its application, and</w:t>
      </w:r>
      <w:r w:rsidR="00145966" w:rsidRPr="000440DB">
        <w:rPr>
          <w:lang w:val="en-GB"/>
        </w:rPr>
        <w:t xml:space="preserve"> </w:t>
      </w:r>
      <w:r w:rsidRPr="000440DB">
        <w:rPr>
          <w:lang w:val="en-GB"/>
        </w:rPr>
        <w:t xml:space="preserve">that </w:t>
      </w:r>
      <w:r w:rsidR="005814C6" w:rsidRPr="000440DB">
        <w:rPr>
          <w:lang w:val="en-GB"/>
        </w:rPr>
        <w:t xml:space="preserve">it ensures </w:t>
      </w:r>
      <w:r w:rsidR="00145966" w:rsidRPr="000440DB">
        <w:rPr>
          <w:lang w:val="en-GB"/>
        </w:rPr>
        <w:t xml:space="preserve">that </w:t>
      </w:r>
      <w:r w:rsidRPr="000440DB">
        <w:rPr>
          <w:lang w:val="en-GB"/>
        </w:rPr>
        <w:t xml:space="preserve">secret surveillance measures </w:t>
      </w:r>
      <w:r w:rsidR="00145966" w:rsidRPr="000440DB">
        <w:rPr>
          <w:lang w:val="en-GB"/>
        </w:rPr>
        <w:t>are</w:t>
      </w:r>
      <w:r w:rsidRPr="000440DB">
        <w:rPr>
          <w:lang w:val="en-GB"/>
        </w:rPr>
        <w:t xml:space="preserve"> applied only when they are “necessary in a democratic society</w:t>
      </w:r>
      <w:r w:rsidR="00032CD1" w:rsidRPr="000440DB">
        <w:rPr>
          <w:lang w:val="en-GB"/>
        </w:rPr>
        <w:t>.</w:t>
      </w:r>
      <w:r w:rsidR="0024604F" w:rsidRPr="000440DB">
        <w:rPr>
          <w:lang w:val="en-GB"/>
        </w:rPr>
        <w:t>”</w:t>
      </w:r>
      <w:r w:rsidR="00032CD1" w:rsidRPr="000440DB">
        <w:rPr>
          <w:rStyle w:val="FootnoteReference"/>
          <w:lang w:val="en-GB"/>
        </w:rPr>
        <w:footnoteReference w:id="1"/>
      </w:r>
      <w:r w:rsidRPr="000440DB">
        <w:rPr>
          <w:lang w:val="en-GB"/>
        </w:rPr>
        <w:t xml:space="preserve"> </w:t>
      </w:r>
    </w:p>
    <w:p w14:paraId="2E62A45B" w14:textId="77777777" w:rsidR="00853C7E" w:rsidRPr="000440DB" w:rsidRDefault="00853C7E" w:rsidP="00640786">
      <w:pPr>
        <w:jc w:val="both"/>
        <w:rPr>
          <w:lang w:val="en-GB"/>
        </w:rPr>
      </w:pPr>
    </w:p>
    <w:p w14:paraId="13E25974" w14:textId="41F1600C" w:rsidR="00145966" w:rsidRPr="000440DB" w:rsidRDefault="00032CD1" w:rsidP="00640786">
      <w:pPr>
        <w:jc w:val="both"/>
        <w:rPr>
          <w:lang w:val="en-GB"/>
        </w:rPr>
      </w:pPr>
      <w:r w:rsidRPr="000440DB">
        <w:rPr>
          <w:lang w:val="en-GB"/>
        </w:rPr>
        <w:lastRenderedPageBreak/>
        <w:t>T</w:t>
      </w:r>
      <w:r w:rsidR="00853C7E" w:rsidRPr="000440DB">
        <w:rPr>
          <w:lang w:val="en-GB"/>
        </w:rPr>
        <w:t xml:space="preserve">his Court has </w:t>
      </w:r>
      <w:r w:rsidRPr="000440DB">
        <w:rPr>
          <w:lang w:val="en-GB"/>
        </w:rPr>
        <w:t xml:space="preserve">also </w:t>
      </w:r>
      <w:r w:rsidR="00853C7E" w:rsidRPr="000440DB">
        <w:rPr>
          <w:lang w:val="en-GB"/>
        </w:rPr>
        <w:t>noted</w:t>
      </w:r>
      <w:r w:rsidR="00005A40" w:rsidRPr="000440DB">
        <w:rPr>
          <w:lang w:val="en-GB"/>
        </w:rPr>
        <w:t>,</w:t>
      </w:r>
      <w:r w:rsidR="00853C7E" w:rsidRPr="000440DB">
        <w:rPr>
          <w:lang w:val="en-GB"/>
        </w:rPr>
        <w:t xml:space="preserve"> </w:t>
      </w:r>
      <w:r w:rsidR="00E92723" w:rsidRPr="000440DB">
        <w:rPr>
          <w:lang w:val="en-GB"/>
        </w:rPr>
        <w:t>in a recent case against Sweden</w:t>
      </w:r>
      <w:r w:rsidR="00005A40" w:rsidRPr="000440DB">
        <w:rPr>
          <w:lang w:val="en-GB"/>
        </w:rPr>
        <w:t>,</w:t>
      </w:r>
      <w:r w:rsidR="00E92723" w:rsidRPr="000440DB">
        <w:rPr>
          <w:lang w:val="en-GB"/>
        </w:rPr>
        <w:t xml:space="preserve"> </w:t>
      </w:r>
      <w:r w:rsidR="00853C7E" w:rsidRPr="000440DB">
        <w:rPr>
          <w:lang w:val="en-GB"/>
        </w:rPr>
        <w:t xml:space="preserve">that even in the case of bulk interception, </w:t>
      </w:r>
      <w:r w:rsidR="00145966" w:rsidRPr="000440DB">
        <w:rPr>
          <w:lang w:val="en-GB"/>
        </w:rPr>
        <w:t>“</w:t>
      </w:r>
      <w:r w:rsidR="00853C7E" w:rsidRPr="000440DB">
        <w:rPr>
          <w:lang w:val="en-GB"/>
        </w:rPr>
        <w:t>domestic law should set out with sufficient clarity the grounds upon which bulk interception might be authorised and the circumstances in which an individual’s communications might be intercepted”.</w:t>
      </w:r>
      <w:r w:rsidRPr="000440DB">
        <w:rPr>
          <w:rStyle w:val="FootnoteReference"/>
          <w:lang w:val="en-GB"/>
        </w:rPr>
        <w:footnoteReference w:id="2"/>
      </w:r>
      <w:r w:rsidR="00853C7E" w:rsidRPr="000440DB">
        <w:rPr>
          <w:lang w:val="en-GB"/>
        </w:rPr>
        <w:t xml:space="preserve"> </w:t>
      </w:r>
    </w:p>
    <w:p w14:paraId="0F8B13CF" w14:textId="77777777" w:rsidR="00145966" w:rsidRPr="000440DB" w:rsidRDefault="00145966" w:rsidP="00640786">
      <w:pPr>
        <w:jc w:val="both"/>
        <w:rPr>
          <w:lang w:val="en-GB"/>
        </w:rPr>
      </w:pPr>
    </w:p>
    <w:p w14:paraId="2EA41527" w14:textId="6D8E84D7" w:rsidR="00853C7E" w:rsidRPr="000440DB" w:rsidRDefault="004949A0" w:rsidP="00640786">
      <w:pPr>
        <w:jc w:val="both"/>
        <w:rPr>
          <w:lang w:val="en-GB"/>
        </w:rPr>
      </w:pPr>
      <w:r w:rsidRPr="000440DB">
        <w:rPr>
          <w:lang w:val="en-GB"/>
        </w:rPr>
        <w:t xml:space="preserve">This approach has both substantive and procedural consequences for the law.  </w:t>
      </w:r>
    </w:p>
    <w:p w14:paraId="23A21086" w14:textId="77777777" w:rsidR="00853C7E" w:rsidRDefault="00853C7E" w:rsidP="00640786">
      <w:pPr>
        <w:jc w:val="both"/>
        <w:rPr>
          <w:lang w:val="en-GB"/>
        </w:rPr>
      </w:pPr>
    </w:p>
    <w:p w14:paraId="681A442F" w14:textId="110F15E3" w:rsidR="004949A0" w:rsidRPr="004949A0" w:rsidRDefault="004949A0" w:rsidP="00640786">
      <w:pPr>
        <w:jc w:val="both"/>
        <w:rPr>
          <w:b/>
          <w:bCs/>
          <w:lang w:val="en-GB"/>
        </w:rPr>
      </w:pPr>
      <w:r w:rsidRPr="004949A0">
        <w:rPr>
          <w:b/>
          <w:bCs/>
          <w:lang w:val="en-GB"/>
        </w:rPr>
        <w:t>1.1 Substantive requirement: Definition of terrorism</w:t>
      </w:r>
    </w:p>
    <w:p w14:paraId="7E4B15E9" w14:textId="77777777" w:rsidR="004949A0" w:rsidRDefault="004949A0" w:rsidP="00640786">
      <w:pPr>
        <w:jc w:val="both"/>
        <w:rPr>
          <w:lang w:val="en-GB"/>
        </w:rPr>
      </w:pPr>
    </w:p>
    <w:p w14:paraId="2AA8DEEF" w14:textId="78E022CC" w:rsidR="00145966" w:rsidRDefault="007A6548" w:rsidP="00640786">
      <w:pPr>
        <w:jc w:val="both"/>
        <w:rPr>
          <w:rFonts w:cstheme="minorHAnsi"/>
          <w:lang w:val="en-GB"/>
        </w:rPr>
      </w:pPr>
      <w:r>
        <w:rPr>
          <w:lang w:val="en-GB"/>
        </w:rPr>
        <w:t>Turning to the substantive requirement in the</w:t>
      </w:r>
      <w:r w:rsidR="009A4CD3">
        <w:rPr>
          <w:lang w:val="en-GB"/>
        </w:rPr>
        <w:t xml:space="preserve"> Polish</w:t>
      </w:r>
      <w:r>
        <w:rPr>
          <w:lang w:val="en-GB"/>
        </w:rPr>
        <w:t xml:space="preserve"> law, t</w:t>
      </w:r>
      <w:r w:rsidR="004949A0">
        <w:rPr>
          <w:lang w:val="en-GB"/>
        </w:rPr>
        <w:t xml:space="preserve">he starting point for any in-country engagement </w:t>
      </w:r>
      <w:r w:rsidR="009A4CD3">
        <w:rPr>
          <w:lang w:val="en-GB"/>
        </w:rPr>
        <w:t xml:space="preserve">by </w:t>
      </w:r>
      <w:r w:rsidR="004949A0">
        <w:rPr>
          <w:lang w:val="en-GB"/>
        </w:rPr>
        <w:t xml:space="preserve">the Mandate is always an </w:t>
      </w:r>
      <w:r w:rsidR="004949A0" w:rsidRPr="000440DB">
        <w:rPr>
          <w:lang w:val="en-GB"/>
        </w:rPr>
        <w:t xml:space="preserve">assessment of the definitions used in </w:t>
      </w:r>
      <w:r w:rsidR="009A4CD3" w:rsidRPr="000440DB">
        <w:rPr>
          <w:lang w:val="en-GB"/>
        </w:rPr>
        <w:t xml:space="preserve">national </w:t>
      </w:r>
      <w:r w:rsidR="004949A0" w:rsidRPr="000440DB">
        <w:rPr>
          <w:lang w:val="en-GB"/>
        </w:rPr>
        <w:t>security legislation</w:t>
      </w:r>
      <w:r w:rsidR="00F5225E" w:rsidRPr="000440DB">
        <w:rPr>
          <w:lang w:val="en-GB"/>
        </w:rPr>
        <w:t xml:space="preserve">. </w:t>
      </w:r>
      <w:r w:rsidR="004949A0" w:rsidRPr="000440DB">
        <w:rPr>
          <w:lang w:val="en-GB"/>
        </w:rPr>
        <w:t xml:space="preserve"> </w:t>
      </w:r>
      <w:r w:rsidR="00F03F11" w:rsidRPr="000440DB">
        <w:rPr>
          <w:rFonts w:cstheme="minorHAnsi"/>
          <w:lang w:val="en-GB"/>
        </w:rPr>
        <w:t>We</w:t>
      </w:r>
      <w:r w:rsidR="00F5225E" w:rsidRPr="000440DB">
        <w:rPr>
          <w:rFonts w:cstheme="minorHAnsi"/>
          <w:lang w:val="en-GB"/>
        </w:rPr>
        <w:t xml:space="preserve"> often find</w:t>
      </w:r>
      <w:r w:rsidR="004949A0" w:rsidRPr="000440DB">
        <w:rPr>
          <w:rFonts w:cstheme="minorHAnsi"/>
          <w:lang w:val="en-GB"/>
        </w:rPr>
        <w:t xml:space="preserve"> that definitions </w:t>
      </w:r>
      <w:r w:rsidR="00F5225E" w:rsidRPr="000440DB">
        <w:rPr>
          <w:rFonts w:cstheme="minorHAnsi"/>
          <w:lang w:val="en-GB"/>
        </w:rPr>
        <w:t xml:space="preserve">of terrorism </w:t>
      </w:r>
      <w:r w:rsidR="004949A0" w:rsidRPr="000440DB">
        <w:rPr>
          <w:rFonts w:cstheme="minorHAnsi"/>
          <w:lang w:val="en-GB"/>
        </w:rPr>
        <w:t>are overly broad and vague</w:t>
      </w:r>
      <w:r w:rsidR="006A75F2" w:rsidRPr="000440DB">
        <w:rPr>
          <w:rFonts w:cstheme="minorHAnsi"/>
          <w:lang w:val="en-GB"/>
        </w:rPr>
        <w:t xml:space="preserve"> and </w:t>
      </w:r>
      <w:r w:rsidR="00053A90" w:rsidRPr="000440DB">
        <w:rPr>
          <w:rFonts w:cstheme="minorHAnsi"/>
          <w:lang w:val="en-GB"/>
        </w:rPr>
        <w:t>do not comply with the principle of legality</w:t>
      </w:r>
      <w:r w:rsidR="00276797" w:rsidRPr="000440DB">
        <w:rPr>
          <w:rFonts w:cstheme="minorHAnsi"/>
          <w:lang w:val="en-GB"/>
        </w:rPr>
        <w:t xml:space="preserve">, which implies that </w:t>
      </w:r>
      <w:r w:rsidR="00276797" w:rsidRPr="000440DB">
        <w:rPr>
          <w:rFonts w:eastAsia="Times New Roman" w:cstheme="minorHAnsi"/>
          <w:lang w:val="en-GB" w:eastAsia="en-GB"/>
        </w:rPr>
        <w:t>offences are defined with</w:t>
      </w:r>
      <w:r w:rsidR="00276797" w:rsidRPr="000440DB">
        <w:rPr>
          <w:rFonts w:eastAsia="Times New Roman" w:cstheme="minorHAnsi"/>
          <w:lang w:eastAsia="en-GB"/>
        </w:rPr>
        <w:t xml:space="preserve"> clear and</w:t>
      </w:r>
      <w:r w:rsidR="00276797" w:rsidRPr="000440DB">
        <w:rPr>
          <w:rFonts w:eastAsia="Times New Roman" w:cstheme="minorHAnsi"/>
          <w:lang w:val="en-GB" w:eastAsia="en-GB"/>
        </w:rPr>
        <w:t xml:space="preserve"> </w:t>
      </w:r>
      <w:r w:rsidR="00276797" w:rsidRPr="000440DB">
        <w:rPr>
          <w:rFonts w:eastAsia="Times New Roman" w:cstheme="minorHAnsi"/>
          <w:lang w:eastAsia="en-GB"/>
        </w:rPr>
        <w:t xml:space="preserve">precise provisions, so as to respect the principle of </w:t>
      </w:r>
      <w:r w:rsidR="00E422E8" w:rsidRPr="000440DB">
        <w:rPr>
          <w:rFonts w:eastAsia="Times New Roman" w:cstheme="minorHAnsi"/>
          <w:lang w:val="en-GB" w:eastAsia="en-GB"/>
        </w:rPr>
        <w:t xml:space="preserve">legal </w:t>
      </w:r>
      <w:r w:rsidR="00276797" w:rsidRPr="000440DB">
        <w:rPr>
          <w:rFonts w:eastAsia="Times New Roman" w:cstheme="minorHAnsi"/>
          <w:lang w:eastAsia="en-GB"/>
        </w:rPr>
        <w:t>certainty and</w:t>
      </w:r>
      <w:r w:rsidR="00276797" w:rsidRPr="000440DB">
        <w:rPr>
          <w:rFonts w:eastAsia="Times New Roman" w:cstheme="minorHAnsi"/>
          <w:lang w:val="en-GB" w:eastAsia="en-GB"/>
        </w:rPr>
        <w:t xml:space="preserve"> </w:t>
      </w:r>
      <w:r w:rsidR="00276797" w:rsidRPr="000440DB">
        <w:rPr>
          <w:rFonts w:eastAsia="Times New Roman" w:cstheme="minorHAnsi"/>
          <w:lang w:eastAsia="en-GB"/>
        </w:rPr>
        <w:t>ensure that it is not subject to interpretation which would unduly broaden</w:t>
      </w:r>
      <w:r w:rsidR="00276797" w:rsidRPr="000440DB">
        <w:rPr>
          <w:rFonts w:eastAsia="Times New Roman" w:cstheme="minorHAnsi"/>
          <w:lang w:val="en-GB" w:eastAsia="en-GB"/>
        </w:rPr>
        <w:t xml:space="preserve"> </w:t>
      </w:r>
      <w:r w:rsidR="00276797" w:rsidRPr="000440DB">
        <w:rPr>
          <w:rFonts w:eastAsia="Times New Roman" w:cstheme="minorHAnsi"/>
          <w:lang w:eastAsia="en-GB"/>
        </w:rPr>
        <w:t>the scope of the proscribed conduct</w:t>
      </w:r>
      <w:r w:rsidR="004949A0" w:rsidRPr="000440DB">
        <w:rPr>
          <w:rFonts w:cstheme="minorHAnsi"/>
          <w:lang w:val="en-GB"/>
        </w:rPr>
        <w:t xml:space="preserve">. </w:t>
      </w:r>
      <w:r w:rsidR="00145966" w:rsidRPr="000440DB">
        <w:rPr>
          <w:rFonts w:cstheme="minorHAnsi"/>
          <w:lang w:val="en-GB"/>
        </w:rPr>
        <w:t>For this Mandate, there is therefore a very strong link between the principle of legal certainty and the question of “in accordance with the law”.</w:t>
      </w:r>
      <w:r w:rsidR="00145966" w:rsidRPr="00276797">
        <w:rPr>
          <w:rFonts w:cstheme="minorHAnsi"/>
          <w:lang w:val="en-GB"/>
        </w:rPr>
        <w:t xml:space="preserve"> </w:t>
      </w:r>
    </w:p>
    <w:p w14:paraId="006448C1" w14:textId="77777777" w:rsidR="00145966" w:rsidRDefault="00145966" w:rsidP="00640786">
      <w:pPr>
        <w:jc w:val="both"/>
        <w:rPr>
          <w:rFonts w:cstheme="minorHAnsi"/>
          <w:lang w:val="en-GB"/>
        </w:rPr>
      </w:pPr>
    </w:p>
    <w:p w14:paraId="3B83AB4D" w14:textId="256CE910" w:rsidR="004949A0" w:rsidRPr="003C3A74" w:rsidRDefault="003C3A74" w:rsidP="00640786">
      <w:pPr>
        <w:jc w:val="both"/>
        <w:rPr>
          <w:rFonts w:eastAsia="Times New Roman" w:cstheme="minorHAnsi"/>
          <w:lang w:eastAsia="en-GB"/>
        </w:rPr>
      </w:pPr>
      <w:r>
        <w:rPr>
          <w:rFonts w:cstheme="minorHAnsi"/>
          <w:lang w:val="en-GB"/>
        </w:rPr>
        <w:t>According to</w:t>
      </w:r>
      <w:r w:rsidRPr="00106638">
        <w:rPr>
          <w:rFonts w:cstheme="minorHAnsi"/>
          <w:lang w:val="en-GB"/>
        </w:rPr>
        <w:t xml:space="preserve"> the UN High Commissioner for Human Rights, “</w:t>
      </w:r>
      <w:r w:rsidRPr="00106638">
        <w:rPr>
          <w:rFonts w:eastAsia="Times New Roman" w:cstheme="minorHAnsi"/>
          <w:lang w:eastAsia="en-GB"/>
        </w:rPr>
        <w:t>the nature of the offence and the category of persons that may be subjected to</w:t>
      </w:r>
      <w:r w:rsidRPr="00106638">
        <w:rPr>
          <w:rFonts w:eastAsia="Times New Roman" w:cstheme="minorHAnsi"/>
          <w:lang w:val="en-GB" w:eastAsia="en-GB"/>
        </w:rPr>
        <w:t xml:space="preserve"> </w:t>
      </w:r>
      <w:r w:rsidRPr="00106638">
        <w:rPr>
          <w:rFonts w:eastAsia="Times New Roman" w:cstheme="minorHAnsi"/>
          <w:lang w:eastAsia="en-GB"/>
        </w:rPr>
        <w:t>surveillance must be described. Vague and overbroad justifications</w:t>
      </w:r>
      <w:r w:rsidRPr="00106638">
        <w:rPr>
          <w:rFonts w:eastAsia="Times New Roman" w:cstheme="minorHAnsi"/>
          <w:lang w:val="en-GB" w:eastAsia="en-GB"/>
        </w:rPr>
        <w:t xml:space="preserve"> (…) </w:t>
      </w:r>
      <w:r w:rsidRPr="00106638">
        <w:rPr>
          <w:rFonts w:eastAsia="Times New Roman" w:cstheme="minorHAnsi"/>
          <w:lang w:eastAsia="en-GB"/>
        </w:rPr>
        <w:t>do not qualify as adequately clear laws</w:t>
      </w:r>
      <w:r w:rsidRPr="00106638">
        <w:rPr>
          <w:rFonts w:eastAsia="Times New Roman" w:cstheme="minorHAnsi"/>
          <w:lang w:val="en-GB" w:eastAsia="en-GB"/>
        </w:rPr>
        <w:t>”</w:t>
      </w:r>
      <w:r>
        <w:rPr>
          <w:rFonts w:eastAsia="Times New Roman" w:cstheme="minorHAnsi"/>
          <w:lang w:val="en-GB" w:eastAsia="en-GB"/>
        </w:rPr>
        <w:t>.</w:t>
      </w:r>
      <w:r>
        <w:rPr>
          <w:rStyle w:val="FootnoteReference"/>
          <w:rFonts w:eastAsia="Times New Roman" w:cstheme="minorHAnsi"/>
          <w:lang w:val="en-GB" w:eastAsia="en-GB"/>
        </w:rPr>
        <w:footnoteReference w:id="3"/>
      </w:r>
      <w:r w:rsidRPr="00106638">
        <w:rPr>
          <w:rFonts w:eastAsia="Times New Roman" w:cstheme="minorHAnsi"/>
          <w:lang w:eastAsia="en-GB"/>
        </w:rPr>
        <w:t xml:space="preserve"> </w:t>
      </w:r>
      <w:r>
        <w:rPr>
          <w:lang w:val="en-GB"/>
        </w:rPr>
        <w:t xml:space="preserve"> </w:t>
      </w:r>
    </w:p>
    <w:p w14:paraId="08C4D3C5" w14:textId="01FCD15C" w:rsidR="003C3A74" w:rsidRDefault="003C3A74" w:rsidP="00640786">
      <w:pPr>
        <w:jc w:val="both"/>
        <w:rPr>
          <w:rFonts w:cstheme="minorHAnsi"/>
          <w:lang w:val="en-GB"/>
        </w:rPr>
      </w:pPr>
    </w:p>
    <w:p w14:paraId="4E4E0060" w14:textId="1D58D84B" w:rsidR="00106638" w:rsidRDefault="006A75F2" w:rsidP="00640786">
      <w:pPr>
        <w:jc w:val="both"/>
        <w:rPr>
          <w:lang w:val="en-GB"/>
        </w:rPr>
      </w:pPr>
      <w:r>
        <w:rPr>
          <w:lang w:val="en-GB"/>
        </w:rPr>
        <w:t>We note</w:t>
      </w:r>
      <w:r w:rsidR="004949A0">
        <w:rPr>
          <w:lang w:val="en-GB"/>
        </w:rPr>
        <w:t xml:space="preserve"> that </w:t>
      </w:r>
      <w:r w:rsidR="00494DEF">
        <w:rPr>
          <w:lang w:val="en-GB"/>
        </w:rPr>
        <w:t xml:space="preserve">the </w:t>
      </w:r>
      <w:r w:rsidR="00F03F11">
        <w:rPr>
          <w:lang w:val="en-GB"/>
        </w:rPr>
        <w:t xml:space="preserve">collection of content information </w:t>
      </w:r>
      <w:r>
        <w:rPr>
          <w:lang w:val="en-GB"/>
        </w:rPr>
        <w:t xml:space="preserve">in Poland is allowed </w:t>
      </w:r>
      <w:r w:rsidR="004949A0">
        <w:rPr>
          <w:lang w:val="en-GB"/>
        </w:rPr>
        <w:t xml:space="preserve">under </w:t>
      </w:r>
      <w:r w:rsidR="00106638">
        <w:rPr>
          <w:lang w:val="en-GB"/>
        </w:rPr>
        <w:t>the Counter-Terrorism Law against “foreigners suspected of terrorist activity”</w:t>
      </w:r>
      <w:r w:rsidR="00F03F11">
        <w:rPr>
          <w:lang w:val="en-GB"/>
        </w:rPr>
        <w:t xml:space="preserve">. Article </w:t>
      </w:r>
      <w:r w:rsidR="004949A0">
        <w:rPr>
          <w:lang w:val="en-GB"/>
        </w:rPr>
        <w:t>20 of the Police Act</w:t>
      </w:r>
      <w:r w:rsidR="00106638">
        <w:rPr>
          <w:lang w:val="en-GB"/>
        </w:rPr>
        <w:t xml:space="preserve"> </w:t>
      </w:r>
      <w:r w:rsidR="004949A0">
        <w:rPr>
          <w:lang w:val="en-GB"/>
        </w:rPr>
        <w:t>allows the collection of metadata for the broad purpose</w:t>
      </w:r>
      <w:r w:rsidR="00F03F11">
        <w:rPr>
          <w:lang w:val="en-GB"/>
        </w:rPr>
        <w:t>s</w:t>
      </w:r>
      <w:r w:rsidR="004949A0">
        <w:rPr>
          <w:lang w:val="en-GB"/>
        </w:rPr>
        <w:t xml:space="preserve"> of </w:t>
      </w:r>
      <w:r w:rsidR="00696934">
        <w:rPr>
          <w:lang w:val="en-GB"/>
        </w:rPr>
        <w:t xml:space="preserve">the </w:t>
      </w:r>
      <w:r w:rsidR="004949A0">
        <w:rPr>
          <w:lang w:val="en-GB"/>
        </w:rPr>
        <w:t>“prevent</w:t>
      </w:r>
      <w:r w:rsidR="00696934">
        <w:rPr>
          <w:lang w:val="en-GB"/>
        </w:rPr>
        <w:t>ion</w:t>
      </w:r>
      <w:r w:rsidR="004949A0">
        <w:rPr>
          <w:lang w:val="en-GB"/>
        </w:rPr>
        <w:t xml:space="preserve"> or detect</w:t>
      </w:r>
      <w:r w:rsidR="00696934">
        <w:rPr>
          <w:lang w:val="en-GB"/>
        </w:rPr>
        <w:t>ion of</w:t>
      </w:r>
      <w:r w:rsidR="004949A0">
        <w:rPr>
          <w:lang w:val="en-GB"/>
        </w:rPr>
        <w:t xml:space="preserve"> crimes or in order to save human life and health”. </w:t>
      </w:r>
      <w:r w:rsidR="000A1365">
        <w:rPr>
          <w:lang w:val="en-GB"/>
        </w:rPr>
        <w:t xml:space="preserve"> </w:t>
      </w:r>
      <w:r w:rsidR="004949A0">
        <w:rPr>
          <w:lang w:val="en-GB"/>
        </w:rPr>
        <w:t xml:space="preserve">Although not specifically referred to in the law, we understand this broad concept to include the objective of countering terrorism, which is often the primary reason put forward by </w:t>
      </w:r>
      <w:r w:rsidR="005D7A7B">
        <w:rPr>
          <w:lang w:val="en-GB"/>
        </w:rPr>
        <w:t>States</w:t>
      </w:r>
      <w:r w:rsidR="004949A0">
        <w:rPr>
          <w:lang w:val="en-GB"/>
        </w:rPr>
        <w:t xml:space="preserve"> to adopt secret surveillance measures and collect metadata. </w:t>
      </w:r>
    </w:p>
    <w:p w14:paraId="43BC13F4" w14:textId="77777777" w:rsidR="004949A0" w:rsidRDefault="004949A0" w:rsidP="00640786">
      <w:pPr>
        <w:jc w:val="both"/>
        <w:rPr>
          <w:lang w:val="en-GB"/>
        </w:rPr>
      </w:pPr>
    </w:p>
    <w:p w14:paraId="3CB3865B" w14:textId="2F2C5C24" w:rsidR="00722D37" w:rsidRPr="005D7A7B" w:rsidRDefault="004949A0" w:rsidP="00640786">
      <w:pPr>
        <w:jc w:val="both"/>
        <w:rPr>
          <w:lang w:val="en-GB"/>
        </w:rPr>
      </w:pPr>
      <w:r>
        <w:rPr>
          <w:lang w:val="en-GB"/>
        </w:rPr>
        <w:t xml:space="preserve">In this respect, we refer </w:t>
      </w:r>
      <w:r w:rsidR="00BD4290">
        <w:rPr>
          <w:lang w:val="en-GB"/>
        </w:rPr>
        <w:t>to the</w:t>
      </w:r>
      <w:r w:rsidR="00106638">
        <w:rPr>
          <w:lang w:val="en-GB"/>
        </w:rPr>
        <w:t xml:space="preserve"> </w:t>
      </w:r>
      <w:r>
        <w:rPr>
          <w:lang w:val="en-GB"/>
        </w:rPr>
        <w:t>UN Human Rights Committee</w:t>
      </w:r>
      <w:r w:rsidR="00BD4290">
        <w:rPr>
          <w:lang w:val="en-GB"/>
        </w:rPr>
        <w:t>’s concerns</w:t>
      </w:r>
      <w:r w:rsidR="003C3A74">
        <w:rPr>
          <w:lang w:val="en-GB"/>
        </w:rPr>
        <w:t>,</w:t>
      </w:r>
      <w:r w:rsidR="00276797">
        <w:rPr>
          <w:rStyle w:val="FootnoteReference"/>
          <w:lang w:val="en-GB"/>
        </w:rPr>
        <w:footnoteReference w:id="4"/>
      </w:r>
      <w:r w:rsidR="00722D37">
        <w:rPr>
          <w:lang w:val="en-GB"/>
        </w:rPr>
        <w:t xml:space="preserve"> </w:t>
      </w:r>
      <w:r w:rsidR="00BD4290">
        <w:rPr>
          <w:lang w:val="en-GB"/>
        </w:rPr>
        <w:t>that the</w:t>
      </w:r>
      <w:r>
        <w:rPr>
          <w:lang w:val="en-GB"/>
        </w:rPr>
        <w:t xml:space="preserve"> definition of “terrorist crime” </w:t>
      </w:r>
      <w:r w:rsidR="00BD4290">
        <w:rPr>
          <w:lang w:val="en-GB"/>
        </w:rPr>
        <w:t xml:space="preserve">in the </w:t>
      </w:r>
      <w:r w:rsidR="00E422E8">
        <w:rPr>
          <w:lang w:val="en-GB"/>
        </w:rPr>
        <w:t xml:space="preserve">Polish </w:t>
      </w:r>
      <w:r w:rsidR="00BD4290">
        <w:rPr>
          <w:lang w:val="en-GB"/>
        </w:rPr>
        <w:t xml:space="preserve">Penal Code </w:t>
      </w:r>
      <w:r>
        <w:rPr>
          <w:lang w:val="en-GB"/>
        </w:rPr>
        <w:t>is overly broad and does not adequately define the nature and the consequences of the act concerned</w:t>
      </w:r>
      <w:r w:rsidR="00E422E8">
        <w:rPr>
          <w:lang w:val="en-GB"/>
        </w:rPr>
        <w:t xml:space="preserve">. Moreover, the Committee found </w:t>
      </w:r>
      <w:r w:rsidR="00BD4290">
        <w:rPr>
          <w:lang w:val="en-GB"/>
        </w:rPr>
        <w:t xml:space="preserve">that </w:t>
      </w:r>
      <w:r>
        <w:rPr>
          <w:lang w:val="en-GB"/>
        </w:rPr>
        <w:t xml:space="preserve">the notion of “terrorist incident” in the </w:t>
      </w:r>
      <w:r w:rsidR="003C3A74">
        <w:rPr>
          <w:lang w:val="en-GB"/>
        </w:rPr>
        <w:t>C</w:t>
      </w:r>
      <w:r>
        <w:rPr>
          <w:lang w:val="en-GB"/>
        </w:rPr>
        <w:t>ounter</w:t>
      </w:r>
      <w:r w:rsidR="003C3A74">
        <w:rPr>
          <w:lang w:val="en-GB"/>
        </w:rPr>
        <w:t>-T</w:t>
      </w:r>
      <w:r>
        <w:rPr>
          <w:lang w:val="en-GB"/>
        </w:rPr>
        <w:t>errorism law is broad and imprecise</w:t>
      </w:r>
      <w:r w:rsidR="00722D37">
        <w:rPr>
          <w:lang w:val="en-GB"/>
        </w:rPr>
        <w:t xml:space="preserve">. </w:t>
      </w:r>
      <w:r w:rsidR="00722D37" w:rsidRPr="005D7A7B">
        <w:rPr>
          <w:lang w:val="en-GB"/>
        </w:rPr>
        <w:t xml:space="preserve">These </w:t>
      </w:r>
      <w:r w:rsidR="004433E1" w:rsidRPr="005D7A7B">
        <w:rPr>
          <w:lang w:val="en-GB"/>
        </w:rPr>
        <w:t>concerns are shared by the Special Rapporteur</w:t>
      </w:r>
      <w:r w:rsidRPr="005D7A7B">
        <w:rPr>
          <w:lang w:val="en-GB"/>
        </w:rPr>
        <w:t>.</w:t>
      </w:r>
      <w:r w:rsidR="00722D37" w:rsidRPr="005D7A7B">
        <w:rPr>
          <w:lang w:val="en-GB"/>
        </w:rPr>
        <w:t xml:space="preserve"> </w:t>
      </w:r>
    </w:p>
    <w:p w14:paraId="0EF60CC8" w14:textId="77777777" w:rsidR="00722D37" w:rsidRDefault="00722D37" w:rsidP="00640786">
      <w:pPr>
        <w:jc w:val="both"/>
        <w:rPr>
          <w:lang w:val="en-GB"/>
        </w:rPr>
      </w:pPr>
    </w:p>
    <w:p w14:paraId="01ACBAAB" w14:textId="77777777" w:rsidR="000A1365" w:rsidRDefault="006E2ADD" w:rsidP="00640786">
      <w:pPr>
        <w:jc w:val="both"/>
        <w:rPr>
          <w:lang w:val="en-GB"/>
        </w:rPr>
      </w:pPr>
      <w:r>
        <w:rPr>
          <w:lang w:val="en-GB"/>
        </w:rPr>
        <w:t>T</w:t>
      </w:r>
      <w:r w:rsidR="004949A0">
        <w:rPr>
          <w:lang w:val="en-GB"/>
        </w:rPr>
        <w:t xml:space="preserve">he lack of clarity as to the definitions </w:t>
      </w:r>
      <w:r w:rsidR="00106638">
        <w:rPr>
          <w:lang w:val="en-GB"/>
        </w:rPr>
        <w:t xml:space="preserve">of terrorism </w:t>
      </w:r>
      <w:r w:rsidR="004949A0">
        <w:rPr>
          <w:lang w:val="en-GB"/>
        </w:rPr>
        <w:t xml:space="preserve">carries two main risks. </w:t>
      </w:r>
    </w:p>
    <w:p w14:paraId="44F00925" w14:textId="77777777" w:rsidR="000A1365" w:rsidRDefault="000A1365" w:rsidP="00640786">
      <w:pPr>
        <w:jc w:val="both"/>
        <w:rPr>
          <w:lang w:val="en-GB"/>
        </w:rPr>
      </w:pPr>
    </w:p>
    <w:p w14:paraId="3808F30A" w14:textId="53D79A35" w:rsidR="000A1365" w:rsidRDefault="004949A0" w:rsidP="00640786">
      <w:pPr>
        <w:jc w:val="both"/>
        <w:rPr>
          <w:lang w:val="en-GB"/>
        </w:rPr>
      </w:pPr>
      <w:r>
        <w:rPr>
          <w:lang w:val="en-GB"/>
        </w:rPr>
        <w:t xml:space="preserve">One, that laws that refer to these terms directly or indirectly as the basis for the use of special powers – such as secret surveillance </w:t>
      </w:r>
      <w:r w:rsidR="007A6548">
        <w:rPr>
          <w:lang w:val="en-GB"/>
        </w:rPr>
        <w:t xml:space="preserve">of content </w:t>
      </w:r>
      <w:r>
        <w:rPr>
          <w:lang w:val="en-GB"/>
        </w:rPr>
        <w:t xml:space="preserve">and the collection of metadata – can be applied to an overly broad range of persons. </w:t>
      </w:r>
      <w:r w:rsidR="00696934">
        <w:rPr>
          <w:lang w:val="en-GB"/>
        </w:rPr>
        <w:t xml:space="preserve">This point is even more resonant in the context </w:t>
      </w:r>
      <w:r w:rsidR="00696934">
        <w:rPr>
          <w:lang w:val="en-GB"/>
        </w:rPr>
        <w:lastRenderedPageBreak/>
        <w:t xml:space="preserve">of the use of such powers to prevent acts of terrorism, </w:t>
      </w:r>
      <w:r w:rsidR="00E422E8">
        <w:rPr>
          <w:lang w:val="en-GB"/>
        </w:rPr>
        <w:t>which involves</w:t>
      </w:r>
      <w:r w:rsidR="00696934">
        <w:rPr>
          <w:lang w:val="en-GB"/>
        </w:rPr>
        <w:t xml:space="preserve"> apply</w:t>
      </w:r>
      <w:r w:rsidR="00E422E8">
        <w:rPr>
          <w:lang w:val="en-GB"/>
        </w:rPr>
        <w:t>ing</w:t>
      </w:r>
      <w:r w:rsidR="00696934">
        <w:rPr>
          <w:lang w:val="en-GB"/>
        </w:rPr>
        <w:t xml:space="preserve"> such powers regarding possible future events. </w:t>
      </w:r>
    </w:p>
    <w:p w14:paraId="75B46DC0" w14:textId="77777777" w:rsidR="000A1365" w:rsidRPr="000440DB" w:rsidRDefault="000A1365" w:rsidP="00640786">
      <w:pPr>
        <w:jc w:val="both"/>
        <w:rPr>
          <w:lang w:val="en-GB"/>
        </w:rPr>
      </w:pPr>
    </w:p>
    <w:p w14:paraId="57CF03E6" w14:textId="4A609156" w:rsidR="00494DEF" w:rsidRPr="000440DB" w:rsidRDefault="004949A0" w:rsidP="00640786">
      <w:pPr>
        <w:jc w:val="both"/>
        <w:rPr>
          <w:lang w:val="en-GB"/>
        </w:rPr>
      </w:pPr>
      <w:r w:rsidRPr="000440DB">
        <w:rPr>
          <w:lang w:val="en-GB"/>
        </w:rPr>
        <w:t>Two, that because overly broad and vague definitions also give broad discretion to those in charge of using them, any control or review of the proportionality of the</w:t>
      </w:r>
      <w:r w:rsidR="006E2ADD" w:rsidRPr="000440DB">
        <w:rPr>
          <w:lang w:val="en-GB"/>
        </w:rPr>
        <w:t xml:space="preserve">ir </w:t>
      </w:r>
      <w:r w:rsidRPr="000440DB">
        <w:rPr>
          <w:lang w:val="en-GB"/>
        </w:rPr>
        <w:t xml:space="preserve">use is also, </w:t>
      </w:r>
      <w:r w:rsidR="00696934" w:rsidRPr="000440DB">
        <w:rPr>
          <w:lang w:val="en-GB"/>
        </w:rPr>
        <w:t>as a consequence</w:t>
      </w:r>
      <w:r w:rsidRPr="000440DB">
        <w:rPr>
          <w:lang w:val="en-GB"/>
        </w:rPr>
        <w:t xml:space="preserve">, limited. </w:t>
      </w:r>
    </w:p>
    <w:p w14:paraId="05187C1C" w14:textId="77777777" w:rsidR="00494DEF" w:rsidRDefault="00494DEF" w:rsidP="00640786">
      <w:pPr>
        <w:jc w:val="both"/>
        <w:rPr>
          <w:lang w:val="en-GB"/>
        </w:rPr>
      </w:pPr>
    </w:p>
    <w:p w14:paraId="221B77D9" w14:textId="4002B054" w:rsidR="004949A0" w:rsidRDefault="004949A0" w:rsidP="00640786">
      <w:pPr>
        <w:jc w:val="both"/>
        <w:rPr>
          <w:lang w:val="en-GB"/>
        </w:rPr>
      </w:pPr>
      <w:r>
        <w:rPr>
          <w:lang w:val="en-GB"/>
        </w:rPr>
        <w:t>In sum, where the starting point of the application of special powers</w:t>
      </w:r>
      <w:r w:rsidR="00106638">
        <w:rPr>
          <w:lang w:val="en-GB"/>
        </w:rPr>
        <w:t xml:space="preserve"> is ambiguous (such as an unclear definition of terrorism)</w:t>
      </w:r>
      <w:r>
        <w:rPr>
          <w:lang w:val="en-GB"/>
        </w:rPr>
        <w:t>, there is scope for abuse of power.</w:t>
      </w:r>
      <w:r w:rsidR="00696934">
        <w:rPr>
          <w:lang w:val="en-GB"/>
        </w:rPr>
        <w:t xml:space="preserve"> </w:t>
      </w:r>
      <w:r w:rsidR="00494DEF">
        <w:rPr>
          <w:lang w:val="en-GB"/>
        </w:rPr>
        <w:t xml:space="preserve">It is the view of the </w:t>
      </w:r>
      <w:r w:rsidR="000A1365">
        <w:rPr>
          <w:lang w:val="en-GB"/>
        </w:rPr>
        <w:t>M</w:t>
      </w:r>
      <w:r w:rsidR="00494DEF">
        <w:rPr>
          <w:lang w:val="en-GB"/>
        </w:rPr>
        <w:t xml:space="preserve">andate that the grounds upon which </w:t>
      </w:r>
      <w:r w:rsidR="000A0ACE">
        <w:rPr>
          <w:lang w:val="en-GB"/>
        </w:rPr>
        <w:t>secret surveillance</w:t>
      </w:r>
      <w:r w:rsidR="00494DEF">
        <w:rPr>
          <w:lang w:val="en-GB"/>
        </w:rPr>
        <w:t xml:space="preserve"> can be authorised </w:t>
      </w:r>
      <w:r w:rsidR="00115FD3">
        <w:rPr>
          <w:lang w:val="en-GB"/>
        </w:rPr>
        <w:t>must be very tightly and</w:t>
      </w:r>
      <w:r w:rsidR="00494DEF">
        <w:rPr>
          <w:lang w:val="en-GB"/>
        </w:rPr>
        <w:t xml:space="preserve"> sufficiently circumscribed</w:t>
      </w:r>
      <w:r w:rsidR="00994D51">
        <w:rPr>
          <w:lang w:val="en-GB"/>
        </w:rPr>
        <w:t>, particularly when the notion of terrorism is involved</w:t>
      </w:r>
      <w:r w:rsidR="00494DEF">
        <w:rPr>
          <w:lang w:val="en-GB"/>
        </w:rPr>
        <w:t>.</w:t>
      </w:r>
    </w:p>
    <w:p w14:paraId="5378C20C" w14:textId="77777777" w:rsidR="004949A0" w:rsidRDefault="004949A0" w:rsidP="00640786">
      <w:pPr>
        <w:jc w:val="both"/>
        <w:rPr>
          <w:lang w:val="en-GB"/>
        </w:rPr>
      </w:pPr>
    </w:p>
    <w:p w14:paraId="1485AC51" w14:textId="46DCD6E3" w:rsidR="004949A0" w:rsidRPr="00795578" w:rsidRDefault="00BD4290" w:rsidP="00640786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>
        <w:rPr>
          <w:b/>
          <w:bCs/>
          <w:lang w:val="en-GB"/>
        </w:rPr>
        <w:t>P</w:t>
      </w:r>
      <w:r w:rsidR="004949A0" w:rsidRPr="00795578">
        <w:rPr>
          <w:b/>
          <w:bCs/>
          <w:lang w:val="en-GB"/>
        </w:rPr>
        <w:t xml:space="preserve">rocedural safeguards </w:t>
      </w:r>
    </w:p>
    <w:p w14:paraId="7C1C1B74" w14:textId="77777777" w:rsidR="00696934" w:rsidRDefault="00696934" w:rsidP="00640786">
      <w:pPr>
        <w:jc w:val="both"/>
        <w:rPr>
          <w:lang w:val="en-GB"/>
        </w:rPr>
      </w:pPr>
    </w:p>
    <w:p w14:paraId="1881A037" w14:textId="6A4F4F9E" w:rsidR="000A1365" w:rsidRDefault="006E2ADD" w:rsidP="00640786">
      <w:pPr>
        <w:jc w:val="both"/>
        <w:rPr>
          <w:lang w:val="en-GB"/>
        </w:rPr>
      </w:pPr>
      <w:r w:rsidRPr="006E2ADD">
        <w:rPr>
          <w:lang w:val="en-GB"/>
        </w:rPr>
        <w:t xml:space="preserve">Allow me now to turn to the issue of procedural safeguards. </w:t>
      </w:r>
      <w:r w:rsidR="00696934">
        <w:rPr>
          <w:lang w:val="en-GB"/>
        </w:rPr>
        <w:t>Given the well-trodden and demonstrated risks to the right to privacy</w:t>
      </w:r>
      <w:r>
        <w:rPr>
          <w:lang w:val="en-GB"/>
        </w:rPr>
        <w:t xml:space="preserve"> as</w:t>
      </w:r>
      <w:r w:rsidR="00696934">
        <w:rPr>
          <w:lang w:val="en-GB"/>
        </w:rPr>
        <w:t xml:space="preserve"> recognised by this Court</w:t>
      </w:r>
      <w:r w:rsidR="003C3A74">
        <w:rPr>
          <w:lang w:val="en-GB"/>
        </w:rPr>
        <w:t>,</w:t>
      </w:r>
      <w:r w:rsidR="003C3A74">
        <w:rPr>
          <w:rStyle w:val="FootnoteReference"/>
          <w:lang w:val="en-GB"/>
        </w:rPr>
        <w:footnoteReference w:id="5"/>
      </w:r>
      <w:r w:rsidR="00696934">
        <w:rPr>
          <w:lang w:val="en-GB"/>
        </w:rPr>
        <w:t xml:space="preserve"> but also to fundamental freedoms</w:t>
      </w:r>
      <w:r w:rsidR="004433E1">
        <w:rPr>
          <w:lang w:val="en-GB"/>
        </w:rPr>
        <w:t xml:space="preserve">, </w:t>
      </w:r>
      <w:r w:rsidR="00696934">
        <w:rPr>
          <w:lang w:val="en-GB"/>
        </w:rPr>
        <w:t>the mandate of the S</w:t>
      </w:r>
      <w:r w:rsidR="00E12EC5">
        <w:rPr>
          <w:lang w:val="en-GB"/>
        </w:rPr>
        <w:t xml:space="preserve">pecial </w:t>
      </w:r>
      <w:r w:rsidR="00696934">
        <w:rPr>
          <w:lang w:val="en-GB"/>
        </w:rPr>
        <w:t>R</w:t>
      </w:r>
      <w:r w:rsidR="00E12EC5">
        <w:rPr>
          <w:lang w:val="en-GB"/>
        </w:rPr>
        <w:t>apporteur</w:t>
      </w:r>
      <w:r w:rsidR="00696934">
        <w:rPr>
          <w:lang w:val="en-GB"/>
        </w:rPr>
        <w:t xml:space="preserve"> does not make a distinction between the secret collection and treatment of </w:t>
      </w:r>
      <w:r w:rsidR="00115FD3">
        <w:rPr>
          <w:lang w:val="en-GB"/>
        </w:rPr>
        <w:t>content</w:t>
      </w:r>
      <w:r w:rsidR="00696934">
        <w:rPr>
          <w:lang w:val="en-GB"/>
        </w:rPr>
        <w:t xml:space="preserve"> information or </w:t>
      </w:r>
      <w:r w:rsidR="004A338A">
        <w:rPr>
          <w:lang w:val="en-GB"/>
        </w:rPr>
        <w:t xml:space="preserve">of </w:t>
      </w:r>
      <w:r w:rsidR="00696934">
        <w:rPr>
          <w:lang w:val="en-GB"/>
        </w:rPr>
        <w:t>metadata</w:t>
      </w:r>
      <w:r w:rsidR="00795578">
        <w:rPr>
          <w:lang w:val="en-GB"/>
        </w:rPr>
        <w:t xml:space="preserve">. </w:t>
      </w:r>
    </w:p>
    <w:p w14:paraId="5E89059F" w14:textId="77777777" w:rsidR="000A1365" w:rsidRDefault="000A1365" w:rsidP="00640786">
      <w:pPr>
        <w:jc w:val="both"/>
        <w:rPr>
          <w:lang w:val="en-GB"/>
        </w:rPr>
      </w:pPr>
    </w:p>
    <w:p w14:paraId="283F7E64" w14:textId="5DEBA5DE" w:rsidR="004A2D33" w:rsidRPr="000440DB" w:rsidRDefault="006E2ADD" w:rsidP="00640786">
      <w:pPr>
        <w:jc w:val="both"/>
        <w:rPr>
          <w:lang w:val="en-GB"/>
        </w:rPr>
      </w:pPr>
      <w:r w:rsidRPr="000440DB">
        <w:rPr>
          <w:lang w:val="en-GB"/>
        </w:rPr>
        <w:t>In both cases, h</w:t>
      </w:r>
      <w:r w:rsidR="004433E1" w:rsidRPr="000440DB">
        <w:rPr>
          <w:lang w:val="en-GB"/>
        </w:rPr>
        <w:t>uman rights compliance of the measures has to be assessed at every stage of data usage</w:t>
      </w:r>
      <w:r w:rsidR="00BD4290" w:rsidRPr="000440DB">
        <w:rPr>
          <w:lang w:val="en-GB"/>
        </w:rPr>
        <w:t xml:space="preserve">. This </w:t>
      </w:r>
      <w:r w:rsidR="004A2D33" w:rsidRPr="000440DB">
        <w:rPr>
          <w:lang w:val="en-GB"/>
        </w:rPr>
        <w:t xml:space="preserve">requires a number of safeguards, </w:t>
      </w:r>
      <w:r w:rsidR="00FE3E8C" w:rsidRPr="000440DB">
        <w:rPr>
          <w:lang w:val="en-GB"/>
        </w:rPr>
        <w:t>including judicial</w:t>
      </w:r>
      <w:r w:rsidR="00795578" w:rsidRPr="000440DB">
        <w:rPr>
          <w:lang w:val="en-GB"/>
        </w:rPr>
        <w:t xml:space="preserve"> authorisation, effective remedies for violations, which cannot—given that the legislation can indiscriminately affect all users of communication services—exist without </w:t>
      </w:r>
      <w:r w:rsidRPr="000440DB">
        <w:rPr>
          <w:lang w:val="en-GB"/>
        </w:rPr>
        <w:t>the third requirement,</w:t>
      </w:r>
      <w:r w:rsidR="00795578" w:rsidRPr="000440DB">
        <w:rPr>
          <w:lang w:val="en-GB"/>
        </w:rPr>
        <w:t xml:space="preserve"> </w:t>
      </w:r>
      <w:r w:rsidR="00005A40" w:rsidRPr="000440DB">
        <w:rPr>
          <w:lang w:val="en-GB"/>
        </w:rPr>
        <w:t xml:space="preserve">which is </w:t>
      </w:r>
      <w:r w:rsidR="00795578" w:rsidRPr="000440DB">
        <w:rPr>
          <w:lang w:val="en-GB"/>
        </w:rPr>
        <w:t>ex-post notification</w:t>
      </w:r>
      <w:r w:rsidR="004A2D33" w:rsidRPr="000440DB">
        <w:rPr>
          <w:lang w:val="en-GB"/>
        </w:rPr>
        <w:t xml:space="preserve">. </w:t>
      </w:r>
    </w:p>
    <w:p w14:paraId="49B9BB79" w14:textId="77777777" w:rsidR="004A2D33" w:rsidRPr="000440DB" w:rsidRDefault="004A2D33" w:rsidP="00640786">
      <w:pPr>
        <w:jc w:val="both"/>
        <w:rPr>
          <w:lang w:val="en-GB"/>
        </w:rPr>
      </w:pPr>
    </w:p>
    <w:p w14:paraId="75ECFB6B" w14:textId="3828D92A" w:rsidR="00795578" w:rsidRPr="000440DB" w:rsidRDefault="004A2D33" w:rsidP="00640786">
      <w:pPr>
        <w:jc w:val="both"/>
        <w:rPr>
          <w:lang w:val="en-GB"/>
        </w:rPr>
      </w:pPr>
      <w:r w:rsidRPr="000440DB">
        <w:rPr>
          <w:lang w:val="en-GB"/>
        </w:rPr>
        <w:t xml:space="preserve">We would like to underscore the </w:t>
      </w:r>
      <w:r w:rsidR="00F92A74" w:rsidRPr="000440DB">
        <w:rPr>
          <w:lang w:val="en-GB"/>
        </w:rPr>
        <w:t xml:space="preserve">particular </w:t>
      </w:r>
      <w:r w:rsidRPr="000440DB">
        <w:rPr>
          <w:lang w:val="en-GB"/>
        </w:rPr>
        <w:t xml:space="preserve">risks to freedom of expression posed by secret surveillance measures, which can have a serious impact on civil society organisations, lawyers and members of the opposition, and </w:t>
      </w:r>
      <w:r w:rsidR="00994D51" w:rsidRPr="000440DB">
        <w:rPr>
          <w:lang w:val="en-GB"/>
        </w:rPr>
        <w:t xml:space="preserve">ultimately </w:t>
      </w:r>
      <w:r w:rsidRPr="000440DB">
        <w:rPr>
          <w:lang w:val="en-GB"/>
        </w:rPr>
        <w:t>endanger the functioning of democratic societ</w:t>
      </w:r>
      <w:r w:rsidR="0032295F" w:rsidRPr="000440DB">
        <w:rPr>
          <w:lang w:val="en-GB"/>
        </w:rPr>
        <w:t>ies</w:t>
      </w:r>
      <w:r w:rsidRPr="000440DB">
        <w:rPr>
          <w:lang w:val="en-GB"/>
        </w:rPr>
        <w:t xml:space="preserve"> as a whole. We note here that these actors are not entitled to absolute </w:t>
      </w:r>
      <w:r w:rsidR="00AF7E7C" w:rsidRPr="000440DB">
        <w:rPr>
          <w:lang w:val="en-GB"/>
        </w:rPr>
        <w:t>and in some cases</w:t>
      </w:r>
      <w:r w:rsidRPr="000440DB">
        <w:rPr>
          <w:lang w:val="en-GB"/>
        </w:rPr>
        <w:t xml:space="preserve"> even </w:t>
      </w:r>
      <w:r w:rsidR="0024604F" w:rsidRPr="000440DB">
        <w:rPr>
          <w:lang w:val="en-GB"/>
        </w:rPr>
        <w:t xml:space="preserve">to </w:t>
      </w:r>
      <w:r w:rsidR="00AF7E7C" w:rsidRPr="000440DB">
        <w:rPr>
          <w:lang w:val="en-GB"/>
        </w:rPr>
        <w:t>limited</w:t>
      </w:r>
      <w:r w:rsidRPr="000440DB">
        <w:rPr>
          <w:lang w:val="en-GB"/>
        </w:rPr>
        <w:t xml:space="preserve"> protection under </w:t>
      </w:r>
      <w:r w:rsidR="00005A40" w:rsidRPr="000440DB">
        <w:rPr>
          <w:lang w:val="en-GB"/>
        </w:rPr>
        <w:t>Polish</w:t>
      </w:r>
      <w:r w:rsidRPr="000440DB">
        <w:rPr>
          <w:lang w:val="en-GB"/>
        </w:rPr>
        <w:t xml:space="preserve"> law. </w:t>
      </w:r>
    </w:p>
    <w:p w14:paraId="14384F53" w14:textId="77777777" w:rsidR="00795578" w:rsidRPr="000440DB" w:rsidRDefault="00795578" w:rsidP="00640786">
      <w:pPr>
        <w:jc w:val="both"/>
        <w:rPr>
          <w:lang w:val="en-GB"/>
        </w:rPr>
      </w:pPr>
    </w:p>
    <w:p w14:paraId="12533D28" w14:textId="77777777" w:rsidR="00964716" w:rsidRDefault="00795578" w:rsidP="00640786">
      <w:pPr>
        <w:jc w:val="both"/>
        <w:rPr>
          <w:lang w:val="en-GB"/>
        </w:rPr>
      </w:pPr>
      <w:r w:rsidRPr="000440DB">
        <w:rPr>
          <w:lang w:val="en-GB"/>
        </w:rPr>
        <w:t>This</w:t>
      </w:r>
      <w:r w:rsidR="004A2D33" w:rsidRPr="000440DB">
        <w:rPr>
          <w:lang w:val="en-GB"/>
        </w:rPr>
        <w:t xml:space="preserve"> highlight</w:t>
      </w:r>
      <w:r w:rsidRPr="000440DB">
        <w:rPr>
          <w:lang w:val="en-GB"/>
        </w:rPr>
        <w:t>s</w:t>
      </w:r>
      <w:r w:rsidR="004A2D33" w:rsidRPr="000440DB">
        <w:rPr>
          <w:lang w:val="en-GB"/>
        </w:rPr>
        <w:t xml:space="preserve"> the importance of independent systemic oversight. </w:t>
      </w:r>
      <w:r w:rsidR="0032295F" w:rsidRPr="000440DB">
        <w:rPr>
          <w:lang w:val="en-GB"/>
        </w:rPr>
        <w:t>We note that n</w:t>
      </w:r>
      <w:r w:rsidR="004A2D33" w:rsidRPr="000440DB">
        <w:rPr>
          <w:lang w:val="en-GB"/>
        </w:rPr>
        <w:t>either the</w:t>
      </w:r>
      <w:r w:rsidR="004A2D33">
        <w:rPr>
          <w:lang w:val="en-GB"/>
        </w:rPr>
        <w:t xml:space="preserve"> </w:t>
      </w:r>
      <w:r>
        <w:rPr>
          <w:lang w:val="en-GB"/>
        </w:rPr>
        <w:t>P</w:t>
      </w:r>
      <w:r w:rsidR="004A2D33">
        <w:rPr>
          <w:lang w:val="en-GB"/>
        </w:rPr>
        <w:t xml:space="preserve">olice </w:t>
      </w:r>
      <w:r>
        <w:rPr>
          <w:lang w:val="en-GB"/>
        </w:rPr>
        <w:t>L</w:t>
      </w:r>
      <w:r w:rsidR="004A2D33">
        <w:rPr>
          <w:lang w:val="en-GB"/>
        </w:rPr>
        <w:t>aw</w:t>
      </w:r>
      <w:r w:rsidR="00BD4290">
        <w:rPr>
          <w:lang w:val="en-GB"/>
        </w:rPr>
        <w:t xml:space="preserve"> (</w:t>
      </w:r>
      <w:r w:rsidR="004A2D33">
        <w:rPr>
          <w:lang w:val="en-GB"/>
        </w:rPr>
        <w:t>which</w:t>
      </w:r>
      <w:r w:rsidR="006E2ADD">
        <w:rPr>
          <w:lang w:val="en-GB"/>
        </w:rPr>
        <w:t xml:space="preserve"> only</w:t>
      </w:r>
      <w:r w:rsidR="004A2D33">
        <w:rPr>
          <w:lang w:val="en-GB"/>
        </w:rPr>
        <w:t xml:space="preserve"> provides for a broad summary report absent obligatory review by a judge</w:t>
      </w:r>
      <w:r w:rsidR="00BD4290">
        <w:rPr>
          <w:lang w:val="en-GB"/>
        </w:rPr>
        <w:t xml:space="preserve">) </w:t>
      </w:r>
      <w:r w:rsidR="004A2D33">
        <w:rPr>
          <w:lang w:val="en-GB"/>
        </w:rPr>
        <w:t xml:space="preserve">nor the </w:t>
      </w:r>
      <w:r>
        <w:rPr>
          <w:lang w:val="en-GB"/>
        </w:rPr>
        <w:t>Counter-Terrorism</w:t>
      </w:r>
      <w:r w:rsidR="004A2D33">
        <w:rPr>
          <w:lang w:val="en-GB"/>
        </w:rPr>
        <w:t xml:space="preserve"> legislation</w:t>
      </w:r>
      <w:r w:rsidR="00BD4290">
        <w:rPr>
          <w:lang w:val="en-GB"/>
        </w:rPr>
        <w:t xml:space="preserve"> (</w:t>
      </w:r>
      <w:r w:rsidR="004A2D33">
        <w:rPr>
          <w:lang w:val="en-GB"/>
        </w:rPr>
        <w:t xml:space="preserve">which </w:t>
      </w:r>
      <w:r w:rsidR="00526B70">
        <w:rPr>
          <w:lang w:val="en-GB"/>
        </w:rPr>
        <w:t xml:space="preserve">only </w:t>
      </w:r>
      <w:r w:rsidR="004A2D33">
        <w:rPr>
          <w:lang w:val="en-GB"/>
        </w:rPr>
        <w:t>provides for</w:t>
      </w:r>
      <w:r w:rsidR="00526B70">
        <w:rPr>
          <w:lang w:val="en-GB"/>
        </w:rPr>
        <w:t xml:space="preserve"> information to be provided </w:t>
      </w:r>
      <w:r w:rsidR="0032295F">
        <w:rPr>
          <w:lang w:val="en-GB"/>
        </w:rPr>
        <w:t>absent</w:t>
      </w:r>
      <w:r w:rsidR="00526B70">
        <w:rPr>
          <w:lang w:val="en-GB"/>
        </w:rPr>
        <w:t xml:space="preserve"> </w:t>
      </w:r>
      <w:r w:rsidR="004A2D33">
        <w:rPr>
          <w:lang w:val="en-GB"/>
        </w:rPr>
        <w:t>obligatory assessment</w:t>
      </w:r>
      <w:r w:rsidR="00BD4290">
        <w:rPr>
          <w:lang w:val="en-GB"/>
        </w:rPr>
        <w:t xml:space="preserve">) </w:t>
      </w:r>
      <w:r w:rsidR="00526B70">
        <w:rPr>
          <w:lang w:val="en-GB"/>
        </w:rPr>
        <w:t xml:space="preserve">include </w:t>
      </w:r>
      <w:r w:rsidR="004A2D33">
        <w:rPr>
          <w:lang w:val="en-GB"/>
        </w:rPr>
        <w:t xml:space="preserve">robust </w:t>
      </w:r>
      <w:r w:rsidR="00494DEF">
        <w:rPr>
          <w:lang w:val="en-GB"/>
        </w:rPr>
        <w:t xml:space="preserve">ex-post </w:t>
      </w:r>
      <w:r w:rsidR="004A2D33">
        <w:rPr>
          <w:lang w:val="en-GB"/>
        </w:rPr>
        <w:t xml:space="preserve">oversight </w:t>
      </w:r>
      <w:r w:rsidR="00494DEF">
        <w:rPr>
          <w:lang w:val="en-GB"/>
        </w:rPr>
        <w:t xml:space="preserve">and review </w:t>
      </w:r>
      <w:r w:rsidR="004A2D33">
        <w:rPr>
          <w:lang w:val="en-GB"/>
        </w:rPr>
        <w:t>mechanisms</w:t>
      </w:r>
      <w:r w:rsidR="00526B70">
        <w:rPr>
          <w:lang w:val="en-GB"/>
        </w:rPr>
        <w:t xml:space="preserve">. </w:t>
      </w:r>
      <w:r w:rsidR="004A2D33">
        <w:rPr>
          <w:lang w:val="en-GB"/>
        </w:rPr>
        <w:t xml:space="preserve"> </w:t>
      </w:r>
    </w:p>
    <w:p w14:paraId="14AA0ABE" w14:textId="77777777" w:rsidR="00964716" w:rsidRDefault="00964716" w:rsidP="00640786">
      <w:pPr>
        <w:jc w:val="both"/>
        <w:rPr>
          <w:lang w:val="en-GB"/>
        </w:rPr>
      </w:pPr>
    </w:p>
    <w:p w14:paraId="6CCE30F5" w14:textId="34471675" w:rsidR="004A2D33" w:rsidRDefault="00E422E8" w:rsidP="00640786">
      <w:pPr>
        <w:jc w:val="both"/>
        <w:rPr>
          <w:lang w:val="en-GB"/>
        </w:rPr>
      </w:pPr>
      <w:r>
        <w:rPr>
          <w:lang w:val="en-GB"/>
        </w:rPr>
        <w:t>If such mechanisms existed, they should</w:t>
      </w:r>
      <w:r w:rsidR="004A2D33">
        <w:rPr>
          <w:lang w:val="en-GB"/>
        </w:rPr>
        <w:t xml:space="preserve"> </w:t>
      </w:r>
      <w:r w:rsidR="00494DEF">
        <w:rPr>
          <w:lang w:val="en-GB"/>
        </w:rPr>
        <w:t xml:space="preserve">(1) </w:t>
      </w:r>
      <w:r w:rsidR="004A2D33">
        <w:rPr>
          <w:lang w:val="en-GB"/>
        </w:rPr>
        <w:t xml:space="preserve">assess human rights compliance </w:t>
      </w:r>
      <w:r w:rsidR="00795578">
        <w:rPr>
          <w:lang w:val="en-GB"/>
        </w:rPr>
        <w:t>in each case</w:t>
      </w:r>
      <w:r w:rsidR="00494DEF">
        <w:rPr>
          <w:lang w:val="en-GB"/>
        </w:rPr>
        <w:t xml:space="preserve"> of use by the authorities of the exceptionally intrusive measures, but also </w:t>
      </w:r>
      <w:r w:rsidR="00795578">
        <w:rPr>
          <w:lang w:val="en-GB"/>
        </w:rPr>
        <w:t xml:space="preserve">(2) </w:t>
      </w:r>
      <w:r w:rsidR="004A2D33">
        <w:rPr>
          <w:lang w:val="en-GB"/>
        </w:rPr>
        <w:t xml:space="preserve">beyond individual cases, look at the overall systemic impact of the measures, including on certain </w:t>
      </w:r>
      <w:r w:rsidR="00795578">
        <w:rPr>
          <w:lang w:val="en-GB"/>
        </w:rPr>
        <w:t xml:space="preserve">specific </w:t>
      </w:r>
      <w:r w:rsidR="004A2D33">
        <w:rPr>
          <w:lang w:val="en-GB"/>
        </w:rPr>
        <w:t xml:space="preserve">categories of </w:t>
      </w:r>
      <w:r w:rsidR="00795578">
        <w:rPr>
          <w:lang w:val="en-GB"/>
        </w:rPr>
        <w:t>individuals</w:t>
      </w:r>
      <w:r w:rsidR="004A2D33">
        <w:rPr>
          <w:lang w:val="en-GB"/>
        </w:rPr>
        <w:t xml:space="preserve">. </w:t>
      </w:r>
    </w:p>
    <w:p w14:paraId="2635540E" w14:textId="66E676D9" w:rsidR="00FE3E8C" w:rsidRDefault="00FE3E8C" w:rsidP="00640786">
      <w:pPr>
        <w:jc w:val="both"/>
        <w:rPr>
          <w:lang w:val="en-GB"/>
        </w:rPr>
      </w:pPr>
    </w:p>
    <w:p w14:paraId="326A53E6" w14:textId="77777777" w:rsidR="00FE3E8C" w:rsidRDefault="00FE3E8C" w:rsidP="00640786">
      <w:pPr>
        <w:jc w:val="both"/>
        <w:rPr>
          <w:lang w:val="en-GB"/>
        </w:rPr>
      </w:pPr>
    </w:p>
    <w:p w14:paraId="5901784B" w14:textId="77777777" w:rsidR="004A2D33" w:rsidRDefault="004A2D33" w:rsidP="00640786">
      <w:pPr>
        <w:jc w:val="both"/>
        <w:rPr>
          <w:lang w:val="en-GB"/>
        </w:rPr>
      </w:pPr>
    </w:p>
    <w:p w14:paraId="69243D3B" w14:textId="7024890F" w:rsidR="00853C7E" w:rsidRPr="00795578" w:rsidRDefault="00853C7E" w:rsidP="00640786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 w:rsidRPr="00795578">
        <w:rPr>
          <w:b/>
          <w:bCs/>
          <w:lang w:val="en-GB"/>
        </w:rPr>
        <w:lastRenderedPageBreak/>
        <w:t xml:space="preserve">The </w:t>
      </w:r>
      <w:r w:rsidR="00795578">
        <w:rPr>
          <w:b/>
          <w:bCs/>
          <w:lang w:val="en-GB"/>
        </w:rPr>
        <w:t xml:space="preserve">targeting of </w:t>
      </w:r>
      <w:r w:rsidRPr="00795578">
        <w:rPr>
          <w:b/>
          <w:bCs/>
          <w:lang w:val="en-GB"/>
        </w:rPr>
        <w:t xml:space="preserve">foreigners </w:t>
      </w:r>
      <w:r w:rsidR="00722D37">
        <w:rPr>
          <w:b/>
          <w:bCs/>
          <w:lang w:val="en-GB"/>
        </w:rPr>
        <w:t>under the counter-terrorism law</w:t>
      </w:r>
    </w:p>
    <w:p w14:paraId="33A3818A" w14:textId="22AD486D" w:rsidR="00853C7E" w:rsidRDefault="00853C7E" w:rsidP="00640786">
      <w:pPr>
        <w:jc w:val="both"/>
        <w:rPr>
          <w:lang w:val="en-GB"/>
        </w:rPr>
      </w:pPr>
    </w:p>
    <w:p w14:paraId="02F7F391" w14:textId="63B3A5F8" w:rsidR="00262ACB" w:rsidRPr="00262ACB" w:rsidRDefault="004433E1" w:rsidP="00640786">
      <w:pPr>
        <w:jc w:val="both"/>
        <w:rPr>
          <w:lang w:val="en-GB"/>
        </w:rPr>
      </w:pPr>
      <w:r>
        <w:rPr>
          <w:lang w:val="en-GB"/>
        </w:rPr>
        <w:t xml:space="preserve">Allow me to now turn to my last point, which relates to the collection of </w:t>
      </w:r>
      <w:r w:rsidR="000A0ACE">
        <w:rPr>
          <w:lang w:val="en-GB"/>
        </w:rPr>
        <w:t xml:space="preserve">the content of </w:t>
      </w:r>
      <w:r w:rsidR="00E278D7">
        <w:rPr>
          <w:lang w:val="en-GB"/>
        </w:rPr>
        <w:t xml:space="preserve">communications </w:t>
      </w:r>
      <w:r>
        <w:rPr>
          <w:lang w:val="en-GB"/>
        </w:rPr>
        <w:t xml:space="preserve">against </w:t>
      </w:r>
      <w:r w:rsidR="00FD5721">
        <w:rPr>
          <w:lang w:val="en-GB"/>
        </w:rPr>
        <w:t>non-nationals</w:t>
      </w:r>
      <w:r w:rsidR="00795578">
        <w:rPr>
          <w:lang w:val="en-GB"/>
        </w:rPr>
        <w:t xml:space="preserve"> suspected of terroris</w:t>
      </w:r>
      <w:r w:rsidR="00BD4290">
        <w:rPr>
          <w:lang w:val="en-GB"/>
        </w:rPr>
        <w:t>t</w:t>
      </w:r>
      <w:r w:rsidR="00795578">
        <w:rPr>
          <w:lang w:val="en-GB"/>
        </w:rPr>
        <w:t xml:space="preserve"> activity</w:t>
      </w:r>
      <w:r w:rsidR="00964716">
        <w:rPr>
          <w:lang w:val="en-GB"/>
        </w:rPr>
        <w:t>,</w:t>
      </w:r>
      <w:r w:rsidR="00795578">
        <w:rPr>
          <w:lang w:val="en-GB"/>
        </w:rPr>
        <w:t xml:space="preserve"> </w:t>
      </w:r>
      <w:r w:rsidR="009A4BD8">
        <w:rPr>
          <w:lang w:val="en-GB"/>
        </w:rPr>
        <w:t xml:space="preserve">on the basis of an executive decision and with </w:t>
      </w:r>
      <w:r w:rsidR="00173ED5">
        <w:rPr>
          <w:lang w:val="en-GB"/>
        </w:rPr>
        <w:t xml:space="preserve">extremely limited control, </w:t>
      </w:r>
      <w:r w:rsidR="00795578">
        <w:rPr>
          <w:lang w:val="en-GB"/>
        </w:rPr>
        <w:t xml:space="preserve">as allowed by the Counter-Terrorism law. </w:t>
      </w:r>
      <w:r w:rsidR="00943A3C">
        <w:rPr>
          <w:lang w:val="en-GB"/>
        </w:rPr>
        <w:t>Given the broadness of these provisions, the</w:t>
      </w:r>
      <w:r w:rsidR="009A4BD8">
        <w:rPr>
          <w:lang w:val="en-GB"/>
        </w:rPr>
        <w:t xml:space="preserve"> comments made above are obviously highly relevant here. </w:t>
      </w:r>
    </w:p>
    <w:p w14:paraId="43FA5F76" w14:textId="77777777" w:rsidR="00262ACB" w:rsidRDefault="00262ACB" w:rsidP="00640786">
      <w:pPr>
        <w:jc w:val="both"/>
        <w:rPr>
          <w:lang w:val="en-GB"/>
        </w:rPr>
      </w:pPr>
    </w:p>
    <w:p w14:paraId="12088DB6" w14:textId="6CA19143" w:rsidR="00262ACB" w:rsidRDefault="0032295F" w:rsidP="00640786">
      <w:pPr>
        <w:jc w:val="both"/>
        <w:rPr>
          <w:rFonts w:eastAsia="Times New Roman" w:cstheme="minorHAnsi"/>
          <w:lang w:val="en-GB" w:eastAsia="en-GB"/>
        </w:rPr>
      </w:pPr>
      <w:r>
        <w:rPr>
          <w:rFonts w:eastAsia="Times New Roman" w:cstheme="minorHAnsi"/>
          <w:lang w:val="en-GB" w:eastAsia="en-GB"/>
        </w:rPr>
        <w:t xml:space="preserve">We note that unless evidenced otherwise, </w:t>
      </w:r>
      <w:r w:rsidRPr="008B6952">
        <w:rPr>
          <w:rFonts w:eastAsia="Times New Roman" w:cstheme="minorHAnsi"/>
          <w:lang w:val="en-GB" w:eastAsia="en-GB"/>
        </w:rPr>
        <w:t>the threat of terrorism can</w:t>
      </w:r>
      <w:r w:rsidR="00E422E8">
        <w:rPr>
          <w:rFonts w:eastAsia="Times New Roman" w:cstheme="minorHAnsi"/>
          <w:lang w:val="en-GB" w:eastAsia="en-GB"/>
        </w:rPr>
        <w:t xml:space="preserve"> equally</w:t>
      </w:r>
      <w:r w:rsidRPr="008B6952">
        <w:rPr>
          <w:rFonts w:eastAsia="Times New Roman" w:cstheme="minorHAnsi"/>
          <w:lang w:val="en-GB" w:eastAsia="en-GB"/>
        </w:rPr>
        <w:t xml:space="preserve"> come from nationals and </w:t>
      </w:r>
      <w:r w:rsidR="00C16809">
        <w:rPr>
          <w:rFonts w:eastAsia="Times New Roman" w:cstheme="minorHAnsi"/>
          <w:lang w:val="en-GB" w:eastAsia="en-GB"/>
        </w:rPr>
        <w:t>non-nationals</w:t>
      </w:r>
      <w:r w:rsidRPr="008B6952">
        <w:rPr>
          <w:rFonts w:eastAsia="Times New Roman" w:cstheme="minorHAnsi"/>
          <w:lang w:val="en-GB" w:eastAsia="en-GB"/>
        </w:rPr>
        <w:t>, alike</w:t>
      </w:r>
      <w:r>
        <w:rPr>
          <w:rFonts w:eastAsia="Times New Roman" w:cstheme="minorHAnsi"/>
          <w:lang w:val="en-GB" w:eastAsia="en-GB"/>
        </w:rPr>
        <w:t>. S</w:t>
      </w:r>
      <w:r w:rsidR="008B6952" w:rsidRPr="008B6952">
        <w:rPr>
          <w:rFonts w:eastAsia="Times New Roman" w:cstheme="minorHAnsi"/>
          <w:lang w:val="en-GB" w:eastAsia="en-GB"/>
        </w:rPr>
        <w:t xml:space="preserve">ecurity </w:t>
      </w:r>
      <w:r w:rsidR="008B6952" w:rsidRPr="000440DB">
        <w:rPr>
          <w:rFonts w:eastAsia="Times New Roman" w:cstheme="minorHAnsi"/>
          <w:lang w:val="en-GB" w:eastAsia="en-GB"/>
        </w:rPr>
        <w:t xml:space="preserve">measures that target only non-nationals have the result </w:t>
      </w:r>
      <w:r w:rsidR="008B6952" w:rsidRPr="000440DB">
        <w:rPr>
          <w:rFonts w:eastAsia="Times New Roman" w:cstheme="minorHAnsi"/>
          <w:lang w:eastAsia="en-GB"/>
        </w:rPr>
        <w:t xml:space="preserve">of </w:t>
      </w:r>
      <w:r w:rsidR="008B6952" w:rsidRPr="000440DB">
        <w:rPr>
          <w:rFonts w:eastAsia="Times New Roman" w:cstheme="minorHAnsi"/>
          <w:lang w:val="en-GB" w:eastAsia="en-GB"/>
        </w:rPr>
        <w:t xml:space="preserve">not only </w:t>
      </w:r>
      <w:r w:rsidR="008B6952" w:rsidRPr="000440DB">
        <w:rPr>
          <w:rFonts w:eastAsia="Times New Roman" w:cstheme="minorHAnsi"/>
          <w:lang w:eastAsia="en-GB"/>
        </w:rPr>
        <w:t xml:space="preserve">failing adequately to address the </w:t>
      </w:r>
      <w:r w:rsidR="008B6952" w:rsidRPr="000440DB">
        <w:rPr>
          <w:rFonts w:eastAsia="Times New Roman" w:cstheme="minorHAnsi"/>
          <w:lang w:val="en-GB" w:eastAsia="en-GB"/>
        </w:rPr>
        <w:t>threat</w:t>
      </w:r>
      <w:r w:rsidR="00994D51" w:rsidRPr="000440DB">
        <w:rPr>
          <w:rFonts w:eastAsia="Times New Roman" w:cstheme="minorHAnsi"/>
          <w:lang w:val="en-GB" w:eastAsia="en-GB"/>
        </w:rPr>
        <w:t xml:space="preserve"> of terrorism</w:t>
      </w:r>
      <w:r w:rsidR="008B6952" w:rsidRPr="000440DB">
        <w:rPr>
          <w:rFonts w:eastAsia="Times New Roman" w:cstheme="minorHAnsi"/>
          <w:lang w:eastAsia="en-GB"/>
        </w:rPr>
        <w:t xml:space="preserve">, </w:t>
      </w:r>
      <w:r w:rsidR="008B6952" w:rsidRPr="000440DB">
        <w:rPr>
          <w:rFonts w:eastAsia="Times New Roman" w:cstheme="minorHAnsi"/>
          <w:lang w:val="en-GB" w:eastAsia="en-GB"/>
        </w:rPr>
        <w:t>but</w:t>
      </w:r>
      <w:r w:rsidR="008B6952" w:rsidRPr="008B6952">
        <w:rPr>
          <w:rFonts w:eastAsia="Times New Roman" w:cstheme="minorHAnsi"/>
          <w:lang w:val="en-GB" w:eastAsia="en-GB"/>
        </w:rPr>
        <w:t xml:space="preserve"> also </w:t>
      </w:r>
      <w:r w:rsidR="008B6952" w:rsidRPr="00262ACB">
        <w:rPr>
          <w:rFonts w:eastAsia="Times New Roman" w:cstheme="minorHAnsi"/>
          <w:lang w:eastAsia="en-GB"/>
        </w:rPr>
        <w:t>impos</w:t>
      </w:r>
      <w:r w:rsidR="008B6952" w:rsidRPr="008B6952">
        <w:rPr>
          <w:rFonts w:eastAsia="Times New Roman" w:cstheme="minorHAnsi"/>
          <w:lang w:val="en-GB" w:eastAsia="en-GB"/>
        </w:rPr>
        <w:t>e</w:t>
      </w:r>
      <w:r w:rsidR="008B6952" w:rsidRPr="00262ACB">
        <w:rPr>
          <w:rFonts w:eastAsia="Times New Roman" w:cstheme="minorHAnsi"/>
          <w:lang w:eastAsia="en-GB"/>
        </w:rPr>
        <w:t xml:space="preserve"> a</w:t>
      </w:r>
      <w:r w:rsidR="008B6952" w:rsidRPr="008B6952">
        <w:rPr>
          <w:rFonts w:eastAsia="Times New Roman" w:cstheme="minorHAnsi"/>
          <w:lang w:val="en-GB" w:eastAsia="en-GB"/>
        </w:rPr>
        <w:t>n unjustified</w:t>
      </w:r>
      <w:r w:rsidR="008B6952" w:rsidRPr="00262ACB">
        <w:rPr>
          <w:rFonts w:eastAsia="Times New Roman" w:cstheme="minorHAnsi"/>
          <w:lang w:eastAsia="en-GB"/>
        </w:rPr>
        <w:t xml:space="preserve"> disproportionate and discriminatory burden on one group of </w:t>
      </w:r>
      <w:r w:rsidR="008B6952" w:rsidRPr="008B6952">
        <w:rPr>
          <w:rFonts w:eastAsia="Times New Roman" w:cstheme="minorHAnsi"/>
          <w:lang w:val="en-GB" w:eastAsia="en-GB"/>
        </w:rPr>
        <w:t xml:space="preserve">individuals. </w:t>
      </w:r>
    </w:p>
    <w:p w14:paraId="15C321CB" w14:textId="77777777" w:rsidR="00994D51" w:rsidRDefault="00994D51" w:rsidP="00640786">
      <w:pPr>
        <w:jc w:val="both"/>
        <w:rPr>
          <w:rFonts w:eastAsia="Times New Roman" w:cstheme="minorHAnsi"/>
          <w:lang w:val="en-GB" w:eastAsia="en-GB"/>
        </w:rPr>
      </w:pPr>
    </w:p>
    <w:p w14:paraId="2DCB22F6" w14:textId="061297F5" w:rsidR="00D40B34" w:rsidRDefault="00994D51" w:rsidP="00640786">
      <w:pPr>
        <w:jc w:val="both"/>
        <w:rPr>
          <w:rFonts w:eastAsia="Times New Roman" w:cstheme="minorHAnsi"/>
          <w:lang w:val="en-GB" w:eastAsia="en-GB"/>
        </w:rPr>
      </w:pPr>
      <w:r>
        <w:rPr>
          <w:rFonts w:eastAsia="Times New Roman" w:cstheme="minorHAnsi"/>
          <w:lang w:val="en-GB" w:eastAsia="en-GB"/>
        </w:rPr>
        <w:t xml:space="preserve">We note also that the very nature of the extremely sensitive work of civil actors, lawyers, human rights defenders in a democratic society is based on trust that information </w:t>
      </w:r>
      <w:r w:rsidR="000440DB">
        <w:rPr>
          <w:rFonts w:eastAsia="Times New Roman" w:cstheme="minorHAnsi"/>
          <w:lang w:val="en-GB" w:eastAsia="en-GB"/>
        </w:rPr>
        <w:t>transmitted</w:t>
      </w:r>
      <w:r>
        <w:rPr>
          <w:rFonts w:eastAsia="Times New Roman" w:cstheme="minorHAnsi"/>
          <w:lang w:val="en-GB" w:eastAsia="en-GB"/>
        </w:rPr>
        <w:t xml:space="preserve"> by victims and other interlocutors is without risk to them. It is clear that these individuals may be based abroad or</w:t>
      </w:r>
      <w:r w:rsidR="000440DB">
        <w:rPr>
          <w:rFonts w:eastAsia="Times New Roman" w:cstheme="minorHAnsi"/>
          <w:lang w:val="en-GB" w:eastAsia="en-GB"/>
        </w:rPr>
        <w:t>,</w:t>
      </w:r>
      <w:r>
        <w:rPr>
          <w:rFonts w:eastAsia="Times New Roman" w:cstheme="minorHAnsi"/>
          <w:lang w:val="en-GB" w:eastAsia="en-GB"/>
        </w:rPr>
        <w:t xml:space="preserve"> </w:t>
      </w:r>
      <w:r w:rsidR="000440DB">
        <w:rPr>
          <w:rFonts w:eastAsia="Times New Roman" w:cstheme="minorHAnsi"/>
          <w:lang w:val="en-GB" w:eastAsia="en-GB"/>
        </w:rPr>
        <w:t xml:space="preserve">indeed, that it may be technically difficult to distinguish between national and foreign traffic. These concerns are obviously enhanced by the very broad and vague definitions used in the Counter-Terrorism act on which the secret surveillance is based.  </w:t>
      </w:r>
    </w:p>
    <w:p w14:paraId="444EF0E2" w14:textId="77777777" w:rsidR="000440DB" w:rsidRDefault="000440DB" w:rsidP="00640786">
      <w:pPr>
        <w:jc w:val="both"/>
        <w:rPr>
          <w:rFonts w:eastAsia="Times New Roman" w:cstheme="minorHAnsi"/>
          <w:b/>
          <w:bCs/>
          <w:lang w:val="en-GB" w:eastAsia="en-GB"/>
        </w:rPr>
      </w:pPr>
    </w:p>
    <w:p w14:paraId="482F35D8" w14:textId="503CB740" w:rsidR="0053306F" w:rsidRPr="0053306F" w:rsidRDefault="0053306F" w:rsidP="00640786">
      <w:pPr>
        <w:jc w:val="both"/>
        <w:rPr>
          <w:rFonts w:eastAsia="Times New Roman" w:cstheme="minorHAnsi"/>
          <w:b/>
          <w:bCs/>
          <w:lang w:val="en-GB" w:eastAsia="en-GB"/>
        </w:rPr>
      </w:pPr>
      <w:r w:rsidRPr="0053306F">
        <w:rPr>
          <w:rFonts w:eastAsia="Times New Roman" w:cstheme="minorHAnsi"/>
          <w:b/>
          <w:bCs/>
          <w:lang w:val="en-GB" w:eastAsia="en-GB"/>
        </w:rPr>
        <w:t>Conclusion</w:t>
      </w:r>
    </w:p>
    <w:p w14:paraId="3EB66465" w14:textId="77777777" w:rsidR="0053306F" w:rsidRDefault="0053306F" w:rsidP="00640786">
      <w:pPr>
        <w:jc w:val="both"/>
        <w:rPr>
          <w:rFonts w:eastAsia="Times New Roman" w:cstheme="minorHAnsi"/>
          <w:lang w:val="en-GB" w:eastAsia="en-GB"/>
        </w:rPr>
      </w:pPr>
    </w:p>
    <w:p w14:paraId="5E5B6D92" w14:textId="7CF5ACEE" w:rsidR="00AD36D8" w:rsidRDefault="00005A40" w:rsidP="00640786">
      <w:pPr>
        <w:jc w:val="both"/>
        <w:rPr>
          <w:rFonts w:eastAsia="Times New Roman" w:cstheme="minorHAnsi"/>
          <w:lang w:val="en-GB" w:eastAsia="en-GB"/>
        </w:rPr>
      </w:pPr>
      <w:r w:rsidRPr="000440DB">
        <w:rPr>
          <w:rFonts w:eastAsia="Times New Roman" w:cstheme="minorHAnsi"/>
          <w:lang w:val="en-GB" w:eastAsia="en-GB"/>
        </w:rPr>
        <w:t>In closing, I would like to refer to t</w:t>
      </w:r>
      <w:r w:rsidR="00DB2CF7" w:rsidRPr="000440DB">
        <w:rPr>
          <w:rFonts w:eastAsia="Times New Roman" w:cstheme="minorHAnsi"/>
          <w:lang w:val="en-GB" w:eastAsia="en-GB"/>
        </w:rPr>
        <w:t>he most recent resolution of the Human Rights Council on the right to privacy in the digital age</w:t>
      </w:r>
      <w:r w:rsidR="00C8504A" w:rsidRPr="000440DB">
        <w:rPr>
          <w:rFonts w:eastAsia="Times New Roman" w:cstheme="minorHAnsi"/>
          <w:lang w:val="en-GB" w:eastAsia="en-GB"/>
        </w:rPr>
        <w:t xml:space="preserve"> </w:t>
      </w:r>
      <w:r w:rsidR="00572739" w:rsidRPr="000440DB">
        <w:rPr>
          <w:rFonts w:eastAsia="Times New Roman" w:cstheme="minorHAnsi"/>
          <w:lang w:val="en-GB" w:eastAsia="en-GB"/>
        </w:rPr>
        <w:t xml:space="preserve">that </w:t>
      </w:r>
      <w:r w:rsidR="00C8504A" w:rsidRPr="000440DB">
        <w:rPr>
          <w:rFonts w:eastAsia="Times New Roman" w:cstheme="minorHAnsi"/>
          <w:lang w:val="en-GB" w:eastAsia="en-GB"/>
        </w:rPr>
        <w:t xml:space="preserve">states that </w:t>
      </w:r>
      <w:r w:rsidR="00DB2CF7" w:rsidRPr="000440DB">
        <w:rPr>
          <w:rFonts w:eastAsia="Times New Roman" w:cstheme="minorHAnsi"/>
          <w:lang w:val="en-GB" w:eastAsia="en-GB"/>
        </w:rPr>
        <w:t>the right to privacy</w:t>
      </w:r>
      <w:r w:rsidR="00C413E5" w:rsidRPr="000440DB">
        <w:rPr>
          <w:rFonts w:eastAsia="Times New Roman" w:cstheme="minorHAnsi"/>
          <w:lang w:val="en-GB" w:eastAsia="en-GB"/>
        </w:rPr>
        <w:t xml:space="preserve"> </w:t>
      </w:r>
      <w:r w:rsidR="00DB2CF7" w:rsidRPr="000440DB">
        <w:rPr>
          <w:rFonts w:eastAsia="Times New Roman" w:cstheme="minorHAnsi"/>
          <w:lang w:val="en-GB" w:eastAsia="en-GB"/>
        </w:rPr>
        <w:t>“is one of the foundations of a democratic society”.</w:t>
      </w:r>
      <w:r w:rsidR="00DB2CF7" w:rsidRPr="000440DB">
        <w:rPr>
          <w:rStyle w:val="FootnoteReference"/>
          <w:rFonts w:eastAsia="Times New Roman" w:cstheme="minorHAnsi"/>
          <w:lang w:val="en-GB" w:eastAsia="en-GB"/>
        </w:rPr>
        <w:footnoteReference w:id="6"/>
      </w:r>
      <w:r w:rsidR="00DB2CF7" w:rsidRPr="000440DB">
        <w:rPr>
          <w:rFonts w:eastAsia="Times New Roman" w:cstheme="minorHAnsi"/>
          <w:lang w:val="en-GB" w:eastAsia="en-GB"/>
        </w:rPr>
        <w:t xml:space="preserve">  The fragility of this right is such that even the possibility of </w:t>
      </w:r>
      <w:r w:rsidR="00C413E5" w:rsidRPr="000440DB">
        <w:rPr>
          <w:rFonts w:eastAsia="Times New Roman" w:cstheme="minorHAnsi"/>
          <w:lang w:val="en-GB" w:eastAsia="en-GB"/>
        </w:rPr>
        <w:t xml:space="preserve">its violation impacts </w:t>
      </w:r>
      <w:r w:rsidR="00863130" w:rsidRPr="000440DB">
        <w:rPr>
          <w:rFonts w:eastAsia="Times New Roman" w:cstheme="minorHAnsi"/>
          <w:lang w:val="en-GB" w:eastAsia="en-GB"/>
        </w:rPr>
        <w:t xml:space="preserve">the exercise of </w:t>
      </w:r>
      <w:r w:rsidR="00C413E5" w:rsidRPr="000440DB">
        <w:rPr>
          <w:rFonts w:eastAsia="Times New Roman" w:cstheme="minorHAnsi"/>
          <w:lang w:val="en-GB" w:eastAsia="en-GB"/>
        </w:rPr>
        <w:t>other fundamental freedoms enabled by it,</w:t>
      </w:r>
      <w:r w:rsidR="00C413E5" w:rsidRPr="00F93A11">
        <w:rPr>
          <w:rFonts w:eastAsia="Times New Roman" w:cstheme="minorHAnsi"/>
          <w:lang w:val="en-GB" w:eastAsia="en-GB"/>
        </w:rPr>
        <w:t xml:space="preserve"> and therefore affects key actors </w:t>
      </w:r>
      <w:r w:rsidR="00A41F4A">
        <w:rPr>
          <w:rFonts w:eastAsia="Times New Roman" w:cstheme="minorHAnsi"/>
          <w:lang w:val="en-GB" w:eastAsia="en-GB"/>
        </w:rPr>
        <w:t>of</w:t>
      </w:r>
      <w:r w:rsidR="00863130" w:rsidRPr="00F93A11">
        <w:rPr>
          <w:rFonts w:eastAsia="Times New Roman" w:cstheme="minorHAnsi"/>
          <w:lang w:val="en-GB" w:eastAsia="en-GB"/>
        </w:rPr>
        <w:t xml:space="preserve"> </w:t>
      </w:r>
      <w:r w:rsidR="00C413E5" w:rsidRPr="00F93A11">
        <w:rPr>
          <w:rFonts w:eastAsia="Times New Roman" w:cstheme="minorHAnsi"/>
          <w:lang w:val="en-GB" w:eastAsia="en-GB"/>
        </w:rPr>
        <w:t>a democratic society</w:t>
      </w:r>
      <w:r w:rsidR="00572739">
        <w:rPr>
          <w:rFonts w:eastAsia="Times New Roman" w:cstheme="minorHAnsi"/>
          <w:lang w:val="en-GB" w:eastAsia="en-GB"/>
        </w:rPr>
        <w:t>,</w:t>
      </w:r>
      <w:r w:rsidR="00E92723">
        <w:rPr>
          <w:rFonts w:eastAsia="Times New Roman" w:cstheme="minorHAnsi"/>
          <w:lang w:val="en-GB" w:eastAsia="en-GB"/>
        </w:rPr>
        <w:t xml:space="preserve"> and in</w:t>
      </w:r>
      <w:r w:rsidR="00572739">
        <w:rPr>
          <w:rFonts w:eastAsia="Times New Roman" w:cstheme="minorHAnsi"/>
          <w:lang w:val="en-GB" w:eastAsia="en-GB"/>
        </w:rPr>
        <w:t>,</w:t>
      </w:r>
      <w:r w:rsidR="00E92723">
        <w:rPr>
          <w:rFonts w:eastAsia="Times New Roman" w:cstheme="minorHAnsi"/>
          <w:lang w:val="en-GB" w:eastAsia="en-GB"/>
        </w:rPr>
        <w:t xml:space="preserve"> a democratic society</w:t>
      </w:r>
      <w:r w:rsidR="00C413E5" w:rsidRPr="00F93A11">
        <w:rPr>
          <w:rFonts w:eastAsia="Times New Roman" w:cstheme="minorHAnsi"/>
          <w:lang w:val="en-GB" w:eastAsia="en-GB"/>
        </w:rPr>
        <w:t xml:space="preserve">. </w:t>
      </w:r>
      <w:r w:rsidR="00E278D7">
        <w:rPr>
          <w:rFonts w:eastAsia="Times New Roman" w:cstheme="minorHAnsi"/>
          <w:lang w:val="en-GB" w:eastAsia="en-GB"/>
        </w:rPr>
        <w:t xml:space="preserve">This is why the strict circumscription and control of the use of </w:t>
      </w:r>
      <w:r w:rsidR="00C413E5" w:rsidRPr="00F93A11">
        <w:rPr>
          <w:rFonts w:eastAsia="Times New Roman" w:cstheme="minorHAnsi"/>
          <w:lang w:val="en-GB" w:eastAsia="en-GB"/>
        </w:rPr>
        <w:t>secret surveillance</w:t>
      </w:r>
      <w:r w:rsidR="00863130" w:rsidRPr="00F93A11">
        <w:rPr>
          <w:rFonts w:eastAsia="Times New Roman" w:cstheme="minorHAnsi"/>
          <w:lang w:val="en-GB" w:eastAsia="en-GB"/>
        </w:rPr>
        <w:t xml:space="preserve">, </w:t>
      </w:r>
      <w:r w:rsidR="000440DB">
        <w:rPr>
          <w:rFonts w:eastAsia="Times New Roman" w:cstheme="minorHAnsi"/>
          <w:lang w:val="en-GB" w:eastAsia="en-GB"/>
        </w:rPr>
        <w:t>including</w:t>
      </w:r>
      <w:r w:rsidR="00863130" w:rsidRPr="00F93A11">
        <w:rPr>
          <w:rFonts w:eastAsia="Times New Roman" w:cstheme="minorHAnsi"/>
          <w:lang w:val="en-GB" w:eastAsia="en-GB"/>
        </w:rPr>
        <w:t xml:space="preserve"> </w:t>
      </w:r>
      <w:r w:rsidR="0068337C">
        <w:rPr>
          <w:rFonts w:eastAsia="Times New Roman" w:cstheme="minorHAnsi"/>
          <w:lang w:val="en-GB" w:eastAsia="en-GB"/>
        </w:rPr>
        <w:t xml:space="preserve">for </w:t>
      </w:r>
      <w:r w:rsidR="00863130" w:rsidRPr="00F93A11">
        <w:rPr>
          <w:rFonts w:eastAsia="Times New Roman" w:cstheme="minorHAnsi"/>
          <w:lang w:val="en-GB" w:eastAsia="en-GB"/>
        </w:rPr>
        <w:t xml:space="preserve">counter-terrorism purposes, </w:t>
      </w:r>
      <w:r w:rsidR="00E278D7">
        <w:rPr>
          <w:rFonts w:eastAsia="Times New Roman" w:cstheme="minorHAnsi"/>
          <w:lang w:val="en-GB" w:eastAsia="en-GB"/>
        </w:rPr>
        <w:t xml:space="preserve">is essential. </w:t>
      </w:r>
    </w:p>
    <w:p w14:paraId="6E9B0D86" w14:textId="77777777" w:rsidR="00E278D7" w:rsidRDefault="00E278D7" w:rsidP="00640786">
      <w:pPr>
        <w:jc w:val="both"/>
        <w:rPr>
          <w:rFonts w:ascii="Times New Roman" w:eastAsia="Times New Roman" w:hAnsi="Times New Roman" w:cs="Times New Roman"/>
          <w:sz w:val="25"/>
          <w:szCs w:val="25"/>
          <w:lang w:eastAsia="en-GB"/>
        </w:rPr>
      </w:pPr>
    </w:p>
    <w:p w14:paraId="505E6569" w14:textId="5B818808" w:rsidR="008A65BD" w:rsidRPr="000B2811" w:rsidRDefault="000B2811" w:rsidP="00640786">
      <w:pPr>
        <w:jc w:val="both"/>
        <w:rPr>
          <w:lang w:val="en-GB"/>
        </w:rPr>
      </w:pPr>
      <w:r>
        <w:rPr>
          <w:lang w:val="en-GB"/>
        </w:rPr>
        <w:t xml:space="preserve">I thank you for your attention. </w:t>
      </w:r>
    </w:p>
    <w:sectPr w:rsidR="008A65BD" w:rsidRPr="000B28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0145" w14:textId="77777777" w:rsidR="00DE69B9" w:rsidRDefault="00DE69B9" w:rsidP="00173ED5">
      <w:r>
        <w:separator/>
      </w:r>
    </w:p>
  </w:endnote>
  <w:endnote w:type="continuationSeparator" w:id="0">
    <w:p w14:paraId="091353CD" w14:textId="77777777" w:rsidR="00DE69B9" w:rsidRDefault="00DE69B9" w:rsidP="0017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7CF3" w14:textId="77777777" w:rsidR="00DE69B9" w:rsidRDefault="00DE69B9" w:rsidP="00173ED5">
      <w:r>
        <w:separator/>
      </w:r>
    </w:p>
  </w:footnote>
  <w:footnote w:type="continuationSeparator" w:id="0">
    <w:p w14:paraId="34DFDBDC" w14:textId="77777777" w:rsidR="00DE69B9" w:rsidRDefault="00DE69B9" w:rsidP="00173ED5">
      <w:r>
        <w:continuationSeparator/>
      </w:r>
    </w:p>
  </w:footnote>
  <w:footnote w:id="1">
    <w:p w14:paraId="3E3E52B0" w14:textId="75AA2511" w:rsidR="00032CD1" w:rsidRPr="00032CD1" w:rsidRDefault="00032C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40786">
        <w:rPr>
          <w:lang w:val="es-419"/>
        </w:rPr>
        <w:t>Roman</w:t>
      </w:r>
      <w:proofErr w:type="spellEnd"/>
      <w:r w:rsidRPr="00640786">
        <w:rPr>
          <w:lang w:val="es-419"/>
        </w:rPr>
        <w:t xml:space="preserve"> </w:t>
      </w:r>
      <w:proofErr w:type="spellStart"/>
      <w:r w:rsidRPr="00640786">
        <w:rPr>
          <w:lang w:val="es-419"/>
        </w:rPr>
        <w:t>Zakharov</w:t>
      </w:r>
      <w:proofErr w:type="spellEnd"/>
      <w:r w:rsidRPr="00640786">
        <w:rPr>
          <w:lang w:val="es-419"/>
        </w:rPr>
        <w:t xml:space="preserve"> v. </w:t>
      </w:r>
      <w:proofErr w:type="spellStart"/>
      <w:r w:rsidRPr="00640786">
        <w:rPr>
          <w:lang w:val="es-419"/>
        </w:rPr>
        <w:t>Russia</w:t>
      </w:r>
      <w:proofErr w:type="spellEnd"/>
      <w:r w:rsidRPr="00640786">
        <w:rPr>
          <w:lang w:val="es-419"/>
        </w:rPr>
        <w:t>, para. 236.</w:t>
      </w:r>
    </w:p>
  </w:footnote>
  <w:footnote w:id="2">
    <w:p w14:paraId="6FCB9175" w14:textId="0B158AE0" w:rsidR="00032CD1" w:rsidRPr="00032CD1" w:rsidRDefault="00032C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40786">
        <w:rPr>
          <w:lang w:val="es-419"/>
        </w:rPr>
        <w:t>Centrum</w:t>
      </w:r>
      <w:proofErr w:type="spellEnd"/>
      <w:r w:rsidRPr="00640786">
        <w:rPr>
          <w:lang w:val="es-419"/>
        </w:rPr>
        <w:t xml:space="preserve"> </w:t>
      </w:r>
      <w:proofErr w:type="spellStart"/>
      <w:r w:rsidRPr="00640786">
        <w:rPr>
          <w:lang w:val="es-419"/>
        </w:rPr>
        <w:t>för</w:t>
      </w:r>
      <w:proofErr w:type="spellEnd"/>
      <w:r w:rsidRPr="00640786">
        <w:rPr>
          <w:lang w:val="es-419"/>
        </w:rPr>
        <w:t xml:space="preserve"> </w:t>
      </w:r>
      <w:proofErr w:type="spellStart"/>
      <w:r w:rsidRPr="00640786">
        <w:rPr>
          <w:lang w:val="es-419"/>
        </w:rPr>
        <w:t>Rättvisa</w:t>
      </w:r>
      <w:proofErr w:type="spellEnd"/>
      <w:r w:rsidRPr="00640786">
        <w:rPr>
          <w:lang w:val="es-419"/>
        </w:rPr>
        <w:t xml:space="preserve"> v. </w:t>
      </w:r>
      <w:proofErr w:type="spellStart"/>
      <w:r w:rsidRPr="00640786">
        <w:rPr>
          <w:lang w:val="es-419"/>
        </w:rPr>
        <w:t>Sweden</w:t>
      </w:r>
      <w:proofErr w:type="spellEnd"/>
      <w:r w:rsidRPr="00640786">
        <w:rPr>
          <w:lang w:val="es-419"/>
        </w:rPr>
        <w:t>, para. 262.</w:t>
      </w:r>
    </w:p>
  </w:footnote>
  <w:footnote w:id="3">
    <w:p w14:paraId="16872D70" w14:textId="288EBAB2" w:rsidR="003C3A74" w:rsidRPr="003C3A74" w:rsidRDefault="003C3A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40786">
        <w:rPr>
          <w:lang w:val="es-419"/>
        </w:rPr>
        <w:t>A/HRC/39/29</w:t>
      </w:r>
    </w:p>
  </w:footnote>
  <w:footnote w:id="4">
    <w:p w14:paraId="57CFE812" w14:textId="4B51A63C" w:rsidR="00276797" w:rsidRPr="00276797" w:rsidRDefault="002767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C3A74" w:rsidRPr="00640786">
        <w:rPr>
          <w:lang w:val="es-419"/>
        </w:rPr>
        <w:t>CCPR/C/POL/CO/7 para. 9.</w:t>
      </w:r>
    </w:p>
  </w:footnote>
  <w:footnote w:id="5">
    <w:p w14:paraId="3CE3BEC3" w14:textId="0F493D5D" w:rsidR="003C3A74" w:rsidRPr="003C3A74" w:rsidRDefault="003C3A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40786">
        <w:rPr>
          <w:lang w:val="es-419"/>
        </w:rPr>
        <w:t>Centrum</w:t>
      </w:r>
      <w:proofErr w:type="spellEnd"/>
      <w:r w:rsidRPr="00640786">
        <w:rPr>
          <w:lang w:val="es-419"/>
        </w:rPr>
        <w:t xml:space="preserve"> </w:t>
      </w:r>
      <w:proofErr w:type="spellStart"/>
      <w:r w:rsidRPr="00640786">
        <w:rPr>
          <w:lang w:val="es-419"/>
        </w:rPr>
        <w:t>för</w:t>
      </w:r>
      <w:proofErr w:type="spellEnd"/>
      <w:r w:rsidRPr="00640786">
        <w:rPr>
          <w:lang w:val="es-419"/>
        </w:rPr>
        <w:t xml:space="preserve"> </w:t>
      </w:r>
      <w:proofErr w:type="spellStart"/>
      <w:r w:rsidRPr="00640786">
        <w:rPr>
          <w:lang w:val="es-419"/>
        </w:rPr>
        <w:t>Rättvisa</w:t>
      </w:r>
      <w:proofErr w:type="spellEnd"/>
      <w:r w:rsidRPr="00640786">
        <w:rPr>
          <w:lang w:val="es-419"/>
        </w:rPr>
        <w:t xml:space="preserve"> v. </w:t>
      </w:r>
      <w:proofErr w:type="spellStart"/>
      <w:r w:rsidRPr="00640786">
        <w:rPr>
          <w:lang w:val="es-419"/>
        </w:rPr>
        <w:t>Sweden</w:t>
      </w:r>
      <w:proofErr w:type="spellEnd"/>
      <w:r w:rsidRPr="00640786">
        <w:rPr>
          <w:lang w:val="es-419"/>
        </w:rPr>
        <w:t xml:space="preserve">, para. </w:t>
      </w:r>
      <w:r w:rsidRPr="003C3A74">
        <w:rPr>
          <w:lang w:val="en-GB"/>
        </w:rPr>
        <w:t>261</w:t>
      </w:r>
      <w:r>
        <w:rPr>
          <w:lang w:val="en-GB"/>
        </w:rPr>
        <w:t>.</w:t>
      </w:r>
    </w:p>
  </w:footnote>
  <w:footnote w:id="6">
    <w:p w14:paraId="6EA13E12" w14:textId="6C28268C" w:rsidR="00DB2CF7" w:rsidRPr="00DB2CF7" w:rsidRDefault="00DB2CF7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A/HRC/RES/</w:t>
      </w:r>
      <w:r w:rsidR="00FE3E8C">
        <w:rPr>
          <w:lang w:val="en-GB"/>
        </w:rPr>
        <w:t>48</w:t>
      </w:r>
      <w:r>
        <w:rPr>
          <w:lang w:val="en-GB"/>
        </w:rPr>
        <w:t>/</w:t>
      </w:r>
      <w:r w:rsidR="00FE3E8C">
        <w:rPr>
          <w:lang w:val="en-GB"/>
        </w:rPr>
        <w:t>7/PP7</w:t>
      </w:r>
      <w:r>
        <w:rPr>
          <w:lang w:val="en-GB"/>
        </w:rPr>
        <w:t xml:space="preserve"> </w:t>
      </w:r>
      <w:r w:rsidRPr="00DB2CF7">
        <w:rPr>
          <w:i/>
          <w:iCs/>
          <w:lang w:val="en-GB"/>
        </w:rPr>
        <w:t>Preamble</w:t>
      </w:r>
      <w:r>
        <w:rPr>
          <w:i/>
          <w:iCs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3911" w14:textId="6867B347" w:rsidR="00640786" w:rsidRDefault="00640786" w:rsidP="00FE3E8C">
    <w:pPr>
      <w:pStyle w:val="Header"/>
      <w:jc w:val="center"/>
    </w:pPr>
    <w:r w:rsidRPr="00640786">
      <w:rPr>
        <w:rFonts w:ascii="Times New Roman" w:eastAsia="Times New Roman" w:hAnsi="Times New Roman" w:cs="Times New Roman"/>
        <w:noProof/>
        <w:lang w:val="en-GB" w:eastAsia="en-GB" w:bidi="he-IL"/>
      </w:rPr>
      <w:drawing>
        <wp:inline distT="0" distB="0" distL="0" distR="0" wp14:anchorId="6D559F87" wp14:editId="3BB9DE59">
          <wp:extent cx="1816100" cy="774869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651" cy="780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D49C1"/>
    <w:multiLevelType w:val="multilevel"/>
    <w:tmpl w:val="B4604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7E"/>
    <w:rsid w:val="000025AB"/>
    <w:rsid w:val="00005A40"/>
    <w:rsid w:val="00032CD1"/>
    <w:rsid w:val="0003330E"/>
    <w:rsid w:val="000440DB"/>
    <w:rsid w:val="000531D3"/>
    <w:rsid w:val="00053A90"/>
    <w:rsid w:val="00073FD6"/>
    <w:rsid w:val="000A0ACE"/>
    <w:rsid w:val="000A1365"/>
    <w:rsid w:val="000B2811"/>
    <w:rsid w:val="00105CC0"/>
    <w:rsid w:val="00106638"/>
    <w:rsid w:val="00107F29"/>
    <w:rsid w:val="00115FD3"/>
    <w:rsid w:val="0011769B"/>
    <w:rsid w:val="00123FF1"/>
    <w:rsid w:val="00145966"/>
    <w:rsid w:val="00173ED5"/>
    <w:rsid w:val="0019644A"/>
    <w:rsid w:val="0024604F"/>
    <w:rsid w:val="00262ACB"/>
    <w:rsid w:val="00263424"/>
    <w:rsid w:val="00276797"/>
    <w:rsid w:val="0032295F"/>
    <w:rsid w:val="00341B48"/>
    <w:rsid w:val="00341E7E"/>
    <w:rsid w:val="003C3A74"/>
    <w:rsid w:val="00411DDD"/>
    <w:rsid w:val="004433E1"/>
    <w:rsid w:val="004949A0"/>
    <w:rsid w:val="00494DEF"/>
    <w:rsid w:val="004A2D33"/>
    <w:rsid w:val="004A338A"/>
    <w:rsid w:val="004A68BB"/>
    <w:rsid w:val="004A793D"/>
    <w:rsid w:val="00526B70"/>
    <w:rsid w:val="0053306F"/>
    <w:rsid w:val="00554FF2"/>
    <w:rsid w:val="00572739"/>
    <w:rsid w:val="005814C6"/>
    <w:rsid w:val="005C34A6"/>
    <w:rsid w:val="005D7A7B"/>
    <w:rsid w:val="00640786"/>
    <w:rsid w:val="0064172D"/>
    <w:rsid w:val="0068337C"/>
    <w:rsid w:val="00696934"/>
    <w:rsid w:val="006A75F2"/>
    <w:rsid w:val="006C3C77"/>
    <w:rsid w:val="006C421D"/>
    <w:rsid w:val="006E2ADD"/>
    <w:rsid w:val="00722D37"/>
    <w:rsid w:val="00745F88"/>
    <w:rsid w:val="00757FF3"/>
    <w:rsid w:val="00784F47"/>
    <w:rsid w:val="00795578"/>
    <w:rsid w:val="007A6548"/>
    <w:rsid w:val="007C2568"/>
    <w:rsid w:val="007E2425"/>
    <w:rsid w:val="007E2868"/>
    <w:rsid w:val="00815473"/>
    <w:rsid w:val="008308FA"/>
    <w:rsid w:val="00853C7E"/>
    <w:rsid w:val="00863130"/>
    <w:rsid w:val="008710BC"/>
    <w:rsid w:val="008A65BD"/>
    <w:rsid w:val="008B6952"/>
    <w:rsid w:val="0091045B"/>
    <w:rsid w:val="00913622"/>
    <w:rsid w:val="00943A3C"/>
    <w:rsid w:val="00964716"/>
    <w:rsid w:val="009900B6"/>
    <w:rsid w:val="00994D51"/>
    <w:rsid w:val="009A4BD8"/>
    <w:rsid w:val="009A4CD3"/>
    <w:rsid w:val="00A41F4A"/>
    <w:rsid w:val="00A643BF"/>
    <w:rsid w:val="00A91B8F"/>
    <w:rsid w:val="00AD1613"/>
    <w:rsid w:val="00AD36D8"/>
    <w:rsid w:val="00AF7E7C"/>
    <w:rsid w:val="00B642A6"/>
    <w:rsid w:val="00B776BC"/>
    <w:rsid w:val="00BD4290"/>
    <w:rsid w:val="00C16809"/>
    <w:rsid w:val="00C17810"/>
    <w:rsid w:val="00C413E5"/>
    <w:rsid w:val="00C6223E"/>
    <w:rsid w:val="00C8504A"/>
    <w:rsid w:val="00CC6A20"/>
    <w:rsid w:val="00D40B34"/>
    <w:rsid w:val="00DB2CF7"/>
    <w:rsid w:val="00DD4CDE"/>
    <w:rsid w:val="00DE69B9"/>
    <w:rsid w:val="00DF249D"/>
    <w:rsid w:val="00E03A08"/>
    <w:rsid w:val="00E12EC5"/>
    <w:rsid w:val="00E141C9"/>
    <w:rsid w:val="00E278D7"/>
    <w:rsid w:val="00E422E8"/>
    <w:rsid w:val="00E92723"/>
    <w:rsid w:val="00F03F11"/>
    <w:rsid w:val="00F5225E"/>
    <w:rsid w:val="00F5320C"/>
    <w:rsid w:val="00F6772C"/>
    <w:rsid w:val="00F92A74"/>
    <w:rsid w:val="00F93A11"/>
    <w:rsid w:val="00FC3BF8"/>
    <w:rsid w:val="00FD5721"/>
    <w:rsid w:val="00FE3E8C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7FDB"/>
  <w15:chartTrackingRefBased/>
  <w15:docId w15:val="{01C1F023-E5B2-5940-8B81-472F5246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C7E"/>
    <w:pPr>
      <w:ind w:left="720"/>
      <w:contextualSpacing/>
    </w:pPr>
  </w:style>
  <w:style w:type="character" w:customStyle="1" w:styleId="markedcontent">
    <w:name w:val="markedcontent"/>
    <w:basedOn w:val="DefaultParagraphFont"/>
    <w:rsid w:val="00106638"/>
  </w:style>
  <w:style w:type="paragraph" w:styleId="FootnoteText">
    <w:name w:val="footnote text"/>
    <w:basedOn w:val="Normal"/>
    <w:link w:val="FootnoteTextChar"/>
    <w:uiPriority w:val="99"/>
    <w:semiHidden/>
    <w:unhideWhenUsed/>
    <w:rsid w:val="00173E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3E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3ED5"/>
    <w:rPr>
      <w:vertAlign w:val="superscript"/>
    </w:rPr>
  </w:style>
  <w:style w:type="character" w:customStyle="1" w:styleId="sb8d990e2">
    <w:name w:val="sb8d990e2"/>
    <w:basedOn w:val="DefaultParagraphFont"/>
    <w:rsid w:val="00262ACB"/>
  </w:style>
  <w:style w:type="character" w:styleId="CommentReference">
    <w:name w:val="annotation reference"/>
    <w:basedOn w:val="DefaultParagraphFont"/>
    <w:uiPriority w:val="99"/>
    <w:semiHidden/>
    <w:unhideWhenUsed/>
    <w:rsid w:val="00FE7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3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3622"/>
  </w:style>
  <w:style w:type="paragraph" w:styleId="Header">
    <w:name w:val="header"/>
    <w:basedOn w:val="Normal"/>
    <w:link w:val="HeaderChar"/>
    <w:uiPriority w:val="99"/>
    <w:unhideWhenUsed/>
    <w:rsid w:val="006407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786"/>
  </w:style>
  <w:style w:type="paragraph" w:styleId="Footer">
    <w:name w:val="footer"/>
    <w:basedOn w:val="Normal"/>
    <w:link w:val="FooterChar"/>
    <w:uiPriority w:val="99"/>
    <w:unhideWhenUsed/>
    <w:rsid w:val="006407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1544</Words>
  <Characters>8246</Characters>
  <Application>Microsoft Office Word</Application>
  <DocSecurity>4</DocSecurity>
  <Lines>161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charbord</dc:creator>
  <cp:keywords/>
  <dc:description/>
  <cp:lastModifiedBy>Karen Lorena Reyes Tolosa</cp:lastModifiedBy>
  <cp:revision>2</cp:revision>
  <cp:lastPrinted>2022-09-26T14:18:00Z</cp:lastPrinted>
  <dcterms:created xsi:type="dcterms:W3CDTF">2022-10-21T09:32:00Z</dcterms:created>
  <dcterms:modified xsi:type="dcterms:W3CDTF">2022-10-21T09:32:00Z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776d509d29aff3d424cb5bc1b3cd9bac9aa66abf272e2ce1a2fe96051e0bc447</vt:lpwstr>
  </property>
</Properties>
</file>