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D88B3" w14:textId="6226DD5F" w:rsidR="00E41A54" w:rsidRPr="0006083D" w:rsidRDefault="00E41A54" w:rsidP="00E41A54">
      <w:pPr>
        <w:pStyle w:val="EEB1stTitle"/>
        <w:jc w:val="center"/>
        <w:rPr>
          <w:lang w:val="en-US"/>
        </w:rPr>
      </w:pPr>
      <w:r w:rsidRPr="0006083D">
        <w:rPr>
          <w:lang w:val="en-US"/>
        </w:rPr>
        <w:t>EEB Inputs on Gender and Toxics to inform the preparation of the thematic report of the Special Rapporteur to the Human Rights Council</w:t>
      </w:r>
    </w:p>
    <w:p w14:paraId="5AF1F8C4" w14:textId="77777777" w:rsidR="00E41A54" w:rsidRPr="00396653" w:rsidRDefault="00E41A54" w:rsidP="00E41A54">
      <w:pPr>
        <w:pStyle w:val="EEB1stTitle"/>
        <w:jc w:val="center"/>
        <w:rPr>
          <w:lang w:val="en-US"/>
        </w:rPr>
      </w:pPr>
      <w:r w:rsidRPr="00396653">
        <w:rPr>
          <w:lang w:val="en-US"/>
        </w:rPr>
        <w:t>Brussels, 12 March 2024</w:t>
      </w:r>
    </w:p>
    <w:p w14:paraId="40B42D52" w14:textId="44E5F91F" w:rsidR="004A0A58" w:rsidRPr="004A0A58" w:rsidRDefault="00152763" w:rsidP="00E41A54">
      <w:pPr>
        <w:pStyle w:val="EEB2ndHeading"/>
        <w:rPr>
          <w:lang w:val="en-US"/>
        </w:rPr>
      </w:pPr>
      <w:r w:rsidRPr="00152763">
        <w:rPr>
          <w:lang w:val="en-US"/>
        </w:rPr>
        <w:t xml:space="preserve">Gender and chemicals: eliminating hazardous chemicals from our </w:t>
      </w:r>
      <w:proofErr w:type="gramStart"/>
      <w:r w:rsidRPr="00152763">
        <w:rPr>
          <w:lang w:val="en-US"/>
        </w:rPr>
        <w:t>environments</w:t>
      </w:r>
      <w:proofErr w:type="gramEnd"/>
    </w:p>
    <w:p w14:paraId="5FC7EFB9" w14:textId="295888B3" w:rsidR="00152763" w:rsidRPr="00152763" w:rsidRDefault="00152763" w:rsidP="00152763">
      <w:pPr>
        <w:rPr>
          <w:i/>
          <w:iCs/>
          <w:lang w:val="en-US"/>
        </w:rPr>
      </w:pPr>
      <w:r w:rsidRPr="00152763">
        <w:rPr>
          <w:i/>
          <w:iCs/>
          <w:lang w:val="en-US"/>
        </w:rPr>
        <w:t xml:space="preserve">Disclaimer: This chapter discusses the differentiated effects of chemical exposure on bodies with female versus male anatomy. When using terms e.g., ‘women’, it should be noted that this describes those with female anatomy because there is a lack of data regarding trans and intersex people in the European Union. We </w:t>
      </w:r>
      <w:proofErr w:type="spellStart"/>
      <w:r w:rsidRPr="00152763">
        <w:rPr>
          <w:i/>
          <w:iCs/>
          <w:lang w:val="en-US"/>
        </w:rPr>
        <w:t>recognise</w:t>
      </w:r>
      <w:proofErr w:type="spellEnd"/>
      <w:r w:rsidRPr="00152763">
        <w:rPr>
          <w:i/>
          <w:iCs/>
          <w:lang w:val="en-US"/>
        </w:rPr>
        <w:t xml:space="preserve"> this gap in the research and in using the terms women, men, female, male we make no assumption about the gender identity of individuals and place no normative assumptions on bodies.</w:t>
      </w:r>
    </w:p>
    <w:p w14:paraId="0D530889" w14:textId="77777777" w:rsidR="00152763" w:rsidRDefault="00152763" w:rsidP="004252CD">
      <w:pPr>
        <w:pStyle w:val="EEB3rdHeading"/>
        <w:rPr>
          <w:lang w:val="en-US"/>
        </w:rPr>
      </w:pPr>
      <w:r w:rsidRPr="00152763">
        <w:rPr>
          <w:lang w:val="en-US"/>
        </w:rPr>
        <w:t>Gender and vulnerability to chemicals</w:t>
      </w:r>
    </w:p>
    <w:p w14:paraId="25892BA7" w14:textId="457B2D23" w:rsidR="00152763" w:rsidRDefault="00152763" w:rsidP="00152763">
      <w:pPr>
        <w:rPr>
          <w:lang w:val="en-US"/>
        </w:rPr>
      </w:pPr>
      <w:r w:rsidRPr="00152763">
        <w:rPr>
          <w:lang w:val="en-US"/>
        </w:rPr>
        <w:t xml:space="preserve">More than 1,5 million people die from exposure to harmful chemicals every year worldwide according to The World Health </w:t>
      </w:r>
      <w:proofErr w:type="spellStart"/>
      <w:r w:rsidRPr="00152763">
        <w:rPr>
          <w:lang w:val="en-US"/>
        </w:rPr>
        <w:t>Organisation</w:t>
      </w:r>
      <w:proofErr w:type="spellEnd"/>
      <w:r w:rsidRPr="00152763">
        <w:rPr>
          <w:lang w:val="en-US"/>
        </w:rPr>
        <w:t xml:space="preserve"> (WHO). Due to socio-economic, occupational, biological, and other factors, women suffer a greater health toll from chemicals than men. In European health and environmental policies these differences are generally not sufficiently considered when assessing the risks of chemicals and </w:t>
      </w:r>
      <w:proofErr w:type="spellStart"/>
      <w:r w:rsidRPr="00152763">
        <w:rPr>
          <w:lang w:val="en-US"/>
        </w:rPr>
        <w:t>authorising</w:t>
      </w:r>
      <w:proofErr w:type="spellEnd"/>
      <w:r w:rsidRPr="00152763">
        <w:rPr>
          <w:lang w:val="en-US"/>
        </w:rPr>
        <w:t xml:space="preserve"> their use on the European market.</w:t>
      </w:r>
    </w:p>
    <w:p w14:paraId="2FD855E8" w14:textId="2F766145" w:rsidR="00152763" w:rsidRDefault="00152763" w:rsidP="006D01B5">
      <w:pPr>
        <w:pStyle w:val="EEB3rdHeading"/>
        <w:rPr>
          <w:lang w:val="en-US"/>
        </w:rPr>
      </w:pPr>
      <w:r w:rsidRPr="00152763">
        <w:rPr>
          <w:lang w:val="en-US"/>
        </w:rPr>
        <w:t xml:space="preserve">Women’s health is differently impacted by </w:t>
      </w:r>
      <w:proofErr w:type="gramStart"/>
      <w:r w:rsidRPr="00152763">
        <w:rPr>
          <w:lang w:val="en-US"/>
        </w:rPr>
        <w:t>chemicals</w:t>
      </w:r>
      <w:proofErr w:type="gramEnd"/>
    </w:p>
    <w:p w14:paraId="063FA470" w14:textId="120AB391" w:rsidR="00152763" w:rsidRPr="00152763" w:rsidRDefault="00152763" w:rsidP="00152763">
      <w:pPr>
        <w:rPr>
          <w:lang w:val="en-US"/>
        </w:rPr>
      </w:pPr>
      <w:r w:rsidRPr="00152763">
        <w:rPr>
          <w:lang w:val="en-US"/>
        </w:rPr>
        <w:t xml:space="preserve">Physiological, anatomic, and other biologic differences influence susceptibility to chemicals. For example, different body composition results in a higher capacity of women to accumulate toxic chemicals as women have higher average body fat percentage than men. Women and men have different metabolism and intestinal microbiota and therefore, different capacities to absorb and </w:t>
      </w:r>
      <w:proofErr w:type="spellStart"/>
      <w:r w:rsidRPr="00152763">
        <w:rPr>
          <w:lang w:val="en-US"/>
        </w:rPr>
        <w:t>metabolise</w:t>
      </w:r>
      <w:proofErr w:type="spellEnd"/>
      <w:r w:rsidRPr="00152763">
        <w:rPr>
          <w:lang w:val="en-US"/>
        </w:rPr>
        <w:t xml:space="preserve"> chemicals. Differences in reproductive, cardiovascular, and nervous systems result in different health impacts from exposure to chemicals and impacts at different doses. Different hormone systems with higher levels of </w:t>
      </w:r>
      <w:proofErr w:type="spellStart"/>
      <w:r w:rsidRPr="00152763">
        <w:rPr>
          <w:lang w:val="en-US"/>
        </w:rPr>
        <w:t>oestrogens</w:t>
      </w:r>
      <w:proofErr w:type="spellEnd"/>
      <w:r w:rsidRPr="00152763">
        <w:rPr>
          <w:lang w:val="en-US"/>
        </w:rPr>
        <w:t xml:space="preserve"> result in higher susceptibility to exposure to </w:t>
      </w:r>
      <w:proofErr w:type="spellStart"/>
      <w:r w:rsidRPr="00152763">
        <w:rPr>
          <w:lang w:val="en-US"/>
        </w:rPr>
        <w:t>xeno-oestrogenes</w:t>
      </w:r>
      <w:proofErr w:type="spellEnd"/>
      <w:r w:rsidRPr="00152763">
        <w:rPr>
          <w:lang w:val="en-US"/>
        </w:rPr>
        <w:t xml:space="preserve"> such as plastic ingredients and pesticides. Increased concentrations of natural and synthetic </w:t>
      </w:r>
      <w:proofErr w:type="spellStart"/>
      <w:r w:rsidRPr="00152763">
        <w:rPr>
          <w:lang w:val="en-US"/>
        </w:rPr>
        <w:t>oestrogens</w:t>
      </w:r>
      <w:proofErr w:type="spellEnd"/>
      <w:r w:rsidRPr="00152763">
        <w:rPr>
          <w:lang w:val="en-US"/>
        </w:rPr>
        <w:t xml:space="preserve"> are related to breast cancer, endometriosis, and other diseases of the reproductive system. Women experience higher prevalence of disorders such as </w:t>
      </w:r>
      <w:proofErr w:type="spellStart"/>
      <w:r w:rsidRPr="00152763">
        <w:rPr>
          <w:lang w:val="en-US"/>
        </w:rPr>
        <w:t>anaemia</w:t>
      </w:r>
      <w:proofErr w:type="spellEnd"/>
      <w:r w:rsidRPr="00152763">
        <w:rPr>
          <w:lang w:val="en-US"/>
        </w:rPr>
        <w:t xml:space="preserve"> and iron deficits, which range between 9% in young women and 70% in adult women, while only 2% of men are affected. Chronic deficiency in iron increases absorption of toxic metals such as lead, cadmium, and mercury. The prevalence of autoimmune diseases and fibromyalgia, related </w:t>
      </w:r>
      <w:r w:rsidRPr="00152763">
        <w:rPr>
          <w:lang w:val="en-US"/>
        </w:rPr>
        <w:lastRenderedPageBreak/>
        <w:t>to exposure to environmental pollutants and occupational exposure to chemicals is also much higher in women than in men.</w:t>
      </w:r>
      <w:r>
        <w:rPr>
          <w:rStyle w:val="FootnoteReference"/>
          <w:lang w:val="en-US"/>
        </w:rPr>
        <w:footnoteReference w:id="1"/>
      </w:r>
      <w:r w:rsidRPr="00152763">
        <w:rPr>
          <w:lang w:val="en-US"/>
        </w:rPr>
        <w:t xml:space="preserve"> </w:t>
      </w:r>
    </w:p>
    <w:p w14:paraId="6806E018" w14:textId="25DFBA68" w:rsidR="00152763" w:rsidRDefault="00152763" w:rsidP="00152763">
      <w:pPr>
        <w:rPr>
          <w:lang w:val="en-US"/>
        </w:rPr>
      </w:pPr>
      <w:r w:rsidRPr="00152763">
        <w:rPr>
          <w:lang w:val="en-US"/>
        </w:rPr>
        <w:t>During pregnancy, postpartum and lactation many important physiological and anatomical changes</w:t>
      </w:r>
      <w:r>
        <w:rPr>
          <w:rStyle w:val="FootnoteReference"/>
          <w:lang w:val="en-US"/>
        </w:rPr>
        <w:footnoteReference w:id="2"/>
      </w:r>
      <w:r w:rsidRPr="00152763">
        <w:rPr>
          <w:lang w:val="en-US"/>
        </w:rPr>
        <w:t xml:space="preserve"> occur in women’s bodies that affect women’s exposure to chemicals.</w:t>
      </w:r>
      <w:r>
        <w:rPr>
          <w:rStyle w:val="FootnoteReference"/>
          <w:lang w:val="en-US"/>
        </w:rPr>
        <w:footnoteReference w:id="3"/>
      </w:r>
      <w:r w:rsidRPr="00152763">
        <w:rPr>
          <w:lang w:val="en-US"/>
        </w:rPr>
        <w:t xml:space="preserve"> For example, to provide for the demands of the baby, increased inhalation and demand of water and nutrients may increase the woman’s intake of environmental and food pollutants. Metabolic changes experienced during maternity impact the distribution and metabolism of chemicals and may increase internal concentrations of pollutants and therefore the risks posed by hazardous chemicals.</w:t>
      </w:r>
    </w:p>
    <w:p w14:paraId="52CEAC7A" w14:textId="2DA91C27" w:rsidR="00152763" w:rsidRDefault="00152763" w:rsidP="006D01B5">
      <w:pPr>
        <w:pStyle w:val="EEB3rdHeading"/>
        <w:rPr>
          <w:lang w:val="en-US"/>
        </w:rPr>
      </w:pPr>
      <w:r w:rsidRPr="00152763">
        <w:rPr>
          <w:lang w:val="en-US"/>
        </w:rPr>
        <w:t xml:space="preserve">Social factors and gender roles resulting in different health </w:t>
      </w:r>
      <w:proofErr w:type="gramStart"/>
      <w:r w:rsidRPr="00152763">
        <w:rPr>
          <w:lang w:val="en-US"/>
        </w:rPr>
        <w:t>impacts</w:t>
      </w:r>
      <w:proofErr w:type="gramEnd"/>
    </w:p>
    <w:p w14:paraId="38E06408" w14:textId="77777777" w:rsidR="00152763" w:rsidRDefault="00152763" w:rsidP="00152763">
      <w:pPr>
        <w:rPr>
          <w:lang w:val="en-US"/>
        </w:rPr>
      </w:pPr>
      <w:r w:rsidRPr="00152763">
        <w:rPr>
          <w:lang w:val="en-US"/>
        </w:rPr>
        <w:t xml:space="preserve">Many social factors result in a differentiated exposure of women and men to chemicals. </w:t>
      </w:r>
    </w:p>
    <w:p w14:paraId="7D18CB40" w14:textId="4422B747" w:rsidR="00152763" w:rsidRDefault="00152763" w:rsidP="00152763">
      <w:pPr>
        <w:rPr>
          <w:lang w:val="en-US"/>
        </w:rPr>
      </w:pPr>
      <w:r w:rsidRPr="00152763">
        <w:rPr>
          <w:lang w:val="en-US"/>
        </w:rPr>
        <w:t xml:space="preserve">Differentiated occupations result in differentiated exposures to hazardous chemicals. Examples of </w:t>
      </w:r>
      <w:proofErr w:type="spellStart"/>
      <w:r w:rsidRPr="00152763">
        <w:rPr>
          <w:lang w:val="en-US"/>
        </w:rPr>
        <w:t>feminised</w:t>
      </w:r>
      <w:proofErr w:type="spellEnd"/>
      <w:r w:rsidRPr="00152763">
        <w:rPr>
          <w:lang w:val="en-US"/>
        </w:rPr>
        <w:t xml:space="preserve"> sectors</w:t>
      </w:r>
      <w:r>
        <w:rPr>
          <w:rStyle w:val="FootnoteReference"/>
          <w:lang w:val="en-US"/>
        </w:rPr>
        <w:footnoteReference w:id="4"/>
      </w:r>
      <w:r w:rsidRPr="00152763">
        <w:rPr>
          <w:lang w:val="en-US"/>
        </w:rPr>
        <w:t xml:space="preserve"> with high exposure to chemicals include personal care workers, cleaners, health professionals or cashiers (bisphenols form tickets). Many of these sectors also employ a higher proportion of Black women and women of </w:t>
      </w:r>
      <w:proofErr w:type="spellStart"/>
      <w:r w:rsidRPr="00152763">
        <w:rPr>
          <w:lang w:val="en-US"/>
        </w:rPr>
        <w:t>colour</w:t>
      </w:r>
      <w:proofErr w:type="spellEnd"/>
      <w:r w:rsidRPr="00152763">
        <w:rPr>
          <w:lang w:val="en-US"/>
        </w:rPr>
        <w:t xml:space="preserve">, who may be more exposed to hazardous chemicals. For example, data from 2018 identified 60 substances of very high concern (CMR substances, </w:t>
      </w:r>
      <w:proofErr w:type="spellStart"/>
      <w:r w:rsidRPr="00152763">
        <w:rPr>
          <w:lang w:val="en-US"/>
        </w:rPr>
        <w:t>sensitisers</w:t>
      </w:r>
      <w:proofErr w:type="spellEnd"/>
      <w:r w:rsidRPr="00152763">
        <w:rPr>
          <w:lang w:val="en-US"/>
        </w:rPr>
        <w:t>, potential endocrine disruptors) among 700 compounds found in the workplace of nail care professionals.</w:t>
      </w:r>
      <w:r>
        <w:rPr>
          <w:rStyle w:val="FootnoteReference"/>
          <w:lang w:val="en-US"/>
        </w:rPr>
        <w:footnoteReference w:id="5"/>
      </w:r>
      <w:r w:rsidRPr="00152763">
        <w:rPr>
          <w:lang w:val="en-US"/>
        </w:rPr>
        <w:t xml:space="preserve"> These chemicals can be linked to dermatitis, asthma, headaches, or </w:t>
      </w:r>
      <w:proofErr w:type="spellStart"/>
      <w:r w:rsidRPr="00152763">
        <w:rPr>
          <w:lang w:val="en-US"/>
        </w:rPr>
        <w:t>musculo</w:t>
      </w:r>
      <w:proofErr w:type="spellEnd"/>
      <w:r w:rsidRPr="00152763">
        <w:rPr>
          <w:lang w:val="en-US"/>
        </w:rPr>
        <w:t xml:space="preserve">-skeletal disorders in women who make up </w:t>
      </w:r>
      <w:proofErr w:type="gramStart"/>
      <w:r w:rsidRPr="00152763">
        <w:rPr>
          <w:lang w:val="en-US"/>
        </w:rPr>
        <w:t>the vast majority of</w:t>
      </w:r>
      <w:proofErr w:type="gramEnd"/>
      <w:r w:rsidRPr="00152763">
        <w:rPr>
          <w:lang w:val="en-US"/>
        </w:rPr>
        <w:t xml:space="preserve"> workers in this sector. Regular users at home should also be careful. </w:t>
      </w:r>
    </w:p>
    <w:p w14:paraId="47ABF68B" w14:textId="094D3AEB" w:rsidR="00152763" w:rsidRDefault="00152763" w:rsidP="00152763">
      <w:pPr>
        <w:rPr>
          <w:lang w:val="en-US"/>
        </w:rPr>
      </w:pPr>
      <w:r w:rsidRPr="00152763">
        <w:rPr>
          <w:lang w:val="en-US"/>
        </w:rPr>
        <w:t>Exposure at home and lifestyle adds to exposure during working shifts, resulting in double exposures. Due to the distribution of roles in society, women are more susceptible than men to be exposed at home to chemicals of concern contained in consumer products, since they most often take care of housework such as cleaning and cooking in heterosexual relationships. In a European Union (EU) member state such as France, women still carry out 72% of the housework.</w:t>
      </w:r>
      <w:r>
        <w:rPr>
          <w:rStyle w:val="FootnoteReference"/>
          <w:lang w:val="en-US"/>
        </w:rPr>
        <w:footnoteReference w:id="6"/>
      </w:r>
      <w:r w:rsidRPr="00152763">
        <w:rPr>
          <w:lang w:val="en-US"/>
        </w:rPr>
        <w:t xml:space="preserve"> </w:t>
      </w:r>
    </w:p>
    <w:p w14:paraId="4F0FE064" w14:textId="263DE2D2" w:rsidR="00152763" w:rsidRDefault="00152763" w:rsidP="00152763">
      <w:pPr>
        <w:rPr>
          <w:lang w:val="en-US"/>
        </w:rPr>
      </w:pPr>
      <w:r w:rsidRPr="00152763">
        <w:rPr>
          <w:lang w:val="en-US"/>
        </w:rPr>
        <w:lastRenderedPageBreak/>
        <w:t>Cleaning products are one of the main product categories which exposes women to toxic chemicals at home, with potential adverse health effects at short or long term. The European Community Respiratory Health Survey</w:t>
      </w:r>
      <w:r w:rsidR="003426B4">
        <w:rPr>
          <w:rStyle w:val="FootnoteReference"/>
          <w:lang w:val="en-US"/>
        </w:rPr>
        <w:footnoteReference w:id="7"/>
      </w:r>
      <w:r w:rsidRPr="00152763">
        <w:rPr>
          <w:lang w:val="en-US"/>
        </w:rPr>
        <w:t xml:space="preserve"> conducted in 9 EU countries explored the</w:t>
      </w:r>
      <w:r>
        <w:rPr>
          <w:lang w:val="en-US"/>
        </w:rPr>
        <w:t xml:space="preserve"> </w:t>
      </w:r>
      <w:r w:rsidRPr="00152763">
        <w:rPr>
          <w:lang w:val="en-US"/>
        </w:rPr>
        <w:t xml:space="preserve">long-term consequences of the use of cleaning products. 85% of the 3,298 women taking part in the survey </w:t>
      </w:r>
      <w:proofErr w:type="gramStart"/>
      <w:r w:rsidRPr="00152763">
        <w:rPr>
          <w:lang w:val="en-US"/>
        </w:rPr>
        <w:t>were in charge of</w:t>
      </w:r>
      <w:proofErr w:type="gramEnd"/>
      <w:r w:rsidRPr="00152763">
        <w:rPr>
          <w:lang w:val="en-US"/>
        </w:rPr>
        <w:t xml:space="preserve"> cleaning at home, vs 46% of men surveyed. Women using cleaning products at home, or professional cleaners appear to suffer more frequently from asthma, and to have an accelerated decline in lung function.</w:t>
      </w:r>
    </w:p>
    <w:p w14:paraId="45ECA7A9" w14:textId="7B914130" w:rsidR="00152763" w:rsidRDefault="00152763" w:rsidP="00152763">
      <w:pPr>
        <w:rPr>
          <w:lang w:val="en-US"/>
        </w:rPr>
      </w:pPr>
      <w:r w:rsidRPr="00152763">
        <w:rPr>
          <w:lang w:val="en-US"/>
        </w:rPr>
        <w:t>Pesticides are another common source of exposure of women to toxic chemicals, whether in food or indoor/outdoor air. Data from the French national cohort study on pregnant women and newborns</w:t>
      </w:r>
      <w:r w:rsidR="003426B4">
        <w:rPr>
          <w:rStyle w:val="FootnoteReference"/>
          <w:lang w:val="en-US"/>
        </w:rPr>
        <w:footnoteReference w:id="8"/>
      </w:r>
      <w:r w:rsidRPr="00152763">
        <w:rPr>
          <w:lang w:val="en-US"/>
        </w:rPr>
        <w:t xml:space="preserve"> show an important contamination of pregnant women by pyrethroids, a category of pesticides used at home - with pesticides use, living near arable fields, alcohol or fish consumption identified as main sources. It is not surprising that endocrine disruptors, reprotoxic, persistent, carcinogenic substances, and other chemicals of concern have been found in the 4,145 women participants. Another recent stud</w:t>
      </w:r>
      <w:r w:rsidR="003426B4">
        <w:rPr>
          <w:lang w:val="en-US"/>
        </w:rPr>
        <w:t>y</w:t>
      </w:r>
      <w:r w:rsidR="003426B4">
        <w:rPr>
          <w:rStyle w:val="FootnoteReference"/>
          <w:lang w:val="en-US"/>
        </w:rPr>
        <w:footnoteReference w:id="9"/>
      </w:r>
      <w:r w:rsidRPr="00152763">
        <w:rPr>
          <w:lang w:val="en-US"/>
        </w:rPr>
        <w:t xml:space="preserve"> on more than 13,000 women found a correlation between consumption of food containing 25 active substances commonly used in pesticides in the EU (chlorpyrifos, </w:t>
      </w:r>
      <w:proofErr w:type="spellStart"/>
      <w:r w:rsidRPr="00152763">
        <w:rPr>
          <w:lang w:val="en-US"/>
        </w:rPr>
        <w:t>imazalil</w:t>
      </w:r>
      <w:proofErr w:type="spellEnd"/>
      <w:r w:rsidRPr="00152763">
        <w:rPr>
          <w:lang w:val="en-US"/>
        </w:rPr>
        <w:t xml:space="preserve">, malathion, thiabendazole), and postmenopausal breast cancer, especially for overweight and obese women. </w:t>
      </w:r>
    </w:p>
    <w:p w14:paraId="3B02AE75" w14:textId="2CF05CF8" w:rsidR="00152763" w:rsidRPr="003426B4" w:rsidRDefault="00152763" w:rsidP="00152763">
      <w:pPr>
        <w:rPr>
          <w:lang w:val="en-US"/>
        </w:rPr>
      </w:pPr>
      <w:r w:rsidRPr="00152763">
        <w:rPr>
          <w:lang w:val="en-US"/>
        </w:rPr>
        <w:t xml:space="preserve">Cosmetics are a direct and daily source of exposure of women to chemicals of (potential) concern, with a woman using an average of 16 different cosmetics per day, even at a young age, due to the beauty ideal within our culture that reinforces stereotyped cis </w:t>
      </w:r>
      <w:proofErr w:type="gramStart"/>
      <w:r w:rsidRPr="00152763">
        <w:rPr>
          <w:lang w:val="en-US"/>
        </w:rPr>
        <w:t>white young</w:t>
      </w:r>
      <w:proofErr w:type="gramEnd"/>
      <w:r w:rsidRPr="00152763">
        <w:rPr>
          <w:lang w:val="en-US"/>
        </w:rPr>
        <w:t xml:space="preserve"> female role models. In 2017, a study conducted in Germany</w:t>
      </w:r>
      <w:r w:rsidR="003426B4">
        <w:rPr>
          <w:rStyle w:val="FootnoteReference"/>
          <w:lang w:val="en-US"/>
        </w:rPr>
        <w:footnoteReference w:id="10"/>
      </w:r>
      <w:r w:rsidRPr="00152763">
        <w:rPr>
          <w:lang w:val="en-US"/>
        </w:rPr>
        <w:t xml:space="preserve"> showed that 85 % of adolescents and young adults use cosmetic products </w:t>
      </w:r>
      <w:proofErr w:type="gramStart"/>
      <w:r w:rsidRPr="00152763">
        <w:rPr>
          <w:lang w:val="en-US"/>
        </w:rPr>
        <w:t>in order to</w:t>
      </w:r>
      <w:proofErr w:type="gramEnd"/>
      <w:r w:rsidRPr="00152763">
        <w:rPr>
          <w:lang w:val="en-US"/>
        </w:rPr>
        <w:t xml:space="preserve"> feel more confident. Cosmetic products can contain endocrine disruptors, allergens, etc. Some families of ingredients are known for their adverse effects: parabens, </w:t>
      </w:r>
      <w:proofErr w:type="spellStart"/>
      <w:r w:rsidRPr="00152763">
        <w:rPr>
          <w:lang w:val="en-US"/>
        </w:rPr>
        <w:t>isothiazolinones</w:t>
      </w:r>
      <w:proofErr w:type="spellEnd"/>
      <w:r w:rsidRPr="00152763">
        <w:rPr>
          <w:lang w:val="en-US"/>
        </w:rPr>
        <w:t xml:space="preserve">, phthalates, benzophenones, etc. While the EU cosmetic regulation bans or limits the concentration of a huge number of ingredients of concern, other ingredients of potential concern remain </w:t>
      </w:r>
      <w:proofErr w:type="spellStart"/>
      <w:r w:rsidRPr="00152763">
        <w:rPr>
          <w:lang w:val="en-US"/>
        </w:rPr>
        <w:t>authorised</w:t>
      </w:r>
      <w:proofErr w:type="spellEnd"/>
      <w:r w:rsidRPr="00152763">
        <w:rPr>
          <w:lang w:val="en-US"/>
        </w:rPr>
        <w:t xml:space="preserve"> on the market. This is the case for hair dyes. Globally, permanent, or semi-permanent hair dyes have been linked with an increased risk of some cancers, with higher risks for products marketed at Black women in the US</w:t>
      </w:r>
      <w:r w:rsidR="003426B4">
        <w:rPr>
          <w:rStyle w:val="FootnoteReference"/>
          <w:lang w:val="en-US"/>
        </w:rPr>
        <w:footnoteReference w:id="11"/>
      </w:r>
      <w:r w:rsidRPr="00152763">
        <w:rPr>
          <w:lang w:val="en-US"/>
        </w:rPr>
        <w:t xml:space="preserve"> – but the regulation of hair dyes within the EU bans </w:t>
      </w:r>
      <w:proofErr w:type="gramStart"/>
      <w:r w:rsidRPr="00152763">
        <w:rPr>
          <w:lang w:val="en-US"/>
        </w:rPr>
        <w:t>a number of</w:t>
      </w:r>
      <w:proofErr w:type="gramEnd"/>
      <w:r w:rsidRPr="00152763">
        <w:rPr>
          <w:lang w:val="en-US"/>
        </w:rPr>
        <w:t xml:space="preserve"> problematic substances (180 banned between 2003 and 2016). 70 to 80% of hair dyes in the EU are permanent or semi-permanent.</w:t>
      </w:r>
      <w:r w:rsidR="003426B4">
        <w:rPr>
          <w:rStyle w:val="FootnoteReference"/>
          <w:lang w:val="en-US"/>
        </w:rPr>
        <w:footnoteReference w:id="12"/>
      </w:r>
      <w:r w:rsidRPr="00152763">
        <w:rPr>
          <w:lang w:val="en-US"/>
        </w:rPr>
        <w:t xml:space="preserve"> Ingredients of concern, such as resorcinol, an endocrine disruptor, and allergenic ingredients, are still widely used in </w:t>
      </w:r>
      <w:r w:rsidRPr="00152763">
        <w:rPr>
          <w:lang w:val="en-US"/>
        </w:rPr>
        <w:lastRenderedPageBreak/>
        <w:t>these products. Another cosmetic product category of specific concern is skin lightening products, which account for more than 26% of violations of the EU cosmetics regulation in RAPEX (EU rapid alert system for dangerous non-food products) for the period 2005-2018.</w:t>
      </w:r>
      <w:r w:rsidR="003426B4">
        <w:rPr>
          <w:rStyle w:val="FootnoteReference"/>
          <w:lang w:val="en-US"/>
        </w:rPr>
        <w:footnoteReference w:id="13"/>
      </w:r>
      <w:r w:rsidRPr="00152763">
        <w:rPr>
          <w:lang w:val="en-US"/>
        </w:rPr>
        <w:t xml:space="preserve"> Presence of hydroquinone, mercury or clobetasol propionate were the causes for these violations. </w:t>
      </w:r>
      <w:r w:rsidRPr="003426B4">
        <w:rPr>
          <w:lang w:val="en-US"/>
        </w:rPr>
        <w:t xml:space="preserve">This is </w:t>
      </w:r>
      <w:proofErr w:type="spellStart"/>
      <w:r w:rsidRPr="003426B4">
        <w:rPr>
          <w:lang w:val="en-US"/>
        </w:rPr>
        <w:t>analysed</w:t>
      </w:r>
      <w:proofErr w:type="spellEnd"/>
      <w:r w:rsidRPr="003426B4">
        <w:rPr>
          <w:lang w:val="en-US"/>
        </w:rPr>
        <w:t xml:space="preserve"> in Chapter 17 of this report</w:t>
      </w:r>
      <w:r w:rsidR="003426B4">
        <w:rPr>
          <w:rStyle w:val="FootnoteReference"/>
          <w:lang w:val="en-US"/>
        </w:rPr>
        <w:footnoteReference w:id="14"/>
      </w:r>
      <w:r w:rsidRPr="003426B4">
        <w:rPr>
          <w:lang w:val="en-US"/>
        </w:rPr>
        <w:t>.</w:t>
      </w:r>
    </w:p>
    <w:p w14:paraId="67253CBA" w14:textId="2CCB518C" w:rsidR="00152763" w:rsidRDefault="00152763" w:rsidP="00152763">
      <w:pPr>
        <w:rPr>
          <w:lang w:val="en-US"/>
        </w:rPr>
      </w:pPr>
      <w:r w:rsidRPr="00152763">
        <w:rPr>
          <w:lang w:val="en-US"/>
        </w:rPr>
        <w:t>It is now recognized that socio-economic status is an important determinant of health.</w:t>
      </w:r>
      <w:r w:rsidR="003426B4">
        <w:rPr>
          <w:rStyle w:val="FootnoteReference"/>
          <w:lang w:val="en-US"/>
        </w:rPr>
        <w:footnoteReference w:id="15"/>
      </w:r>
      <w:r w:rsidRPr="00152763">
        <w:rPr>
          <w:lang w:val="en-US"/>
        </w:rPr>
        <w:t xml:space="preserve"> Exposure to chemicals of concern, as well as other exposures with impacts on human health, prevail more among populations and individuals with a lower socioeconomic level. And in 2016, women have been identified as one of the groups with a greater risk of poverty or social exclusion than other members of the EU-28 population.</w:t>
      </w:r>
      <w:r w:rsidR="003426B4">
        <w:rPr>
          <w:rStyle w:val="FootnoteReference"/>
          <w:lang w:val="en-US"/>
        </w:rPr>
        <w:footnoteReference w:id="16"/>
      </w:r>
      <w:r w:rsidRPr="00152763">
        <w:rPr>
          <w:lang w:val="en-US"/>
        </w:rPr>
        <w:t xml:space="preserve"> A 2018 Eurostat report noted that women aged 18 and over were more at risk from poverty or social exclusion than men (24.3 % compared with 22.4 % in 2016). </w:t>
      </w:r>
    </w:p>
    <w:p w14:paraId="43C0297A" w14:textId="1D353123" w:rsidR="00152763" w:rsidRDefault="00152763" w:rsidP="00152763">
      <w:pPr>
        <w:rPr>
          <w:lang w:val="en-US"/>
        </w:rPr>
      </w:pPr>
      <w:r w:rsidRPr="00152763">
        <w:rPr>
          <w:lang w:val="en-US"/>
        </w:rPr>
        <w:t>Existing risks for women’s health may be numerous, with lots of unknowns, such as for instance that of exposure to nanomaterials for female reproductive health. A recent study commissioned by the EU Observatory on Nanomaterials</w:t>
      </w:r>
      <w:r w:rsidR="003426B4">
        <w:rPr>
          <w:rStyle w:val="FootnoteReference"/>
          <w:lang w:val="en-US"/>
        </w:rPr>
        <w:footnoteReference w:id="17"/>
      </w:r>
      <w:r w:rsidRPr="00152763">
        <w:rPr>
          <w:lang w:val="en-US"/>
        </w:rPr>
        <w:t xml:space="preserve"> pointed out a lack of data on nanomaterials’ impacts on female fertility, leading to uncertainties around the potential toxic effects of nanomaterials, over multiple generations, due to first warnings on some nanomaterials’ developmental toxicity, ability to cross the placental barrier and reach the developing </w:t>
      </w:r>
      <w:proofErr w:type="spellStart"/>
      <w:r w:rsidRPr="00152763">
        <w:rPr>
          <w:lang w:val="en-US"/>
        </w:rPr>
        <w:t>foetus</w:t>
      </w:r>
      <w:proofErr w:type="spellEnd"/>
      <w:r w:rsidRPr="00152763">
        <w:rPr>
          <w:lang w:val="en-US"/>
        </w:rPr>
        <w:t xml:space="preserve">, or affect critical organ systems. </w:t>
      </w:r>
    </w:p>
    <w:p w14:paraId="3D17901C" w14:textId="77777777" w:rsidR="00152763" w:rsidRDefault="00152763" w:rsidP="00152763">
      <w:pPr>
        <w:rPr>
          <w:lang w:val="en-US"/>
        </w:rPr>
      </w:pPr>
      <w:r w:rsidRPr="00152763">
        <w:rPr>
          <w:lang w:val="en-US"/>
        </w:rPr>
        <w:t xml:space="preserve">Medication, especially during pregnancy, can be a risk factor exposure for women which can have long-term negative consequences on the future child. </w:t>
      </w:r>
      <w:proofErr w:type="gramStart"/>
      <w:r w:rsidRPr="00152763">
        <w:rPr>
          <w:lang w:val="en-US"/>
        </w:rPr>
        <w:t>A number of</w:t>
      </w:r>
      <w:proofErr w:type="gramEnd"/>
      <w:r w:rsidRPr="00152763">
        <w:rPr>
          <w:lang w:val="en-US"/>
        </w:rPr>
        <w:t xml:space="preserve"> scandals such as DES (diethylstilbesterol), thalidomide, or more recently </w:t>
      </w:r>
      <w:proofErr w:type="spellStart"/>
      <w:r w:rsidRPr="00152763">
        <w:rPr>
          <w:lang w:val="en-US"/>
        </w:rPr>
        <w:t>Depakine</w:t>
      </w:r>
      <w:proofErr w:type="spellEnd"/>
      <w:r w:rsidRPr="00152763">
        <w:rPr>
          <w:lang w:val="en-US"/>
        </w:rPr>
        <w:t xml:space="preserve"> and similar medication containing sodium valproate, </w:t>
      </w:r>
      <w:proofErr w:type="gramStart"/>
      <w:r w:rsidRPr="00152763">
        <w:rPr>
          <w:lang w:val="en-US"/>
        </w:rPr>
        <w:t>shows</w:t>
      </w:r>
      <w:proofErr w:type="gramEnd"/>
      <w:r w:rsidRPr="00152763">
        <w:rPr>
          <w:lang w:val="en-US"/>
        </w:rPr>
        <w:t xml:space="preserve"> that risks of medication consumption during pregnancy are not sufficiently taken into account. This may be </w:t>
      </w:r>
      <w:proofErr w:type="gramStart"/>
      <w:r w:rsidRPr="00152763">
        <w:rPr>
          <w:lang w:val="en-US"/>
        </w:rPr>
        <w:t>due to the fact that</w:t>
      </w:r>
      <w:proofErr w:type="gramEnd"/>
      <w:r w:rsidRPr="00152763">
        <w:rPr>
          <w:lang w:val="en-US"/>
        </w:rPr>
        <w:t xml:space="preserve"> medication assessment does not sufficiently include a gender dimension and has historically considered adverse effects on men’s health rather than women’s health. </w:t>
      </w:r>
    </w:p>
    <w:p w14:paraId="57BF7E5C" w14:textId="4745DCB8" w:rsidR="00152763" w:rsidRDefault="00152763" w:rsidP="00152763">
      <w:pPr>
        <w:rPr>
          <w:lang w:val="en-US"/>
        </w:rPr>
      </w:pPr>
      <w:r w:rsidRPr="00152763">
        <w:rPr>
          <w:lang w:val="en-US"/>
        </w:rPr>
        <w:t>Sex and gender aspects are also widely ignored by toxicological and epidemiological studies as results from an interdisciplinary systematic review</w:t>
      </w:r>
      <w:r w:rsidR="003426B4">
        <w:rPr>
          <w:rStyle w:val="FootnoteReference"/>
          <w:lang w:val="en-US"/>
        </w:rPr>
        <w:footnoteReference w:id="18"/>
      </w:r>
      <w:r w:rsidRPr="00152763">
        <w:rPr>
          <w:lang w:val="en-US"/>
        </w:rPr>
        <w:t xml:space="preserve"> by a network on sex/gender in environmental health has demonstrated. </w:t>
      </w:r>
      <w:proofErr w:type="gramStart"/>
      <w:r w:rsidRPr="00152763">
        <w:rPr>
          <w:lang w:val="en-US"/>
        </w:rPr>
        <w:t>In order to</w:t>
      </w:r>
      <w:proofErr w:type="gramEnd"/>
      <w:r w:rsidRPr="00152763">
        <w:rPr>
          <w:lang w:val="en-US"/>
        </w:rPr>
        <w:t xml:space="preserve"> ensure the protection of women from the risks posed by hazardous chemicals, </w:t>
      </w:r>
      <w:r w:rsidRPr="00152763">
        <w:rPr>
          <w:lang w:val="en-US"/>
        </w:rPr>
        <w:lastRenderedPageBreak/>
        <w:t>toxicological studies should be designed and conducted for all sexes and genders,</w:t>
      </w:r>
      <w:r w:rsidR="003426B4">
        <w:rPr>
          <w:rStyle w:val="FootnoteReference"/>
          <w:lang w:val="en-US"/>
        </w:rPr>
        <w:footnoteReference w:id="19"/>
      </w:r>
      <w:r w:rsidRPr="00152763">
        <w:rPr>
          <w:lang w:val="en-US"/>
        </w:rPr>
        <w:t xml:space="preserve"> and endpoints and exposure should include gender considerations.</w:t>
      </w:r>
    </w:p>
    <w:p w14:paraId="61277073" w14:textId="77777777" w:rsidR="00152763" w:rsidRDefault="00152763" w:rsidP="006D01B5">
      <w:pPr>
        <w:pStyle w:val="EEB3rdHeading"/>
        <w:rPr>
          <w:lang w:val="en-US"/>
        </w:rPr>
      </w:pPr>
      <w:r w:rsidRPr="00152763">
        <w:rPr>
          <w:lang w:val="en-US"/>
        </w:rPr>
        <w:t xml:space="preserve">Gender-blind EU chemical policies </w:t>
      </w:r>
    </w:p>
    <w:p w14:paraId="41E2B2C6" w14:textId="4B7EF91B" w:rsidR="00152763" w:rsidRDefault="00152763" w:rsidP="00152763">
      <w:pPr>
        <w:rPr>
          <w:lang w:val="en-US"/>
        </w:rPr>
      </w:pPr>
      <w:r w:rsidRPr="00152763">
        <w:rPr>
          <w:lang w:val="en-US"/>
        </w:rPr>
        <w:t>Despite the evidence on the differences regarding vulnerability to hazardous chemicals, EU policies aimed to protect people from the risks posed by hazardous chemicals remain gender blind.</w:t>
      </w:r>
    </w:p>
    <w:p w14:paraId="3ECF5EDF" w14:textId="77777777" w:rsidR="00152763" w:rsidRDefault="00152763" w:rsidP="006D01B5">
      <w:pPr>
        <w:pStyle w:val="EEB3rdHeading"/>
        <w:rPr>
          <w:lang w:val="en-US"/>
        </w:rPr>
      </w:pPr>
      <w:r w:rsidRPr="00152763">
        <w:rPr>
          <w:lang w:val="en-US"/>
        </w:rPr>
        <w:t>Gender-blind chemical policies: REACH and CLP</w:t>
      </w:r>
    </w:p>
    <w:p w14:paraId="7EEC8948" w14:textId="6418BB81" w:rsidR="00152763" w:rsidRDefault="00152763" w:rsidP="00152763">
      <w:pPr>
        <w:rPr>
          <w:lang w:val="en-US"/>
        </w:rPr>
      </w:pPr>
      <w:r w:rsidRPr="00152763">
        <w:rPr>
          <w:lang w:val="en-US"/>
        </w:rPr>
        <w:t>In the EU, the Regulation on Classification, Labelling and Packaging (the CLP Regulation</w:t>
      </w:r>
      <w:r w:rsidR="003426B4">
        <w:rPr>
          <w:rStyle w:val="FootnoteReference"/>
          <w:lang w:val="en-US"/>
        </w:rPr>
        <w:footnoteReference w:id="20"/>
      </w:r>
      <w:r w:rsidRPr="00152763">
        <w:rPr>
          <w:lang w:val="en-US"/>
        </w:rPr>
        <w:t xml:space="preserve">) and the Regulation concerning the Registration, Evaluation, </w:t>
      </w:r>
      <w:proofErr w:type="spellStart"/>
      <w:r w:rsidRPr="00152763">
        <w:rPr>
          <w:lang w:val="en-US"/>
        </w:rPr>
        <w:t>Authorisation</w:t>
      </w:r>
      <w:proofErr w:type="spellEnd"/>
      <w:r w:rsidRPr="00152763">
        <w:rPr>
          <w:lang w:val="en-US"/>
        </w:rPr>
        <w:t xml:space="preserve"> and Restriction of Chemicals (REACH Regulation</w:t>
      </w:r>
      <w:r w:rsidR="003426B4">
        <w:rPr>
          <w:rStyle w:val="FootnoteReference"/>
          <w:lang w:val="en-US"/>
        </w:rPr>
        <w:footnoteReference w:id="21"/>
      </w:r>
      <w:r w:rsidRPr="00152763">
        <w:rPr>
          <w:lang w:val="en-US"/>
        </w:rPr>
        <w:t xml:space="preserve">) are key instruments to regulate industrial chemicals. </w:t>
      </w:r>
      <w:proofErr w:type="gramStart"/>
      <w:r w:rsidRPr="00152763">
        <w:rPr>
          <w:lang w:val="en-US"/>
        </w:rPr>
        <w:t>A main</w:t>
      </w:r>
      <w:proofErr w:type="gramEnd"/>
      <w:r w:rsidRPr="00152763">
        <w:rPr>
          <w:lang w:val="en-US"/>
        </w:rPr>
        <w:t xml:space="preserve"> goal of both the REACH and the CLP Regulations is to ensure a high level of protection of human health and the environment. </w:t>
      </w:r>
    </w:p>
    <w:p w14:paraId="7BE7DEF6" w14:textId="77777777" w:rsidR="00152763" w:rsidRDefault="00152763" w:rsidP="00152763">
      <w:pPr>
        <w:rPr>
          <w:lang w:val="en-US"/>
        </w:rPr>
      </w:pPr>
      <w:r w:rsidRPr="00152763">
        <w:rPr>
          <w:lang w:val="en-US"/>
        </w:rPr>
        <w:t xml:space="preserve">REACH Regulation only mentions women once in its legal text (Art 1.4.1) when it clarifies that it may be necessary to identify different thresholds (Derived </w:t>
      </w:r>
      <w:proofErr w:type="gramStart"/>
      <w:r w:rsidRPr="00152763">
        <w:rPr>
          <w:lang w:val="en-US"/>
        </w:rPr>
        <w:t>Non Effect</w:t>
      </w:r>
      <w:proofErr w:type="gramEnd"/>
      <w:r w:rsidRPr="00152763">
        <w:rPr>
          <w:lang w:val="en-US"/>
        </w:rPr>
        <w:t xml:space="preserve"> Levels -DNEL) “for certain vulnerable sub-populations (e.g. children, pregnant women)”. </w:t>
      </w:r>
    </w:p>
    <w:p w14:paraId="79AB9044" w14:textId="77777777" w:rsidR="00152763" w:rsidRDefault="00152763" w:rsidP="00152763">
      <w:pPr>
        <w:rPr>
          <w:lang w:val="en-US"/>
        </w:rPr>
      </w:pPr>
      <w:r w:rsidRPr="00152763">
        <w:rPr>
          <w:lang w:val="en-US"/>
        </w:rPr>
        <w:t xml:space="preserve">The CLP Regulation mentions women only in Art 3.7.1. when addressing adverse effects on development of the offspring and the need to provide a hazard warning for pregnant women, and for men and women of reproductive capacity </w:t>
      </w:r>
      <w:proofErr w:type="gramStart"/>
      <w:r w:rsidRPr="00152763">
        <w:rPr>
          <w:lang w:val="en-US"/>
        </w:rPr>
        <w:t>and also</w:t>
      </w:r>
      <w:proofErr w:type="gramEnd"/>
      <w:r w:rsidRPr="00152763">
        <w:rPr>
          <w:lang w:val="en-US"/>
        </w:rPr>
        <w:t xml:space="preserve"> when addressing concerns for breastfed babies. </w:t>
      </w:r>
    </w:p>
    <w:p w14:paraId="0638A52A" w14:textId="77777777" w:rsidR="00152763" w:rsidRDefault="00152763" w:rsidP="00152763">
      <w:pPr>
        <w:rPr>
          <w:lang w:val="en-US"/>
        </w:rPr>
      </w:pPr>
      <w:r w:rsidRPr="00152763">
        <w:rPr>
          <w:lang w:val="en-US"/>
        </w:rPr>
        <w:t xml:space="preserve">The intention of both regulations is to protect the unborn child and </w:t>
      </w:r>
      <w:proofErr w:type="gramStart"/>
      <w:r w:rsidRPr="00152763">
        <w:rPr>
          <w:lang w:val="en-US"/>
        </w:rPr>
        <w:t>breastfed</w:t>
      </w:r>
      <w:proofErr w:type="gramEnd"/>
      <w:r w:rsidRPr="00152763">
        <w:rPr>
          <w:lang w:val="en-US"/>
        </w:rPr>
        <w:t xml:space="preserve"> babies, not to address women’s specific vulnerability to hazardous chemicals, not even during pregnancy or to address gender differences in exposure to chemicals. The words “gender”, “woman”, “girl” cannot be found in either of the legal texts. The word “female” is found when referring to laboratory animal testing. These regulations reify sexist stereotypes as they are only considering women’s role in society as maternal and ignore all other risk factors. </w:t>
      </w:r>
    </w:p>
    <w:p w14:paraId="13A8DE7A" w14:textId="77777777" w:rsidR="00152763" w:rsidRDefault="00152763" w:rsidP="006D01B5">
      <w:pPr>
        <w:pStyle w:val="EEB3rdHeading"/>
        <w:rPr>
          <w:lang w:val="en-US"/>
        </w:rPr>
      </w:pPr>
      <w:r w:rsidRPr="00152763">
        <w:rPr>
          <w:lang w:val="en-US"/>
        </w:rPr>
        <w:lastRenderedPageBreak/>
        <w:t>Gender-blind European Green Deal</w:t>
      </w:r>
    </w:p>
    <w:p w14:paraId="6A48F8F2" w14:textId="77777777" w:rsidR="00152763" w:rsidRDefault="00152763" w:rsidP="00152763">
      <w:pPr>
        <w:rPr>
          <w:lang w:val="en-US"/>
        </w:rPr>
      </w:pPr>
      <w:r w:rsidRPr="00152763">
        <w:rPr>
          <w:lang w:val="en-US"/>
        </w:rPr>
        <w:t xml:space="preserve">Considering that the chemicals regulations are gender-blind, the accompanying policies do not make up for this flaw, nor is there any commitment to address the issue in the recently adopted health and environmental related policies of the EU under the European Green Deal. </w:t>
      </w:r>
    </w:p>
    <w:p w14:paraId="658BA564" w14:textId="5608A690" w:rsidR="00152763" w:rsidRDefault="00152763" w:rsidP="00152763">
      <w:pPr>
        <w:rPr>
          <w:lang w:val="en-US"/>
        </w:rPr>
      </w:pPr>
      <w:r w:rsidRPr="00152763">
        <w:rPr>
          <w:lang w:val="en-US"/>
        </w:rPr>
        <w:t>The Chemical Strategy for Sustainability Towards a Toxic-Free Environment</w:t>
      </w:r>
      <w:r w:rsidR="003426B4">
        <w:rPr>
          <w:rStyle w:val="FootnoteReference"/>
          <w:lang w:val="en-US"/>
        </w:rPr>
        <w:footnoteReference w:id="22"/>
      </w:r>
      <w:r w:rsidRPr="00152763">
        <w:rPr>
          <w:lang w:val="en-US"/>
        </w:rPr>
        <w:t xml:space="preserve"> includes the Green Deal commitments to address human and environmental impacts of hazardous chemicals and includes an action plan with 70 measures. None of these actions address specific gender issues. However, the Strategy’s text does widen the concept of what it considers vulnerable populations to “those populations more vulnerable to chemicals exposure” therefore opening the scope to address gender issues, although the only mentions of women refer, once more, to “pregnant and nursing women as typical examples of vulnerable populations (footnote 15).</w:t>
      </w:r>
    </w:p>
    <w:p w14:paraId="6FF0A942" w14:textId="77777777" w:rsidR="00152763" w:rsidRDefault="00152763" w:rsidP="006D01B5">
      <w:pPr>
        <w:pStyle w:val="EEB3rdHeading"/>
        <w:rPr>
          <w:lang w:val="en-US"/>
        </w:rPr>
      </w:pPr>
      <w:r w:rsidRPr="00152763">
        <w:rPr>
          <w:lang w:val="en-US"/>
        </w:rPr>
        <w:t>Recommendations</w:t>
      </w:r>
    </w:p>
    <w:p w14:paraId="2C6BDC9F" w14:textId="77777777" w:rsidR="00152763" w:rsidRDefault="00152763" w:rsidP="006D01B5">
      <w:pPr>
        <w:pStyle w:val="Quotes"/>
      </w:pPr>
      <w:r w:rsidRPr="00152763">
        <w:t xml:space="preserve">European Commission and Member States </w:t>
      </w:r>
    </w:p>
    <w:p w14:paraId="57975387" w14:textId="77777777" w:rsidR="00152763" w:rsidRDefault="00152763" w:rsidP="00152763">
      <w:pPr>
        <w:pStyle w:val="ListParagraph"/>
        <w:numPr>
          <w:ilvl w:val="0"/>
          <w:numId w:val="1"/>
        </w:numPr>
        <w:rPr>
          <w:lang w:val="en-US"/>
        </w:rPr>
      </w:pPr>
      <w:r w:rsidRPr="00152763">
        <w:rPr>
          <w:lang w:val="en-US"/>
        </w:rPr>
        <w:t xml:space="preserve">Include gender considerations in all policies and regulations addressing the risks posed by chemicals, including those dealing with workers’ protection. This should start by including gender considerations in the upcoming CLP and REACH revisions. </w:t>
      </w:r>
    </w:p>
    <w:p w14:paraId="7CA813D1" w14:textId="77777777" w:rsidR="00152763" w:rsidRDefault="00152763" w:rsidP="00152763">
      <w:pPr>
        <w:pStyle w:val="ListParagraph"/>
        <w:numPr>
          <w:ilvl w:val="0"/>
          <w:numId w:val="1"/>
        </w:numPr>
        <w:rPr>
          <w:lang w:val="en-US"/>
        </w:rPr>
      </w:pPr>
      <w:r w:rsidRPr="00152763">
        <w:rPr>
          <w:lang w:val="en-US"/>
        </w:rPr>
        <w:t xml:space="preserve">Review guidance on risk assessment of chemicals for human health to ensure gender considerations are </w:t>
      </w:r>
      <w:proofErr w:type="gramStart"/>
      <w:r w:rsidRPr="00152763">
        <w:rPr>
          <w:lang w:val="en-US"/>
        </w:rPr>
        <w:t>taken into account</w:t>
      </w:r>
      <w:proofErr w:type="gramEnd"/>
      <w:r w:rsidRPr="00152763">
        <w:rPr>
          <w:lang w:val="en-US"/>
        </w:rPr>
        <w:t xml:space="preserve">. </w:t>
      </w:r>
    </w:p>
    <w:p w14:paraId="02FC13A8" w14:textId="648FD33F" w:rsidR="00152763" w:rsidRPr="00152763" w:rsidRDefault="00152763" w:rsidP="00152763">
      <w:pPr>
        <w:pStyle w:val="ListParagraph"/>
        <w:numPr>
          <w:ilvl w:val="0"/>
          <w:numId w:val="1"/>
        </w:numPr>
        <w:rPr>
          <w:lang w:val="en-US"/>
        </w:rPr>
      </w:pPr>
      <w:r w:rsidRPr="00152763">
        <w:rPr>
          <w:lang w:val="en-US"/>
        </w:rPr>
        <w:t xml:space="preserve">Address lack of gender-differentiated data by improving the generation of disaggregated sex and gender data, including transgendered people, and ensuring they are duly </w:t>
      </w:r>
      <w:proofErr w:type="gramStart"/>
      <w:r w:rsidRPr="00152763">
        <w:rPr>
          <w:lang w:val="en-US"/>
        </w:rPr>
        <w:t>taken into account</w:t>
      </w:r>
      <w:proofErr w:type="gramEnd"/>
      <w:r w:rsidRPr="00152763">
        <w:rPr>
          <w:lang w:val="en-US"/>
        </w:rPr>
        <w:t xml:space="preserve"> at policy development stage. </w:t>
      </w:r>
    </w:p>
    <w:p w14:paraId="334E97D8" w14:textId="77777777" w:rsidR="00152763" w:rsidRDefault="00152763" w:rsidP="006D01B5">
      <w:pPr>
        <w:pStyle w:val="Quotes"/>
      </w:pPr>
      <w:r w:rsidRPr="00152763">
        <w:t>Academia</w:t>
      </w:r>
    </w:p>
    <w:p w14:paraId="7510BCE7" w14:textId="692417F3" w:rsidR="00152763" w:rsidRPr="00152763" w:rsidRDefault="00152763" w:rsidP="00152763">
      <w:pPr>
        <w:pStyle w:val="ListParagraph"/>
        <w:numPr>
          <w:ilvl w:val="0"/>
          <w:numId w:val="2"/>
        </w:numPr>
        <w:rPr>
          <w:lang w:val="en-US"/>
        </w:rPr>
      </w:pPr>
      <w:r w:rsidRPr="00152763">
        <w:rPr>
          <w:lang w:val="en-US"/>
        </w:rPr>
        <w:t xml:space="preserve">Ensure that biomonitoring, toxicological, epidemiological and public health studies are conducted for men, women, non-binary and other queer groups and corresponding endpoints and cover gender exposure </w:t>
      </w:r>
      <w:proofErr w:type="gramStart"/>
      <w:r w:rsidRPr="00152763">
        <w:rPr>
          <w:lang w:val="en-US"/>
        </w:rPr>
        <w:t>considerations</w:t>
      </w:r>
      <w:proofErr w:type="gramEnd"/>
    </w:p>
    <w:p w14:paraId="6716F065" w14:textId="77777777" w:rsidR="00152763" w:rsidRDefault="00152763" w:rsidP="006D01B5">
      <w:pPr>
        <w:pStyle w:val="Quotes"/>
      </w:pPr>
      <w:r w:rsidRPr="00152763">
        <w:t xml:space="preserve">CSOs </w:t>
      </w:r>
    </w:p>
    <w:p w14:paraId="257A87B2" w14:textId="3B2DCCCF" w:rsidR="00152763" w:rsidRDefault="00152763" w:rsidP="00152763">
      <w:pPr>
        <w:pStyle w:val="ListParagraph"/>
        <w:numPr>
          <w:ilvl w:val="0"/>
          <w:numId w:val="2"/>
        </w:numPr>
        <w:rPr>
          <w:lang w:val="en-US"/>
        </w:rPr>
      </w:pPr>
      <w:r w:rsidRPr="00152763">
        <w:rPr>
          <w:lang w:val="en-US"/>
        </w:rPr>
        <w:t xml:space="preserve">Environmental organizations working towards the protection of people and the environment from hazardous chemicals and </w:t>
      </w:r>
      <w:proofErr w:type="spellStart"/>
      <w:r w:rsidRPr="00152763">
        <w:rPr>
          <w:lang w:val="en-US"/>
        </w:rPr>
        <w:t>organisations</w:t>
      </w:r>
      <w:proofErr w:type="spellEnd"/>
      <w:r w:rsidRPr="00152763">
        <w:rPr>
          <w:lang w:val="en-US"/>
        </w:rPr>
        <w:t xml:space="preserve"> working on gender policies should work together on the topic.</w:t>
      </w:r>
    </w:p>
    <w:p w14:paraId="56867657" w14:textId="3DD3F054" w:rsidR="003426B4" w:rsidRPr="003426B4" w:rsidRDefault="003426B4" w:rsidP="003426B4">
      <w:pPr>
        <w:jc w:val="center"/>
        <w:rPr>
          <w:b/>
          <w:bCs/>
          <w:lang w:val="en-US"/>
        </w:rPr>
      </w:pPr>
      <w:r w:rsidRPr="003426B4">
        <w:rPr>
          <w:b/>
          <w:bCs/>
          <w:lang w:val="en-US"/>
        </w:rPr>
        <w:lastRenderedPageBreak/>
        <w:t>*</w:t>
      </w:r>
    </w:p>
    <w:p w14:paraId="3F0230FB" w14:textId="34D88CE6" w:rsidR="003426B4" w:rsidRPr="003426B4" w:rsidRDefault="004A0A58" w:rsidP="003426B4">
      <w:pPr>
        <w:rPr>
          <w:lang w:val="en-US"/>
        </w:rPr>
      </w:pPr>
      <w:r w:rsidRPr="006D01B5">
        <w:rPr>
          <w:b/>
          <w:bCs/>
          <w:lang w:val="en-US"/>
        </w:rPr>
        <w:t>For reference</w:t>
      </w:r>
      <w:r w:rsidR="006D01B5">
        <w:rPr>
          <w:b/>
          <w:bCs/>
          <w:lang w:val="en-US"/>
        </w:rPr>
        <w:t xml:space="preserve"> </w:t>
      </w:r>
      <w:r w:rsidR="006D01B5" w:rsidRPr="006D01B5">
        <w:rPr>
          <w:lang w:val="en-US"/>
        </w:rPr>
        <w:t xml:space="preserve">and </w:t>
      </w:r>
      <w:r w:rsidR="003426B4">
        <w:rPr>
          <w:lang w:val="en-US"/>
        </w:rPr>
        <w:t>more information</w:t>
      </w:r>
      <w:r>
        <w:rPr>
          <w:lang w:val="en-US"/>
        </w:rPr>
        <w:t>, please consult</w:t>
      </w:r>
      <w:r w:rsidR="003426B4">
        <w:rPr>
          <w:lang w:val="en-US"/>
        </w:rPr>
        <w:t xml:space="preserve"> chapter 15 of the publication</w:t>
      </w:r>
      <w:r w:rsidR="009F09B5">
        <w:rPr>
          <w:lang w:val="en-US"/>
        </w:rPr>
        <w:t xml:space="preserve"> “Why the European Green Deal Needs Ecofeminism:</w:t>
      </w:r>
      <w:r w:rsidR="003426B4">
        <w:rPr>
          <w:lang w:val="en-US"/>
        </w:rPr>
        <w:t xml:space="preserve"> </w:t>
      </w:r>
      <w:hyperlink r:id="rId11" w:history="1">
        <w:r w:rsidR="003426B4">
          <w:rPr>
            <w:rStyle w:val="Hyperlink"/>
            <w:lang w:val="en-US"/>
          </w:rPr>
          <w:t>https://eeb.org/library/why-the-european-green-deal-needs-ecofeminism/</w:t>
        </w:r>
      </w:hyperlink>
    </w:p>
    <w:sectPr w:rsidR="003426B4" w:rsidRPr="003426B4" w:rsidSect="00436313">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4E6199" w14:textId="77777777" w:rsidR="00436313" w:rsidRDefault="00436313" w:rsidP="00152763">
      <w:pPr>
        <w:spacing w:before="0" w:after="0" w:line="240" w:lineRule="auto"/>
      </w:pPr>
      <w:r>
        <w:separator/>
      </w:r>
    </w:p>
  </w:endnote>
  <w:endnote w:type="continuationSeparator" w:id="0">
    <w:p w14:paraId="21ED75F8" w14:textId="77777777" w:rsidR="00436313" w:rsidRDefault="00436313" w:rsidP="0015276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Nunito">
    <w:altName w:val="Calibri"/>
    <w:charset w:val="00"/>
    <w:family w:val="auto"/>
    <w:pitch w:val="variable"/>
    <w:sig w:usb0="A00002FF" w:usb1="5000204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AD814" w14:textId="77777777" w:rsidR="00436313" w:rsidRDefault="00436313" w:rsidP="00152763">
      <w:pPr>
        <w:spacing w:before="0" w:after="0" w:line="240" w:lineRule="auto"/>
      </w:pPr>
      <w:r>
        <w:separator/>
      </w:r>
    </w:p>
  </w:footnote>
  <w:footnote w:type="continuationSeparator" w:id="0">
    <w:p w14:paraId="3C5AC2AA" w14:textId="77777777" w:rsidR="00436313" w:rsidRDefault="00436313" w:rsidP="00152763">
      <w:pPr>
        <w:spacing w:before="0" w:after="0" w:line="240" w:lineRule="auto"/>
      </w:pPr>
      <w:r>
        <w:continuationSeparator/>
      </w:r>
    </w:p>
  </w:footnote>
  <w:footnote w:id="1">
    <w:p w14:paraId="228511E6" w14:textId="46F87147" w:rsidR="00152763" w:rsidRPr="004A0A58" w:rsidRDefault="00152763">
      <w:pPr>
        <w:pStyle w:val="FootnoteText"/>
        <w:rPr>
          <w:sz w:val="18"/>
          <w:szCs w:val="18"/>
          <w:lang w:val="es-ES"/>
        </w:rPr>
      </w:pPr>
      <w:r w:rsidRPr="003426B4">
        <w:rPr>
          <w:rStyle w:val="FootnoteReference"/>
          <w:sz w:val="18"/>
          <w:szCs w:val="18"/>
        </w:rPr>
        <w:footnoteRef/>
      </w:r>
      <w:r w:rsidRPr="004A0A58">
        <w:rPr>
          <w:sz w:val="18"/>
          <w:szCs w:val="18"/>
          <w:lang w:val="es-ES"/>
        </w:rPr>
        <w:t xml:space="preserve"> Carme Valls-Llobet, Mujeres, Salud y Poder, (Madrid: Ediciones Cátedra, 2010)</w:t>
      </w:r>
    </w:p>
  </w:footnote>
  <w:footnote w:id="2">
    <w:p w14:paraId="6503A024" w14:textId="3D88C3B2" w:rsidR="00152763" w:rsidRPr="003426B4" w:rsidRDefault="00152763">
      <w:pPr>
        <w:pStyle w:val="FootnoteText"/>
        <w:rPr>
          <w:sz w:val="18"/>
          <w:szCs w:val="18"/>
          <w:lang w:val="en-US"/>
        </w:rPr>
      </w:pPr>
      <w:r w:rsidRPr="003426B4">
        <w:rPr>
          <w:rStyle w:val="FootnoteReference"/>
          <w:sz w:val="18"/>
          <w:szCs w:val="18"/>
        </w:rPr>
        <w:footnoteRef/>
      </w:r>
      <w:r w:rsidRPr="003426B4">
        <w:rPr>
          <w:sz w:val="18"/>
          <w:szCs w:val="18"/>
          <w:lang w:val="en-US"/>
        </w:rPr>
        <w:t xml:space="preserve"> </w:t>
      </w:r>
      <w:r w:rsidRPr="003426B4">
        <w:rPr>
          <w:sz w:val="18"/>
          <w:szCs w:val="18"/>
          <w:lang w:val="en-US"/>
        </w:rPr>
        <w:t>Gabbe et al., “</w:t>
      </w:r>
      <w:r w:rsidR="0034679D">
        <w:fldChar w:fldCharType="begin"/>
      </w:r>
      <w:r w:rsidR="0034679D" w:rsidRPr="00755458">
        <w:rPr>
          <w:lang w:val="en-US"/>
        </w:rPr>
        <w:instrText>HYPERLINK "https://www.nature.com/articles/jes201392/tables/3"</w:instrText>
      </w:r>
      <w:r w:rsidR="0034679D">
        <w:fldChar w:fldCharType="separate"/>
      </w:r>
      <w:r w:rsidRPr="003426B4">
        <w:rPr>
          <w:rStyle w:val="Hyperlink"/>
          <w:sz w:val="18"/>
          <w:szCs w:val="18"/>
          <w:lang w:val="en-US"/>
        </w:rPr>
        <w:t>Examples of physiological changes during pregnancy</w:t>
      </w:r>
      <w:r w:rsidR="0034679D">
        <w:rPr>
          <w:rStyle w:val="Hyperlink"/>
          <w:sz w:val="18"/>
          <w:szCs w:val="18"/>
          <w:lang w:val="en-US"/>
        </w:rPr>
        <w:fldChar w:fldCharType="end"/>
      </w:r>
      <w:r w:rsidRPr="003426B4">
        <w:rPr>
          <w:sz w:val="18"/>
          <w:szCs w:val="18"/>
          <w:lang w:val="en-US"/>
        </w:rPr>
        <w:t>”, Journal of Exposure Science &amp; Environmental Epidemiology (accessed June 15, 2021)</w:t>
      </w:r>
    </w:p>
  </w:footnote>
  <w:footnote w:id="3">
    <w:p w14:paraId="70B75701" w14:textId="27A19E89" w:rsidR="00152763" w:rsidRPr="00152763" w:rsidRDefault="00152763">
      <w:pPr>
        <w:pStyle w:val="FootnoteText"/>
        <w:rPr>
          <w:lang w:val="en-US"/>
        </w:rPr>
      </w:pPr>
      <w:r w:rsidRPr="003426B4">
        <w:rPr>
          <w:rStyle w:val="FootnoteReference"/>
          <w:sz w:val="18"/>
          <w:szCs w:val="18"/>
        </w:rPr>
        <w:footnoteRef/>
      </w:r>
      <w:r w:rsidRPr="003426B4">
        <w:rPr>
          <w:sz w:val="18"/>
          <w:szCs w:val="18"/>
          <w:lang w:val="en-US"/>
        </w:rPr>
        <w:t xml:space="preserve"> Jacqueline Moya et al., “</w:t>
      </w:r>
      <w:r w:rsidR="0034679D">
        <w:fldChar w:fldCharType="begin"/>
      </w:r>
      <w:r w:rsidR="0034679D" w:rsidRPr="00755458">
        <w:rPr>
          <w:lang w:val="en-US"/>
        </w:rPr>
        <w:instrText>HYPERLINK "https://www.nature.com/articles/jes201392"</w:instrText>
      </w:r>
      <w:r w:rsidR="0034679D">
        <w:fldChar w:fldCharType="separate"/>
      </w:r>
      <w:r w:rsidRPr="003426B4">
        <w:rPr>
          <w:rStyle w:val="Hyperlink"/>
          <w:sz w:val="18"/>
          <w:szCs w:val="18"/>
          <w:lang w:val="en-US"/>
        </w:rPr>
        <w:t>A review of physiological and behavioral changes during pregnancy and lactation: Potential exposure factors and data gaps</w:t>
      </w:r>
      <w:r w:rsidR="0034679D">
        <w:rPr>
          <w:rStyle w:val="Hyperlink"/>
          <w:sz w:val="18"/>
          <w:szCs w:val="18"/>
          <w:lang w:val="en-US"/>
        </w:rPr>
        <w:fldChar w:fldCharType="end"/>
      </w:r>
      <w:r w:rsidRPr="003426B4">
        <w:rPr>
          <w:sz w:val="18"/>
          <w:szCs w:val="18"/>
          <w:lang w:val="en-US"/>
        </w:rPr>
        <w:t>”, Journal of Exposure Science &amp; Environmental Epidemiology, Vol.  24 (2014): 449–58</w:t>
      </w:r>
    </w:p>
  </w:footnote>
  <w:footnote w:id="4">
    <w:p w14:paraId="60298E8D" w14:textId="65EDFBFD" w:rsidR="00152763" w:rsidRPr="003426B4" w:rsidRDefault="00152763">
      <w:pPr>
        <w:pStyle w:val="FootnoteText"/>
        <w:rPr>
          <w:sz w:val="18"/>
          <w:szCs w:val="18"/>
          <w:lang w:val="en-US"/>
        </w:rPr>
      </w:pPr>
      <w:r w:rsidRPr="003426B4">
        <w:rPr>
          <w:rStyle w:val="FootnoteReference"/>
          <w:sz w:val="18"/>
          <w:szCs w:val="18"/>
        </w:rPr>
        <w:footnoteRef/>
      </w:r>
      <w:r w:rsidRPr="003426B4">
        <w:rPr>
          <w:sz w:val="18"/>
          <w:szCs w:val="18"/>
          <w:lang w:val="en-US"/>
        </w:rPr>
        <w:t xml:space="preserve"> </w:t>
      </w:r>
      <w:r w:rsidR="0034679D">
        <w:fldChar w:fldCharType="begin"/>
      </w:r>
      <w:r w:rsidR="0034679D" w:rsidRPr="00755458">
        <w:rPr>
          <w:lang w:val="en-US"/>
        </w:rPr>
        <w:instrText>HYPERLINK "https://ec.europa.eu/eurostat/web/products-eurostat-news/-/EDN-20180307-1"</w:instrText>
      </w:r>
      <w:r w:rsidR="0034679D">
        <w:fldChar w:fldCharType="separate"/>
      </w:r>
      <w:r w:rsidRPr="003426B4">
        <w:rPr>
          <w:rStyle w:val="Hyperlink"/>
          <w:sz w:val="18"/>
          <w:szCs w:val="18"/>
          <w:lang w:val="en-US"/>
        </w:rPr>
        <w:t>Job still split along gender lines</w:t>
      </w:r>
      <w:r w:rsidR="0034679D">
        <w:rPr>
          <w:rStyle w:val="Hyperlink"/>
          <w:sz w:val="18"/>
          <w:szCs w:val="18"/>
          <w:lang w:val="en-US"/>
        </w:rPr>
        <w:fldChar w:fldCharType="end"/>
      </w:r>
      <w:r w:rsidRPr="003426B4">
        <w:rPr>
          <w:sz w:val="18"/>
          <w:szCs w:val="18"/>
          <w:lang w:val="en-US"/>
        </w:rPr>
        <w:t>, Eurostat, Original publication March 7, 2018 (accessed May, 2021)</w:t>
      </w:r>
    </w:p>
  </w:footnote>
  <w:footnote w:id="5">
    <w:p w14:paraId="24A8B342" w14:textId="654334D4" w:rsidR="00152763" w:rsidRPr="003426B4" w:rsidRDefault="00152763">
      <w:pPr>
        <w:pStyle w:val="FootnoteText"/>
        <w:rPr>
          <w:sz w:val="18"/>
          <w:szCs w:val="18"/>
          <w:lang w:val="en-US"/>
        </w:rPr>
      </w:pPr>
      <w:r w:rsidRPr="003426B4">
        <w:rPr>
          <w:rStyle w:val="FootnoteReference"/>
          <w:sz w:val="18"/>
          <w:szCs w:val="18"/>
        </w:rPr>
        <w:footnoteRef/>
      </w:r>
      <w:r w:rsidRPr="003426B4">
        <w:rPr>
          <w:sz w:val="18"/>
          <w:szCs w:val="18"/>
          <w:lang w:val="en-US"/>
        </w:rPr>
        <w:t xml:space="preserve"> ANSES, </w:t>
      </w:r>
      <w:r w:rsidR="0034679D">
        <w:fldChar w:fldCharType="begin"/>
      </w:r>
      <w:r w:rsidR="0034679D" w:rsidRPr="00755458">
        <w:rPr>
          <w:lang w:val="en-US"/>
        </w:rPr>
        <w:instrText>HYPERLINK "https://www.anses.fr/en/system/files/CONSO2014SA0148EN.pdf"</w:instrText>
      </w:r>
      <w:r w:rsidR="0034679D">
        <w:fldChar w:fldCharType="separate"/>
      </w:r>
      <w:r w:rsidRPr="003426B4">
        <w:rPr>
          <w:rStyle w:val="Hyperlink"/>
          <w:sz w:val="18"/>
          <w:szCs w:val="18"/>
          <w:lang w:val="en-US"/>
        </w:rPr>
        <w:t>OPINION of the French Agency for Food, Environmental and Occupational Health &amp; Safety on the risk assessment of occupational exposure to products used for nail care and decoration</w:t>
      </w:r>
      <w:r w:rsidR="0034679D">
        <w:rPr>
          <w:rStyle w:val="Hyperlink"/>
          <w:sz w:val="18"/>
          <w:szCs w:val="18"/>
          <w:lang w:val="en-US"/>
        </w:rPr>
        <w:fldChar w:fldCharType="end"/>
      </w:r>
      <w:r w:rsidRPr="003426B4">
        <w:rPr>
          <w:sz w:val="18"/>
          <w:szCs w:val="18"/>
          <w:lang w:val="en-US"/>
        </w:rPr>
        <w:t xml:space="preserve"> (Maisons-Alfort, 2017)</w:t>
      </w:r>
    </w:p>
  </w:footnote>
  <w:footnote w:id="6">
    <w:p w14:paraId="72D9FA26" w14:textId="6F99BD35" w:rsidR="00152763" w:rsidRPr="003426B4" w:rsidRDefault="00152763">
      <w:pPr>
        <w:pStyle w:val="FootnoteText"/>
        <w:rPr>
          <w:sz w:val="18"/>
          <w:szCs w:val="18"/>
        </w:rPr>
      </w:pPr>
      <w:r w:rsidRPr="003426B4">
        <w:rPr>
          <w:rStyle w:val="FootnoteReference"/>
          <w:sz w:val="18"/>
          <w:szCs w:val="18"/>
        </w:rPr>
        <w:footnoteRef/>
      </w:r>
      <w:r w:rsidRPr="003426B4">
        <w:rPr>
          <w:sz w:val="18"/>
          <w:szCs w:val="18"/>
        </w:rPr>
        <w:t xml:space="preserve"> Dominique Joseph and Olga </w:t>
      </w:r>
      <w:r w:rsidRPr="003426B4">
        <w:rPr>
          <w:sz w:val="18"/>
          <w:szCs w:val="18"/>
        </w:rPr>
        <w:t xml:space="preserve">Trostiansky, </w:t>
      </w:r>
      <w:hyperlink r:id="rId1" w:history="1">
        <w:r w:rsidRPr="003426B4">
          <w:rPr>
            <w:rStyle w:val="Hyperlink"/>
            <w:sz w:val="18"/>
            <w:szCs w:val="18"/>
          </w:rPr>
          <w:t>Crise sanitaire et inégalités de genre</w:t>
        </w:r>
      </w:hyperlink>
      <w:r w:rsidRPr="003426B4">
        <w:rPr>
          <w:sz w:val="18"/>
          <w:szCs w:val="18"/>
        </w:rPr>
        <w:t xml:space="preserve"> (CESE, 2021)</w:t>
      </w:r>
    </w:p>
  </w:footnote>
  <w:footnote w:id="7">
    <w:p w14:paraId="2F3363D0" w14:textId="49AF2A62" w:rsidR="003426B4" w:rsidRPr="003426B4" w:rsidRDefault="003426B4">
      <w:pPr>
        <w:pStyle w:val="FootnoteText"/>
        <w:rPr>
          <w:sz w:val="18"/>
          <w:szCs w:val="18"/>
          <w:lang w:val="en-US"/>
        </w:rPr>
      </w:pPr>
      <w:r w:rsidRPr="003426B4">
        <w:rPr>
          <w:rStyle w:val="FootnoteReference"/>
          <w:sz w:val="18"/>
          <w:szCs w:val="18"/>
        </w:rPr>
        <w:footnoteRef/>
      </w:r>
      <w:r w:rsidRPr="003426B4">
        <w:rPr>
          <w:sz w:val="18"/>
          <w:szCs w:val="18"/>
          <w:lang w:val="en-US"/>
        </w:rPr>
        <w:t xml:space="preserve"> Øistein Svanes et al., “</w:t>
      </w:r>
      <w:r w:rsidR="0034679D">
        <w:fldChar w:fldCharType="begin"/>
      </w:r>
      <w:r w:rsidR="0034679D" w:rsidRPr="00755458">
        <w:rPr>
          <w:lang w:val="en-US"/>
        </w:rPr>
        <w:instrText>HYPERLINK "https://pubmed.ncbi.nlm.nih.gov/29451393/"</w:instrText>
      </w:r>
      <w:r w:rsidR="0034679D">
        <w:fldChar w:fldCharType="separate"/>
      </w:r>
      <w:r w:rsidRPr="003426B4">
        <w:rPr>
          <w:rStyle w:val="Hyperlink"/>
          <w:sz w:val="18"/>
          <w:szCs w:val="18"/>
          <w:lang w:val="en-US"/>
        </w:rPr>
        <w:t>Cleaning at Home and at Work in Relation to Lung Function Decline and Airway Obstruction</w:t>
      </w:r>
      <w:r w:rsidR="0034679D">
        <w:rPr>
          <w:rStyle w:val="Hyperlink"/>
          <w:sz w:val="18"/>
          <w:szCs w:val="18"/>
          <w:lang w:val="en-US"/>
        </w:rPr>
        <w:fldChar w:fldCharType="end"/>
      </w:r>
      <w:r w:rsidRPr="003426B4">
        <w:rPr>
          <w:sz w:val="18"/>
          <w:szCs w:val="18"/>
          <w:lang w:val="en-US"/>
        </w:rPr>
        <w:t>”, Am J Respir Crit Care Med, Vol. 197, no.9 (2018):1157-63</w:t>
      </w:r>
    </w:p>
  </w:footnote>
  <w:footnote w:id="8">
    <w:p w14:paraId="3BA5A66E" w14:textId="5B3E173E" w:rsidR="003426B4" w:rsidRPr="004A0A58" w:rsidRDefault="003426B4">
      <w:pPr>
        <w:pStyle w:val="FootnoteText"/>
      </w:pPr>
      <w:r w:rsidRPr="003426B4">
        <w:rPr>
          <w:rStyle w:val="FootnoteReference"/>
          <w:sz w:val="18"/>
          <w:szCs w:val="18"/>
        </w:rPr>
        <w:footnoteRef/>
      </w:r>
      <w:r w:rsidRPr="003426B4">
        <w:rPr>
          <w:sz w:val="18"/>
          <w:szCs w:val="18"/>
        </w:rPr>
        <w:t xml:space="preserve"> “</w:t>
      </w:r>
      <w:hyperlink r:id="rId2" w:history="1">
        <w:r w:rsidRPr="003426B4">
          <w:rPr>
            <w:rStyle w:val="Hyperlink"/>
            <w:sz w:val="18"/>
            <w:szCs w:val="18"/>
          </w:rPr>
          <w:t>Environment</w:t>
        </w:r>
      </w:hyperlink>
      <w:r w:rsidRPr="003426B4">
        <w:rPr>
          <w:sz w:val="18"/>
          <w:szCs w:val="18"/>
        </w:rPr>
        <w:t>”, Elfe (</w:t>
      </w:r>
      <w:r w:rsidRPr="003426B4">
        <w:rPr>
          <w:sz w:val="18"/>
          <w:szCs w:val="18"/>
        </w:rPr>
        <w:t>accessed June 15, 2021)</w:t>
      </w:r>
    </w:p>
  </w:footnote>
  <w:footnote w:id="9">
    <w:p w14:paraId="0E7ECABF" w14:textId="6029C095" w:rsidR="003426B4" w:rsidRPr="003426B4" w:rsidRDefault="003426B4">
      <w:pPr>
        <w:pStyle w:val="FootnoteText"/>
        <w:rPr>
          <w:sz w:val="18"/>
          <w:szCs w:val="18"/>
        </w:rPr>
      </w:pPr>
      <w:r w:rsidRPr="003426B4">
        <w:rPr>
          <w:rStyle w:val="FootnoteReference"/>
          <w:sz w:val="18"/>
          <w:szCs w:val="18"/>
        </w:rPr>
        <w:footnoteRef/>
      </w:r>
      <w:r w:rsidRPr="003426B4">
        <w:rPr>
          <w:sz w:val="18"/>
          <w:szCs w:val="18"/>
        </w:rPr>
        <w:t xml:space="preserve"> “</w:t>
      </w:r>
      <w:hyperlink w:history="1">
        <w:r w:rsidRPr="003426B4">
          <w:rPr>
            <w:rStyle w:val="Hyperlink"/>
            <w:sz w:val="18"/>
            <w:szCs w:val="18"/>
          </w:rPr>
          <w:t>Certains cocktails de pesticides favoriseraient le risque de cancer du sein chez les femmes ménopausées</w:t>
        </w:r>
      </w:hyperlink>
      <w:r w:rsidRPr="003426B4">
        <w:rPr>
          <w:sz w:val="18"/>
          <w:szCs w:val="18"/>
        </w:rPr>
        <w:t xml:space="preserve">”, Inserm, Original </w:t>
      </w:r>
      <w:r w:rsidRPr="003426B4">
        <w:rPr>
          <w:sz w:val="18"/>
          <w:szCs w:val="18"/>
        </w:rPr>
        <w:t>pubblication March 15, 2021 (accessed June 15, 2021)</w:t>
      </w:r>
    </w:p>
  </w:footnote>
  <w:footnote w:id="10">
    <w:p w14:paraId="3DB7A185" w14:textId="00572409" w:rsidR="003426B4" w:rsidRPr="003426B4" w:rsidRDefault="003426B4">
      <w:pPr>
        <w:pStyle w:val="FootnoteText"/>
        <w:rPr>
          <w:sz w:val="18"/>
          <w:szCs w:val="18"/>
          <w:lang w:val="en-US"/>
        </w:rPr>
      </w:pPr>
      <w:r w:rsidRPr="003426B4">
        <w:rPr>
          <w:rStyle w:val="FootnoteReference"/>
          <w:sz w:val="18"/>
          <w:szCs w:val="18"/>
        </w:rPr>
        <w:footnoteRef/>
      </w:r>
      <w:r w:rsidRPr="003426B4">
        <w:rPr>
          <w:sz w:val="18"/>
          <w:szCs w:val="18"/>
          <w:lang w:val="en-US"/>
        </w:rPr>
        <w:t xml:space="preserve"> “</w:t>
      </w:r>
      <w:r w:rsidR="0034679D">
        <w:fldChar w:fldCharType="begin"/>
      </w:r>
      <w:r w:rsidR="0034679D" w:rsidRPr="00755458">
        <w:rPr>
          <w:lang w:val="en-US"/>
        </w:rPr>
        <w:instrText>HYPERLINK "https://www.premiumbeautynews.com/en/the-makeup-craze-reaches-young,11417"</w:instrText>
      </w:r>
      <w:r w:rsidR="0034679D">
        <w:fldChar w:fldCharType="separate"/>
      </w:r>
      <w:r w:rsidRPr="003426B4">
        <w:rPr>
          <w:rStyle w:val="Hyperlink"/>
          <w:sz w:val="18"/>
          <w:szCs w:val="18"/>
          <w:lang w:val="en-US"/>
        </w:rPr>
        <w:t>The makeup craze reaches young German women</w:t>
      </w:r>
      <w:r w:rsidR="0034679D">
        <w:rPr>
          <w:rStyle w:val="Hyperlink"/>
          <w:sz w:val="18"/>
          <w:szCs w:val="18"/>
          <w:lang w:val="en-US"/>
        </w:rPr>
        <w:fldChar w:fldCharType="end"/>
      </w:r>
      <w:r w:rsidRPr="003426B4">
        <w:rPr>
          <w:sz w:val="18"/>
          <w:szCs w:val="18"/>
          <w:lang w:val="en-US"/>
        </w:rPr>
        <w:t>”, Premium beauty news, Original pubblication April 25, 2017 (accessed June 15, 2021)</w:t>
      </w:r>
    </w:p>
  </w:footnote>
  <w:footnote w:id="11">
    <w:p w14:paraId="28754F89" w14:textId="621CA366" w:rsidR="003426B4" w:rsidRPr="003426B4" w:rsidRDefault="003426B4">
      <w:pPr>
        <w:pStyle w:val="FootnoteText"/>
        <w:rPr>
          <w:sz w:val="18"/>
          <w:szCs w:val="18"/>
          <w:lang w:val="en-US"/>
        </w:rPr>
      </w:pPr>
      <w:r w:rsidRPr="003426B4">
        <w:rPr>
          <w:rStyle w:val="FootnoteReference"/>
          <w:sz w:val="18"/>
          <w:szCs w:val="18"/>
        </w:rPr>
        <w:footnoteRef/>
      </w:r>
      <w:r w:rsidRPr="003426B4">
        <w:rPr>
          <w:sz w:val="18"/>
          <w:szCs w:val="18"/>
          <w:lang w:val="en-US"/>
        </w:rPr>
        <w:t xml:space="preserve"> ”</w:t>
      </w:r>
      <w:r w:rsidR="0034679D">
        <w:fldChar w:fldCharType="begin"/>
      </w:r>
      <w:r w:rsidR="0034679D" w:rsidRPr="00755458">
        <w:rPr>
          <w:lang w:val="en-US"/>
        </w:rPr>
        <w:instrText>HYPERLINK "https://www.npr.org/sections/health-shots/2019/12/04/784838430/hair-dye-and-straightener-use-linked-to-higher-cancer-risk-especially-for-black-?t=1617879610973&amp;t=1623753362261"</w:instrText>
      </w:r>
      <w:r w:rsidR="0034679D">
        <w:fldChar w:fldCharType="separate"/>
      </w:r>
      <w:r w:rsidRPr="003426B4">
        <w:rPr>
          <w:rStyle w:val="Hyperlink"/>
          <w:sz w:val="18"/>
          <w:szCs w:val="18"/>
          <w:lang w:val="en-US"/>
        </w:rPr>
        <w:t>Hair Dyes And Straighteners Linked To Higher Cancer Risk, Especially For Black Women</w:t>
      </w:r>
      <w:r w:rsidR="0034679D">
        <w:rPr>
          <w:rStyle w:val="Hyperlink"/>
          <w:sz w:val="18"/>
          <w:szCs w:val="18"/>
          <w:lang w:val="en-US"/>
        </w:rPr>
        <w:fldChar w:fldCharType="end"/>
      </w:r>
      <w:r w:rsidRPr="003426B4">
        <w:rPr>
          <w:sz w:val="18"/>
          <w:szCs w:val="18"/>
          <w:lang w:val="en-US"/>
        </w:rPr>
        <w:t>”, NPR, Original pubblication December 4, 2019 (accessed June 15, 2021)</w:t>
      </w:r>
    </w:p>
  </w:footnote>
  <w:footnote w:id="12">
    <w:p w14:paraId="21C1A93E" w14:textId="658A5F89" w:rsidR="003426B4" w:rsidRPr="003426B4" w:rsidRDefault="003426B4">
      <w:pPr>
        <w:pStyle w:val="FootnoteText"/>
        <w:rPr>
          <w:sz w:val="18"/>
          <w:szCs w:val="18"/>
          <w:lang w:val="en-US"/>
        </w:rPr>
      </w:pPr>
      <w:r w:rsidRPr="003426B4">
        <w:rPr>
          <w:rStyle w:val="FootnoteReference"/>
          <w:sz w:val="18"/>
          <w:szCs w:val="18"/>
        </w:rPr>
        <w:footnoteRef/>
      </w:r>
      <w:r w:rsidRPr="003426B4">
        <w:rPr>
          <w:sz w:val="18"/>
          <w:szCs w:val="18"/>
          <w:lang w:val="en-US"/>
        </w:rPr>
        <w:t xml:space="preserve"> The EU is the safest market in the world for hair dyes, DG Health &amp; Safety, European Commission, February 2016</w:t>
      </w:r>
    </w:p>
  </w:footnote>
  <w:footnote w:id="13">
    <w:p w14:paraId="668B1E45" w14:textId="15D16805" w:rsidR="003426B4" w:rsidRPr="003426B4" w:rsidRDefault="003426B4">
      <w:pPr>
        <w:pStyle w:val="FootnoteText"/>
        <w:rPr>
          <w:sz w:val="18"/>
          <w:szCs w:val="18"/>
          <w:lang w:val="en-US"/>
        </w:rPr>
      </w:pPr>
      <w:r w:rsidRPr="003426B4">
        <w:rPr>
          <w:rStyle w:val="FootnoteReference"/>
          <w:sz w:val="18"/>
          <w:szCs w:val="18"/>
        </w:rPr>
        <w:footnoteRef/>
      </w:r>
      <w:r w:rsidRPr="003426B4">
        <w:rPr>
          <w:sz w:val="18"/>
          <w:szCs w:val="18"/>
          <w:lang w:val="en-US"/>
        </w:rPr>
        <w:t xml:space="preserve"> Irmina Maria Michalek et al.</w:t>
      </w:r>
      <w:r w:rsidRPr="003426B4">
        <w:rPr>
          <w:sz w:val="18"/>
          <w:szCs w:val="18"/>
          <w:lang w:val="en-US"/>
        </w:rPr>
        <w:t>, ”</w:t>
      </w:r>
      <w:hyperlink r:id="rId3" w:history="1">
        <w:r w:rsidRPr="003426B4">
          <w:rPr>
            <w:rStyle w:val="Hyperlink"/>
            <w:sz w:val="18"/>
            <w:szCs w:val="18"/>
            <w:lang w:val="en-US"/>
          </w:rPr>
          <w:t>Skin lightening products’ violations in Europe: An analysis of the rapid alert system for dangerous non-food products 2005–2018</w:t>
        </w:r>
      </w:hyperlink>
      <w:r w:rsidRPr="003426B4">
        <w:rPr>
          <w:sz w:val="18"/>
          <w:szCs w:val="18"/>
          <w:lang w:val="en-US"/>
        </w:rPr>
        <w:t>”, Regulatory Toxicology and Pharmacology, Vol. 106 (2019): 50-54</w:t>
      </w:r>
    </w:p>
  </w:footnote>
  <w:footnote w:id="14">
    <w:p w14:paraId="1C2B57BC" w14:textId="12219F3E" w:rsidR="003426B4" w:rsidRPr="003426B4" w:rsidRDefault="003426B4">
      <w:pPr>
        <w:pStyle w:val="FootnoteText"/>
        <w:rPr>
          <w:sz w:val="18"/>
          <w:szCs w:val="18"/>
          <w:lang w:val="en-US"/>
        </w:rPr>
      </w:pPr>
      <w:r w:rsidRPr="003426B4">
        <w:rPr>
          <w:rStyle w:val="FootnoteReference"/>
          <w:sz w:val="18"/>
          <w:szCs w:val="18"/>
        </w:rPr>
        <w:footnoteRef/>
      </w:r>
      <w:r w:rsidRPr="003426B4">
        <w:rPr>
          <w:sz w:val="18"/>
          <w:szCs w:val="18"/>
          <w:lang w:val="en-US"/>
        </w:rPr>
        <w:t xml:space="preserve"> Accessible here: </w:t>
      </w:r>
      <w:r w:rsidR="0034679D">
        <w:fldChar w:fldCharType="begin"/>
      </w:r>
      <w:r w:rsidR="0034679D" w:rsidRPr="00755458">
        <w:rPr>
          <w:lang w:val="en-US"/>
        </w:rPr>
        <w:instrText>HYPERLINK "https://eeb.org/library/why-the-european-green-deal-needs-ecofeminism/"</w:instrText>
      </w:r>
      <w:r w:rsidR="0034679D">
        <w:fldChar w:fldCharType="separate"/>
      </w:r>
      <w:r w:rsidRPr="003426B4">
        <w:rPr>
          <w:rStyle w:val="Hyperlink"/>
          <w:sz w:val="18"/>
          <w:szCs w:val="18"/>
          <w:lang w:val="en-US"/>
        </w:rPr>
        <w:t>Why the European Green Deal needs ecofeminism (eeb.org)</w:t>
      </w:r>
      <w:r w:rsidR="0034679D">
        <w:rPr>
          <w:rStyle w:val="Hyperlink"/>
          <w:sz w:val="18"/>
          <w:szCs w:val="18"/>
          <w:lang w:val="en-US"/>
        </w:rPr>
        <w:fldChar w:fldCharType="end"/>
      </w:r>
    </w:p>
  </w:footnote>
  <w:footnote w:id="15">
    <w:p w14:paraId="5A3851C9" w14:textId="291DC1DA" w:rsidR="003426B4" w:rsidRPr="003426B4" w:rsidRDefault="003426B4">
      <w:pPr>
        <w:pStyle w:val="FootnoteText"/>
        <w:rPr>
          <w:lang w:val="en-US"/>
        </w:rPr>
      </w:pPr>
      <w:r w:rsidRPr="003426B4">
        <w:rPr>
          <w:rStyle w:val="FootnoteReference"/>
          <w:sz w:val="18"/>
          <w:szCs w:val="18"/>
        </w:rPr>
        <w:footnoteRef/>
      </w:r>
      <w:r w:rsidRPr="003426B4">
        <w:rPr>
          <w:sz w:val="18"/>
          <w:szCs w:val="18"/>
          <w:lang w:val="en-US"/>
        </w:rPr>
        <w:t xml:space="preserve"> European Environment Agency</w:t>
      </w:r>
      <w:r w:rsidR="0034679D">
        <w:fldChar w:fldCharType="begin"/>
      </w:r>
      <w:r w:rsidR="0034679D" w:rsidRPr="00755458">
        <w:rPr>
          <w:lang w:val="en-US"/>
        </w:rPr>
        <w:instrText>HYPERLINK "https://www.eea.europa.eu/publications/unequal-exposure-and-unequal-impacts"</w:instrText>
      </w:r>
      <w:r w:rsidR="0034679D">
        <w:fldChar w:fldCharType="separate"/>
      </w:r>
      <w:r w:rsidRPr="003426B4">
        <w:rPr>
          <w:rStyle w:val="Hyperlink"/>
          <w:sz w:val="18"/>
          <w:szCs w:val="18"/>
          <w:lang w:val="en-US"/>
        </w:rPr>
        <w:t>, Unequal exposure and unequal impacts: social vulnerability to air pollution, noise and extreme temperatures in Europe</w:t>
      </w:r>
      <w:r w:rsidR="0034679D">
        <w:rPr>
          <w:rStyle w:val="Hyperlink"/>
          <w:sz w:val="18"/>
          <w:szCs w:val="18"/>
          <w:lang w:val="en-US"/>
        </w:rPr>
        <w:fldChar w:fldCharType="end"/>
      </w:r>
      <w:r w:rsidRPr="003426B4">
        <w:rPr>
          <w:sz w:val="18"/>
          <w:szCs w:val="18"/>
          <w:lang w:val="en-US"/>
        </w:rPr>
        <w:t>, 2018, Report 22/2018, Luxembourg: Publications Office of the European Union</w:t>
      </w:r>
    </w:p>
  </w:footnote>
  <w:footnote w:id="16">
    <w:p w14:paraId="0F043111" w14:textId="22804C34" w:rsidR="003426B4" w:rsidRPr="003426B4" w:rsidRDefault="003426B4">
      <w:pPr>
        <w:pStyle w:val="FootnoteText"/>
        <w:rPr>
          <w:sz w:val="18"/>
          <w:szCs w:val="18"/>
          <w:lang w:val="en-US"/>
        </w:rPr>
      </w:pPr>
      <w:r w:rsidRPr="003426B4">
        <w:rPr>
          <w:rStyle w:val="FootnoteReference"/>
          <w:sz w:val="18"/>
          <w:szCs w:val="18"/>
        </w:rPr>
        <w:footnoteRef/>
      </w:r>
      <w:r w:rsidRPr="003426B4">
        <w:rPr>
          <w:sz w:val="18"/>
          <w:szCs w:val="18"/>
          <w:lang w:val="en-US"/>
        </w:rPr>
        <w:t xml:space="preserve"> Eurostat, </w:t>
      </w:r>
      <w:r w:rsidR="0034679D">
        <w:fldChar w:fldCharType="begin"/>
      </w:r>
      <w:r w:rsidR="0034679D" w:rsidRPr="00755458">
        <w:rPr>
          <w:lang w:val="en-US"/>
        </w:rPr>
        <w:instrText>HYPERLINK "https://ec.europa.eu/eurostat/documents/3217494/9079352/KS-DZ-18-001-EN-N.pdf/884f6fec-2450-430a-b68d-f12c3012f4d0?t=1532352347000"</w:instrText>
      </w:r>
      <w:r w:rsidR="0034679D">
        <w:fldChar w:fldCharType="separate"/>
      </w:r>
      <w:r w:rsidRPr="003426B4">
        <w:rPr>
          <w:rStyle w:val="Hyperlink"/>
          <w:sz w:val="18"/>
          <w:szCs w:val="18"/>
          <w:lang w:val="en-US"/>
        </w:rPr>
        <w:t>Living conditions in Europe — 2018 edition</w:t>
      </w:r>
      <w:r w:rsidR="0034679D">
        <w:rPr>
          <w:rStyle w:val="Hyperlink"/>
          <w:sz w:val="18"/>
          <w:szCs w:val="18"/>
          <w:lang w:val="en-US"/>
        </w:rPr>
        <w:fldChar w:fldCharType="end"/>
      </w:r>
      <w:r w:rsidRPr="003426B4">
        <w:rPr>
          <w:sz w:val="18"/>
          <w:szCs w:val="18"/>
          <w:lang w:val="en-US"/>
        </w:rPr>
        <w:t>, 2018, Luxembourg: Publications Office of the European Union</w:t>
      </w:r>
    </w:p>
  </w:footnote>
  <w:footnote w:id="17">
    <w:p w14:paraId="1CAACD94" w14:textId="11FAF206" w:rsidR="003426B4" w:rsidRPr="003426B4" w:rsidRDefault="003426B4">
      <w:pPr>
        <w:pStyle w:val="FootnoteText"/>
        <w:rPr>
          <w:sz w:val="18"/>
          <w:szCs w:val="18"/>
          <w:lang w:val="en-US"/>
        </w:rPr>
      </w:pPr>
      <w:r w:rsidRPr="003426B4">
        <w:rPr>
          <w:rStyle w:val="FootnoteReference"/>
          <w:sz w:val="18"/>
          <w:szCs w:val="18"/>
        </w:rPr>
        <w:footnoteRef/>
      </w:r>
      <w:r w:rsidRPr="003426B4">
        <w:rPr>
          <w:sz w:val="18"/>
          <w:szCs w:val="18"/>
          <w:lang w:val="en-US"/>
        </w:rPr>
        <w:t xml:space="preserve"> ”</w:t>
      </w:r>
      <w:r w:rsidR="0034679D">
        <w:fldChar w:fldCharType="begin"/>
      </w:r>
      <w:r w:rsidR="0034679D" w:rsidRPr="00755458">
        <w:rPr>
          <w:lang w:val="en-US"/>
        </w:rPr>
        <w:instrText>HYPERLINK "https://euon.echa.europa.eu/view-article/-/journal_content/title/female-fertility-data-lacking-for-nanomaterials"</w:instrText>
      </w:r>
      <w:r w:rsidR="0034679D">
        <w:fldChar w:fldCharType="separate"/>
      </w:r>
      <w:r w:rsidRPr="003426B4">
        <w:rPr>
          <w:rStyle w:val="Hyperlink"/>
          <w:sz w:val="18"/>
          <w:szCs w:val="18"/>
          <w:lang w:val="en-US"/>
        </w:rPr>
        <w:t>Female fertility data lacking for nanomaterials</w:t>
      </w:r>
      <w:r w:rsidR="0034679D">
        <w:rPr>
          <w:rStyle w:val="Hyperlink"/>
          <w:sz w:val="18"/>
          <w:szCs w:val="18"/>
          <w:lang w:val="en-US"/>
        </w:rPr>
        <w:fldChar w:fldCharType="end"/>
      </w:r>
      <w:r w:rsidRPr="003426B4">
        <w:rPr>
          <w:sz w:val="18"/>
          <w:szCs w:val="18"/>
          <w:lang w:val="en-US"/>
        </w:rPr>
        <w:t>”, European Union Observatory for Nanomaterials (EUON) (accessed June 15, 2021)</w:t>
      </w:r>
    </w:p>
  </w:footnote>
  <w:footnote w:id="18">
    <w:p w14:paraId="63DCA1AF" w14:textId="7F05931E" w:rsidR="003426B4" w:rsidRPr="003426B4" w:rsidRDefault="003426B4">
      <w:pPr>
        <w:pStyle w:val="FootnoteText"/>
        <w:rPr>
          <w:sz w:val="18"/>
          <w:szCs w:val="18"/>
          <w:lang w:val="en-US"/>
        </w:rPr>
      </w:pPr>
      <w:r w:rsidRPr="003426B4">
        <w:rPr>
          <w:rStyle w:val="FootnoteReference"/>
          <w:sz w:val="18"/>
          <w:szCs w:val="18"/>
        </w:rPr>
        <w:footnoteRef/>
      </w:r>
      <w:r w:rsidRPr="003426B4">
        <w:rPr>
          <w:sz w:val="18"/>
          <w:szCs w:val="18"/>
          <w:lang w:val="en-US"/>
        </w:rPr>
        <w:t xml:space="preserve"> T </w:t>
      </w:r>
      <w:r w:rsidRPr="003426B4">
        <w:rPr>
          <w:sz w:val="18"/>
          <w:szCs w:val="18"/>
          <w:lang w:val="en-US"/>
        </w:rPr>
        <w:t>Paeck and G Bolte</w:t>
      </w:r>
      <w:r w:rsidRPr="003426B4">
        <w:rPr>
          <w:sz w:val="18"/>
          <w:szCs w:val="18"/>
          <w:lang w:val="en-US"/>
        </w:rPr>
        <w:t>, ”</w:t>
      </w:r>
      <w:hyperlink r:id="rId4" w:history="1">
        <w:r w:rsidRPr="003426B4">
          <w:rPr>
            <w:rStyle w:val="Hyperlink"/>
            <w:sz w:val="18"/>
            <w:szCs w:val="18"/>
            <w:lang w:val="en-US"/>
          </w:rPr>
          <w:t>The interdisciplinary research network GeUmGe-NET on sex/gender in environmental health research: Tatjana Paeck</w:t>
        </w:r>
      </w:hyperlink>
      <w:r w:rsidRPr="003426B4">
        <w:rPr>
          <w:sz w:val="18"/>
          <w:szCs w:val="18"/>
          <w:lang w:val="en-US"/>
        </w:rPr>
        <w:t>”, European Journal of Public Health, Vol. 26, no. suppl_1 (2016)</w:t>
      </w:r>
    </w:p>
  </w:footnote>
  <w:footnote w:id="19">
    <w:p w14:paraId="5E3149C5" w14:textId="11217E94" w:rsidR="003426B4" w:rsidRPr="003426B4" w:rsidRDefault="003426B4">
      <w:pPr>
        <w:pStyle w:val="FootnoteText"/>
        <w:rPr>
          <w:sz w:val="18"/>
          <w:szCs w:val="18"/>
          <w:lang w:val="en-US"/>
        </w:rPr>
      </w:pPr>
      <w:r w:rsidRPr="003426B4">
        <w:rPr>
          <w:rStyle w:val="FootnoteReference"/>
          <w:sz w:val="18"/>
          <w:szCs w:val="18"/>
        </w:rPr>
        <w:footnoteRef/>
      </w:r>
      <w:r w:rsidRPr="003426B4">
        <w:rPr>
          <w:sz w:val="18"/>
          <w:szCs w:val="18"/>
          <w:lang w:val="en-US"/>
        </w:rPr>
        <w:t xml:space="preserve"> </w:t>
      </w:r>
      <w:r w:rsidRPr="003426B4">
        <w:rPr>
          <w:sz w:val="18"/>
          <w:szCs w:val="18"/>
          <w:lang w:val="en-US"/>
        </w:rPr>
        <w:t>Jeongeun Im et al</w:t>
      </w:r>
      <w:r w:rsidR="0034679D">
        <w:fldChar w:fldCharType="begin"/>
      </w:r>
      <w:r w:rsidR="0034679D" w:rsidRPr="00755458">
        <w:rPr>
          <w:lang w:val="en-US"/>
        </w:rPr>
        <w:instrText>HYPERLINK "https://doi.org/10.1089/jwh.2018.7479"</w:instrText>
      </w:r>
      <w:r w:rsidR="0034679D">
        <w:fldChar w:fldCharType="separate"/>
      </w:r>
      <w:r w:rsidRPr="003426B4">
        <w:rPr>
          <w:rStyle w:val="Hyperlink"/>
          <w:sz w:val="18"/>
          <w:szCs w:val="18"/>
          <w:lang w:val="en-US"/>
        </w:rPr>
        <w:t>.,” Sex and Gender Analysis of Toxicity and Epidemiology Data on Environmental Chemicals in the Three Major Toxicology Database</w:t>
      </w:r>
      <w:r w:rsidR="0034679D">
        <w:rPr>
          <w:rStyle w:val="Hyperlink"/>
          <w:sz w:val="18"/>
          <w:szCs w:val="18"/>
          <w:lang w:val="en-US"/>
        </w:rPr>
        <w:fldChar w:fldCharType="end"/>
      </w:r>
      <w:r w:rsidRPr="003426B4">
        <w:rPr>
          <w:sz w:val="18"/>
          <w:szCs w:val="18"/>
          <w:lang w:val="en-US"/>
        </w:rPr>
        <w:t>s”, Journal of Women’s Health, Vol. 29, no. 10 (2020)</w:t>
      </w:r>
    </w:p>
  </w:footnote>
  <w:footnote w:id="20">
    <w:p w14:paraId="507C8299" w14:textId="13F4F0FF" w:rsidR="003426B4" w:rsidRPr="003426B4" w:rsidRDefault="003426B4">
      <w:pPr>
        <w:pStyle w:val="FootnoteText"/>
        <w:rPr>
          <w:sz w:val="18"/>
          <w:szCs w:val="18"/>
          <w:lang w:val="en-US"/>
        </w:rPr>
      </w:pPr>
      <w:r w:rsidRPr="003426B4">
        <w:rPr>
          <w:rStyle w:val="FootnoteReference"/>
          <w:sz w:val="18"/>
          <w:szCs w:val="18"/>
        </w:rPr>
        <w:footnoteRef/>
      </w:r>
      <w:r w:rsidRPr="003426B4">
        <w:rPr>
          <w:sz w:val="18"/>
          <w:szCs w:val="18"/>
          <w:lang w:val="en-US"/>
        </w:rPr>
        <w:t xml:space="preserve"> European Parliament, Council of the European Union,</w:t>
      </w:r>
      <w:r w:rsidR="0034679D">
        <w:fldChar w:fldCharType="begin"/>
      </w:r>
      <w:r w:rsidR="0034679D" w:rsidRPr="00755458">
        <w:rPr>
          <w:lang w:val="en-US"/>
        </w:rPr>
        <w:instrText>HYPERLINK "https://eur-lex.europa.eu/legal-content/en/ALL/?uri=CELEX%3A32008R1272"</w:instrText>
      </w:r>
      <w:r w:rsidR="0034679D">
        <w:fldChar w:fldCharType="separate"/>
      </w:r>
      <w:r w:rsidRPr="003426B4">
        <w:rPr>
          <w:rStyle w:val="Hyperlink"/>
          <w:sz w:val="18"/>
          <w:szCs w:val="18"/>
          <w:lang w:val="en-US"/>
        </w:rPr>
        <w:t xml:space="preserve"> Regulation (EC) No 1272/2008 of the European Parliament and of the Council of 16 December 2008 on classification, labelling and packaging of substances and mixtures, amending and repealing Directives 67/548/EEC and 1999/45/EC, and amending Regulation (EC) No 1907/2006 (Text with EEA relevance),</w:t>
      </w:r>
      <w:r w:rsidR="0034679D">
        <w:rPr>
          <w:rStyle w:val="Hyperlink"/>
          <w:sz w:val="18"/>
          <w:szCs w:val="18"/>
          <w:lang w:val="en-US"/>
        </w:rPr>
        <w:fldChar w:fldCharType="end"/>
      </w:r>
      <w:r w:rsidRPr="003426B4">
        <w:rPr>
          <w:sz w:val="18"/>
          <w:szCs w:val="18"/>
          <w:lang w:val="en-US"/>
        </w:rPr>
        <w:t xml:space="preserve"> 2008</w:t>
      </w:r>
    </w:p>
  </w:footnote>
  <w:footnote w:id="21">
    <w:p w14:paraId="23DE3E73" w14:textId="6CB7FCD8" w:rsidR="003426B4" w:rsidRPr="003426B4" w:rsidRDefault="003426B4">
      <w:pPr>
        <w:pStyle w:val="FootnoteText"/>
        <w:rPr>
          <w:sz w:val="18"/>
          <w:szCs w:val="18"/>
          <w:lang w:val="en-US"/>
        </w:rPr>
      </w:pPr>
      <w:r w:rsidRPr="003426B4">
        <w:rPr>
          <w:rStyle w:val="FootnoteReference"/>
          <w:sz w:val="18"/>
          <w:szCs w:val="18"/>
        </w:rPr>
        <w:footnoteRef/>
      </w:r>
      <w:r w:rsidRPr="003426B4">
        <w:rPr>
          <w:sz w:val="18"/>
          <w:szCs w:val="18"/>
          <w:lang w:val="en-US"/>
        </w:rPr>
        <w:t xml:space="preserve"> European Parliament, Council of the European Union, </w:t>
      </w:r>
      <w:r w:rsidR="0034679D">
        <w:fldChar w:fldCharType="begin"/>
      </w:r>
      <w:r w:rsidR="0034679D" w:rsidRPr="00755458">
        <w:rPr>
          <w:lang w:val="en-US"/>
        </w:rPr>
        <w:instrText>HYPERLINK "https://eur-lex.europa.eu/legal-content/EN/ALL/?uri=CELEX:02006R1907-20140410"</w:instrText>
      </w:r>
      <w:r w:rsidR="0034679D">
        <w:fldChar w:fldCharType="separate"/>
      </w:r>
      <w:r w:rsidRPr="003426B4">
        <w:rPr>
          <w:rStyle w:val="Hyperlink"/>
          <w:sz w:val="18"/>
          <w:szCs w:val="18"/>
          <w:lang w:val="en-US"/>
        </w:rPr>
        <w:t>Consolidated text: Regulation (EC) No 1907/2006 of the European Parliament and of the Council of 18 December 2006 concerning the Registration, Evaluation, Authorisation and Restriction of Chemicals (REACH), establishing a European Chemicals Agency, amending Directive 1999/45/EC and repealing Council Regulation (EEC) No 793/93 and Commission Regulation (EC) No 1488/94 as well as Council Directive 76/769/EEC and Commission Directives 91/155/EEC, 93/67/EEC, 93/105/ EC and 2000/21/EC (Text with EEA relevance),</w:t>
      </w:r>
      <w:r w:rsidR="0034679D">
        <w:rPr>
          <w:rStyle w:val="Hyperlink"/>
          <w:sz w:val="18"/>
          <w:szCs w:val="18"/>
          <w:lang w:val="en-US"/>
        </w:rPr>
        <w:fldChar w:fldCharType="end"/>
      </w:r>
      <w:r w:rsidRPr="003426B4">
        <w:rPr>
          <w:sz w:val="18"/>
          <w:szCs w:val="18"/>
          <w:lang w:val="en-US"/>
        </w:rPr>
        <w:t xml:space="preserve"> 2014</w:t>
      </w:r>
    </w:p>
  </w:footnote>
  <w:footnote w:id="22">
    <w:p w14:paraId="24EAC3CC" w14:textId="4D12AA13" w:rsidR="003426B4" w:rsidRPr="003426B4" w:rsidRDefault="003426B4">
      <w:pPr>
        <w:pStyle w:val="FootnoteText"/>
        <w:rPr>
          <w:lang w:val="en-US"/>
        </w:rPr>
      </w:pPr>
      <w:r w:rsidRPr="003426B4">
        <w:rPr>
          <w:rStyle w:val="FootnoteReference"/>
          <w:sz w:val="18"/>
          <w:szCs w:val="18"/>
        </w:rPr>
        <w:footnoteRef/>
      </w:r>
      <w:r w:rsidRPr="003426B4">
        <w:rPr>
          <w:sz w:val="18"/>
          <w:szCs w:val="18"/>
          <w:lang w:val="en-US"/>
        </w:rPr>
        <w:t xml:space="preserve"> ”</w:t>
      </w:r>
      <w:r w:rsidR="0034679D">
        <w:fldChar w:fldCharType="begin"/>
      </w:r>
      <w:r w:rsidR="0034679D" w:rsidRPr="00755458">
        <w:rPr>
          <w:lang w:val="en-US"/>
        </w:rPr>
        <w:instrText>HYPERLINK "https://ec.europa.eu/environment/strategy/chemicals-strategy_en"</w:instrText>
      </w:r>
      <w:r w:rsidR="0034679D">
        <w:fldChar w:fldCharType="separate"/>
      </w:r>
      <w:r w:rsidRPr="003426B4">
        <w:rPr>
          <w:rStyle w:val="Hyperlink"/>
          <w:sz w:val="18"/>
          <w:szCs w:val="18"/>
          <w:lang w:val="en-US"/>
        </w:rPr>
        <w:t>Chemicals strategy</w:t>
      </w:r>
      <w:r w:rsidR="0034679D">
        <w:rPr>
          <w:rStyle w:val="Hyperlink"/>
          <w:sz w:val="18"/>
          <w:szCs w:val="18"/>
          <w:lang w:val="en-US"/>
        </w:rPr>
        <w:fldChar w:fldCharType="end"/>
      </w:r>
      <w:r w:rsidRPr="003426B4">
        <w:rPr>
          <w:sz w:val="18"/>
          <w:szCs w:val="18"/>
          <w:lang w:val="en-US"/>
        </w:rPr>
        <w:t>”, European Commission (accessed June 15,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B2546" w14:textId="1D390301" w:rsidR="00755458" w:rsidRDefault="00755458" w:rsidP="0034679D">
    <w:pPr>
      <w:pStyle w:val="NormalWeb"/>
    </w:pPr>
    <w:r>
      <w:rPr>
        <w:noProof/>
      </w:rPr>
      <w:drawing>
        <wp:inline distT="0" distB="0" distL="0" distR="0" wp14:anchorId="23B354BC" wp14:editId="0D6943B8">
          <wp:extent cx="1554480" cy="971550"/>
          <wp:effectExtent l="0" t="0" r="7620" b="0"/>
          <wp:docPr id="52882787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827871" name="Picture 1"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133" cy="97195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480CB3"/>
    <w:multiLevelType w:val="hybridMultilevel"/>
    <w:tmpl w:val="E300FB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F915F79"/>
    <w:multiLevelType w:val="hybridMultilevel"/>
    <w:tmpl w:val="924E64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86451565">
    <w:abstractNumId w:val="0"/>
  </w:num>
  <w:num w:numId="2" w16cid:durableId="13728078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763"/>
    <w:rsid w:val="00152763"/>
    <w:rsid w:val="00184DAB"/>
    <w:rsid w:val="003426B4"/>
    <w:rsid w:val="0034679D"/>
    <w:rsid w:val="004252CD"/>
    <w:rsid w:val="00436313"/>
    <w:rsid w:val="004A0A58"/>
    <w:rsid w:val="005B549C"/>
    <w:rsid w:val="006D01B5"/>
    <w:rsid w:val="00755458"/>
    <w:rsid w:val="00980096"/>
    <w:rsid w:val="009F09B5"/>
    <w:rsid w:val="00AC65CA"/>
    <w:rsid w:val="00DB3320"/>
    <w:rsid w:val="00DB5C0F"/>
    <w:rsid w:val="00E41A54"/>
    <w:rsid w:val="00F02476"/>
    <w:rsid w:val="00F667A0"/>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55580"/>
  <w15:chartTrackingRefBased/>
  <w15:docId w15:val="{CDA9C20F-1210-460C-A449-A6A6B294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EEB Normal"/>
    <w:qFormat/>
    <w:rsid w:val="00DB3320"/>
    <w:pPr>
      <w:spacing w:before="240" w:after="200" w:line="276" w:lineRule="auto"/>
    </w:pPr>
    <w:rPr>
      <w:rFonts w:cstheme="minorHAnsi"/>
      <w:kern w:val="0"/>
      <w:sz w:val="19"/>
      <w:szCs w:val="19"/>
      <w:lang w:val="fr-BE"/>
      <w14:ligatures w14:val="none"/>
    </w:rPr>
  </w:style>
  <w:style w:type="paragraph" w:styleId="Heading1">
    <w:name w:val="heading 1"/>
    <w:basedOn w:val="Normal"/>
    <w:next w:val="Normal"/>
    <w:link w:val="Heading1Char"/>
    <w:uiPriority w:val="9"/>
    <w:rsid w:val="00152763"/>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rsid w:val="00152763"/>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52763"/>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5276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15276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rsid w:val="001527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rsid w:val="001527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2763"/>
    <w:pPr>
      <w:keepNext/>
      <w:keepLines/>
      <w:spacing w:before="0"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2763"/>
    <w:pPr>
      <w:keepNext/>
      <w:keepLines/>
      <w:spacing w:before="0"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s">
    <w:name w:val="Quotes"/>
    <w:basedOn w:val="Normal"/>
    <w:link w:val="QuotesChar"/>
    <w:qFormat/>
    <w:rsid w:val="00DB3320"/>
    <w:rPr>
      <w:rFonts w:ascii="Nunito" w:hAnsi="Nunito" w:cs="Open Sans"/>
      <w:b/>
      <w:i/>
      <w:lang w:val="en-US"/>
    </w:rPr>
  </w:style>
  <w:style w:type="character" w:customStyle="1" w:styleId="QuotesChar">
    <w:name w:val="Quotes Char"/>
    <w:basedOn w:val="DefaultParagraphFont"/>
    <w:link w:val="Quotes"/>
    <w:rsid w:val="00DB3320"/>
    <w:rPr>
      <w:rFonts w:ascii="Nunito" w:hAnsi="Nunito" w:cs="Open Sans"/>
      <w:b/>
      <w:i/>
      <w:sz w:val="19"/>
      <w:szCs w:val="19"/>
    </w:rPr>
  </w:style>
  <w:style w:type="paragraph" w:customStyle="1" w:styleId="EEB1stTitle">
    <w:name w:val="EEB 1st Title"/>
    <w:basedOn w:val="Normal"/>
    <w:next w:val="Normal"/>
    <w:qFormat/>
    <w:rsid w:val="00DB3320"/>
    <w:pPr>
      <w:tabs>
        <w:tab w:val="left" w:pos="-284"/>
      </w:tabs>
      <w:spacing w:before="100" w:beforeAutospacing="1" w:after="100" w:afterAutospacing="1" w:line="240" w:lineRule="auto"/>
      <w:jc w:val="both"/>
    </w:pPr>
    <w:rPr>
      <w:rFonts w:ascii="Nunito" w:hAnsi="Nunito" w:cs="Open Sans"/>
      <w:b/>
      <w:color w:val="132559"/>
      <w:sz w:val="28"/>
      <w:szCs w:val="28"/>
      <w:shd w:val="clear" w:color="auto" w:fill="FFFFFF"/>
    </w:rPr>
  </w:style>
  <w:style w:type="paragraph" w:customStyle="1" w:styleId="EEB2ndHeading">
    <w:name w:val="EEB 2nd Heading"/>
    <w:basedOn w:val="ListParagraph"/>
    <w:next w:val="Normal"/>
    <w:qFormat/>
    <w:rsid w:val="00DB3320"/>
    <w:pPr>
      <w:tabs>
        <w:tab w:val="left" w:pos="-284"/>
      </w:tabs>
      <w:spacing w:after="0" w:line="240" w:lineRule="auto"/>
      <w:ind w:left="0"/>
      <w:jc w:val="both"/>
    </w:pPr>
    <w:rPr>
      <w:rFonts w:ascii="Open Sans" w:eastAsia="Times New Roman" w:hAnsi="Open Sans" w:cs="Open Sans"/>
      <w:b/>
      <w:color w:val="97C347"/>
      <w:sz w:val="24"/>
      <w:szCs w:val="24"/>
      <w:shd w:val="clear" w:color="auto" w:fill="FFFFFF"/>
    </w:rPr>
  </w:style>
  <w:style w:type="paragraph" w:styleId="ListParagraph">
    <w:name w:val="List Paragraph"/>
    <w:basedOn w:val="Normal"/>
    <w:uiPriority w:val="34"/>
    <w:rsid w:val="00F02476"/>
    <w:pPr>
      <w:ind w:left="720"/>
      <w:contextualSpacing/>
    </w:pPr>
  </w:style>
  <w:style w:type="paragraph" w:customStyle="1" w:styleId="EEB3rdHeading">
    <w:name w:val="EEB 3rd Heading"/>
    <w:basedOn w:val="Normal"/>
    <w:next w:val="Normal"/>
    <w:qFormat/>
    <w:rsid w:val="00DB3320"/>
    <w:pPr>
      <w:ind w:left="567"/>
    </w:pPr>
    <w:rPr>
      <w:rFonts w:ascii="Open Sans" w:hAnsi="Open Sans" w:cs="Open Sans"/>
      <w:b/>
      <w:color w:val="1A70AA"/>
      <w:sz w:val="20"/>
    </w:rPr>
  </w:style>
  <w:style w:type="character" w:customStyle="1" w:styleId="Heading1Char">
    <w:name w:val="Heading 1 Char"/>
    <w:basedOn w:val="DefaultParagraphFont"/>
    <w:link w:val="Heading1"/>
    <w:uiPriority w:val="9"/>
    <w:rsid w:val="00152763"/>
    <w:rPr>
      <w:rFonts w:asciiTheme="majorHAnsi" w:eastAsiaTheme="majorEastAsia" w:hAnsiTheme="majorHAnsi" w:cstheme="majorBidi"/>
      <w:color w:val="365F91" w:themeColor="accent1" w:themeShade="BF"/>
      <w:kern w:val="0"/>
      <w:sz w:val="40"/>
      <w:szCs w:val="40"/>
      <w:lang w:val="fr-BE"/>
      <w14:ligatures w14:val="none"/>
    </w:rPr>
  </w:style>
  <w:style w:type="character" w:customStyle="1" w:styleId="Heading2Char">
    <w:name w:val="Heading 2 Char"/>
    <w:basedOn w:val="DefaultParagraphFont"/>
    <w:link w:val="Heading2"/>
    <w:uiPriority w:val="9"/>
    <w:semiHidden/>
    <w:rsid w:val="00152763"/>
    <w:rPr>
      <w:rFonts w:asciiTheme="majorHAnsi" w:eastAsiaTheme="majorEastAsia" w:hAnsiTheme="majorHAnsi" w:cstheme="majorBidi"/>
      <w:color w:val="365F91" w:themeColor="accent1" w:themeShade="BF"/>
      <w:kern w:val="0"/>
      <w:sz w:val="32"/>
      <w:szCs w:val="32"/>
      <w:lang w:val="fr-BE"/>
      <w14:ligatures w14:val="none"/>
    </w:rPr>
  </w:style>
  <w:style w:type="character" w:customStyle="1" w:styleId="Heading3Char">
    <w:name w:val="Heading 3 Char"/>
    <w:basedOn w:val="DefaultParagraphFont"/>
    <w:link w:val="Heading3"/>
    <w:uiPriority w:val="9"/>
    <w:semiHidden/>
    <w:rsid w:val="00152763"/>
    <w:rPr>
      <w:rFonts w:eastAsiaTheme="majorEastAsia" w:cstheme="majorBidi"/>
      <w:color w:val="365F91" w:themeColor="accent1" w:themeShade="BF"/>
      <w:kern w:val="0"/>
      <w:sz w:val="28"/>
      <w:szCs w:val="28"/>
      <w:lang w:val="fr-BE"/>
      <w14:ligatures w14:val="none"/>
    </w:rPr>
  </w:style>
  <w:style w:type="character" w:customStyle="1" w:styleId="Heading4Char">
    <w:name w:val="Heading 4 Char"/>
    <w:basedOn w:val="DefaultParagraphFont"/>
    <w:link w:val="Heading4"/>
    <w:uiPriority w:val="9"/>
    <w:semiHidden/>
    <w:rsid w:val="00152763"/>
    <w:rPr>
      <w:rFonts w:eastAsiaTheme="majorEastAsia" w:cstheme="majorBidi"/>
      <w:i/>
      <w:iCs/>
      <w:color w:val="365F91" w:themeColor="accent1" w:themeShade="BF"/>
      <w:kern w:val="0"/>
      <w:sz w:val="19"/>
      <w:szCs w:val="19"/>
      <w:lang w:val="fr-BE"/>
      <w14:ligatures w14:val="none"/>
    </w:rPr>
  </w:style>
  <w:style w:type="character" w:customStyle="1" w:styleId="Heading5Char">
    <w:name w:val="Heading 5 Char"/>
    <w:basedOn w:val="DefaultParagraphFont"/>
    <w:link w:val="Heading5"/>
    <w:uiPriority w:val="9"/>
    <w:semiHidden/>
    <w:rsid w:val="00152763"/>
    <w:rPr>
      <w:rFonts w:eastAsiaTheme="majorEastAsia" w:cstheme="majorBidi"/>
      <w:color w:val="365F91" w:themeColor="accent1" w:themeShade="BF"/>
      <w:kern w:val="0"/>
      <w:sz w:val="19"/>
      <w:szCs w:val="19"/>
      <w:lang w:val="fr-BE"/>
      <w14:ligatures w14:val="none"/>
    </w:rPr>
  </w:style>
  <w:style w:type="character" w:customStyle="1" w:styleId="Heading6Char">
    <w:name w:val="Heading 6 Char"/>
    <w:basedOn w:val="DefaultParagraphFont"/>
    <w:link w:val="Heading6"/>
    <w:uiPriority w:val="9"/>
    <w:semiHidden/>
    <w:rsid w:val="00152763"/>
    <w:rPr>
      <w:rFonts w:eastAsiaTheme="majorEastAsia" w:cstheme="majorBidi"/>
      <w:i/>
      <w:iCs/>
      <w:color w:val="595959" w:themeColor="text1" w:themeTint="A6"/>
      <w:kern w:val="0"/>
      <w:sz w:val="19"/>
      <w:szCs w:val="19"/>
      <w:lang w:val="fr-BE"/>
      <w14:ligatures w14:val="none"/>
    </w:rPr>
  </w:style>
  <w:style w:type="character" w:customStyle="1" w:styleId="Heading7Char">
    <w:name w:val="Heading 7 Char"/>
    <w:basedOn w:val="DefaultParagraphFont"/>
    <w:link w:val="Heading7"/>
    <w:uiPriority w:val="9"/>
    <w:semiHidden/>
    <w:rsid w:val="00152763"/>
    <w:rPr>
      <w:rFonts w:eastAsiaTheme="majorEastAsia" w:cstheme="majorBidi"/>
      <w:color w:val="595959" w:themeColor="text1" w:themeTint="A6"/>
      <w:kern w:val="0"/>
      <w:sz w:val="19"/>
      <w:szCs w:val="19"/>
      <w:lang w:val="fr-BE"/>
      <w14:ligatures w14:val="none"/>
    </w:rPr>
  </w:style>
  <w:style w:type="character" w:customStyle="1" w:styleId="Heading8Char">
    <w:name w:val="Heading 8 Char"/>
    <w:basedOn w:val="DefaultParagraphFont"/>
    <w:link w:val="Heading8"/>
    <w:uiPriority w:val="9"/>
    <w:semiHidden/>
    <w:rsid w:val="00152763"/>
    <w:rPr>
      <w:rFonts w:eastAsiaTheme="majorEastAsia" w:cstheme="majorBidi"/>
      <w:i/>
      <w:iCs/>
      <w:color w:val="272727" w:themeColor="text1" w:themeTint="D8"/>
      <w:kern w:val="0"/>
      <w:sz w:val="19"/>
      <w:szCs w:val="19"/>
      <w:lang w:val="fr-BE"/>
      <w14:ligatures w14:val="none"/>
    </w:rPr>
  </w:style>
  <w:style w:type="character" w:customStyle="1" w:styleId="Heading9Char">
    <w:name w:val="Heading 9 Char"/>
    <w:basedOn w:val="DefaultParagraphFont"/>
    <w:link w:val="Heading9"/>
    <w:uiPriority w:val="9"/>
    <w:semiHidden/>
    <w:rsid w:val="00152763"/>
    <w:rPr>
      <w:rFonts w:eastAsiaTheme="majorEastAsia" w:cstheme="majorBidi"/>
      <w:color w:val="272727" w:themeColor="text1" w:themeTint="D8"/>
      <w:kern w:val="0"/>
      <w:sz w:val="19"/>
      <w:szCs w:val="19"/>
      <w:lang w:val="fr-BE"/>
      <w14:ligatures w14:val="none"/>
    </w:rPr>
  </w:style>
  <w:style w:type="paragraph" w:styleId="Title">
    <w:name w:val="Title"/>
    <w:basedOn w:val="Normal"/>
    <w:next w:val="Normal"/>
    <w:link w:val="TitleChar"/>
    <w:uiPriority w:val="10"/>
    <w:rsid w:val="00152763"/>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2763"/>
    <w:rPr>
      <w:rFonts w:asciiTheme="majorHAnsi" w:eastAsiaTheme="majorEastAsia" w:hAnsiTheme="majorHAnsi" w:cstheme="majorBidi"/>
      <w:spacing w:val="-10"/>
      <w:kern w:val="28"/>
      <w:sz w:val="56"/>
      <w:szCs w:val="56"/>
      <w:lang w:val="fr-BE"/>
      <w14:ligatures w14:val="none"/>
    </w:rPr>
  </w:style>
  <w:style w:type="paragraph" w:styleId="Subtitle">
    <w:name w:val="Subtitle"/>
    <w:basedOn w:val="Normal"/>
    <w:next w:val="Normal"/>
    <w:link w:val="SubtitleChar"/>
    <w:uiPriority w:val="11"/>
    <w:rsid w:val="0015276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2763"/>
    <w:rPr>
      <w:rFonts w:eastAsiaTheme="majorEastAsia" w:cstheme="majorBidi"/>
      <w:color w:val="595959" w:themeColor="text1" w:themeTint="A6"/>
      <w:spacing w:val="15"/>
      <w:kern w:val="0"/>
      <w:sz w:val="28"/>
      <w:szCs w:val="28"/>
      <w:lang w:val="fr-BE"/>
      <w14:ligatures w14:val="none"/>
    </w:rPr>
  </w:style>
  <w:style w:type="paragraph" w:styleId="Quote">
    <w:name w:val="Quote"/>
    <w:basedOn w:val="Normal"/>
    <w:next w:val="Normal"/>
    <w:link w:val="QuoteChar"/>
    <w:uiPriority w:val="29"/>
    <w:rsid w:val="0015276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2763"/>
    <w:rPr>
      <w:rFonts w:cstheme="minorHAnsi"/>
      <w:i/>
      <w:iCs/>
      <w:color w:val="404040" w:themeColor="text1" w:themeTint="BF"/>
      <w:kern w:val="0"/>
      <w:sz w:val="19"/>
      <w:szCs w:val="19"/>
      <w:lang w:val="fr-BE"/>
      <w14:ligatures w14:val="none"/>
    </w:rPr>
  </w:style>
  <w:style w:type="character" w:styleId="IntenseEmphasis">
    <w:name w:val="Intense Emphasis"/>
    <w:basedOn w:val="DefaultParagraphFont"/>
    <w:uiPriority w:val="21"/>
    <w:rsid w:val="00152763"/>
    <w:rPr>
      <w:i/>
      <w:iCs/>
      <w:color w:val="365F91" w:themeColor="accent1" w:themeShade="BF"/>
    </w:rPr>
  </w:style>
  <w:style w:type="paragraph" w:styleId="IntenseQuote">
    <w:name w:val="Intense Quote"/>
    <w:basedOn w:val="Normal"/>
    <w:next w:val="Normal"/>
    <w:link w:val="IntenseQuoteChar"/>
    <w:uiPriority w:val="30"/>
    <w:rsid w:val="0015276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152763"/>
    <w:rPr>
      <w:rFonts w:cstheme="minorHAnsi"/>
      <w:i/>
      <w:iCs/>
      <w:color w:val="365F91" w:themeColor="accent1" w:themeShade="BF"/>
      <w:kern w:val="0"/>
      <w:sz w:val="19"/>
      <w:szCs w:val="19"/>
      <w:lang w:val="fr-BE"/>
      <w14:ligatures w14:val="none"/>
    </w:rPr>
  </w:style>
  <w:style w:type="character" w:styleId="IntenseReference">
    <w:name w:val="Intense Reference"/>
    <w:basedOn w:val="DefaultParagraphFont"/>
    <w:uiPriority w:val="32"/>
    <w:rsid w:val="00152763"/>
    <w:rPr>
      <w:b/>
      <w:bCs/>
      <w:smallCaps/>
      <w:color w:val="365F91" w:themeColor="accent1" w:themeShade="BF"/>
      <w:spacing w:val="5"/>
    </w:rPr>
  </w:style>
  <w:style w:type="paragraph" w:styleId="FootnoteText">
    <w:name w:val="footnote text"/>
    <w:basedOn w:val="Normal"/>
    <w:link w:val="FootnoteTextChar"/>
    <w:uiPriority w:val="99"/>
    <w:semiHidden/>
    <w:unhideWhenUsed/>
    <w:rsid w:val="00152763"/>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152763"/>
    <w:rPr>
      <w:rFonts w:cstheme="minorHAnsi"/>
      <w:kern w:val="0"/>
      <w:sz w:val="20"/>
      <w:szCs w:val="20"/>
      <w:lang w:val="fr-BE"/>
      <w14:ligatures w14:val="none"/>
    </w:rPr>
  </w:style>
  <w:style w:type="character" w:styleId="FootnoteReference">
    <w:name w:val="footnote reference"/>
    <w:basedOn w:val="DefaultParagraphFont"/>
    <w:uiPriority w:val="99"/>
    <w:semiHidden/>
    <w:unhideWhenUsed/>
    <w:rsid w:val="00152763"/>
    <w:rPr>
      <w:vertAlign w:val="superscript"/>
    </w:rPr>
  </w:style>
  <w:style w:type="character" w:styleId="Hyperlink">
    <w:name w:val="Hyperlink"/>
    <w:basedOn w:val="DefaultParagraphFont"/>
    <w:uiPriority w:val="99"/>
    <w:unhideWhenUsed/>
    <w:rsid w:val="00152763"/>
    <w:rPr>
      <w:color w:val="0000FF" w:themeColor="hyperlink"/>
      <w:u w:val="single"/>
    </w:rPr>
  </w:style>
  <w:style w:type="character" w:styleId="UnresolvedMention">
    <w:name w:val="Unresolved Mention"/>
    <w:basedOn w:val="DefaultParagraphFont"/>
    <w:uiPriority w:val="99"/>
    <w:semiHidden/>
    <w:unhideWhenUsed/>
    <w:rsid w:val="00152763"/>
    <w:rPr>
      <w:color w:val="605E5C"/>
      <w:shd w:val="clear" w:color="auto" w:fill="E1DFDD"/>
    </w:rPr>
  </w:style>
  <w:style w:type="paragraph" w:styleId="Header">
    <w:name w:val="header"/>
    <w:basedOn w:val="Normal"/>
    <w:link w:val="HeaderChar"/>
    <w:uiPriority w:val="99"/>
    <w:unhideWhenUsed/>
    <w:rsid w:val="0075545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55458"/>
    <w:rPr>
      <w:rFonts w:cstheme="minorHAnsi"/>
      <w:kern w:val="0"/>
      <w:sz w:val="19"/>
      <w:szCs w:val="19"/>
      <w:lang w:val="fr-BE"/>
      <w14:ligatures w14:val="none"/>
    </w:rPr>
  </w:style>
  <w:style w:type="paragraph" w:styleId="Footer">
    <w:name w:val="footer"/>
    <w:basedOn w:val="Normal"/>
    <w:link w:val="FooterChar"/>
    <w:uiPriority w:val="99"/>
    <w:unhideWhenUsed/>
    <w:rsid w:val="0075545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55458"/>
    <w:rPr>
      <w:rFonts w:cstheme="minorHAnsi"/>
      <w:kern w:val="0"/>
      <w:sz w:val="19"/>
      <w:szCs w:val="19"/>
      <w:lang w:val="fr-BE"/>
      <w14:ligatures w14:val="none"/>
    </w:rPr>
  </w:style>
  <w:style w:type="paragraph" w:styleId="NormalWeb">
    <w:name w:val="Normal (Web)"/>
    <w:basedOn w:val="Normal"/>
    <w:uiPriority w:val="99"/>
    <w:unhideWhenUsed/>
    <w:rsid w:val="00755458"/>
    <w:pPr>
      <w:spacing w:before="100" w:beforeAutospacing="1" w:after="100" w:afterAutospacing="1" w:line="240" w:lineRule="auto"/>
    </w:pPr>
    <w:rPr>
      <w:rFonts w:ascii="Times New Roman" w:eastAsia="Times New Roman" w:hAnsi="Times New Roman" w:cs="Times New Roman"/>
      <w:sz w:val="24"/>
      <w:szCs w:val="24"/>
      <w:lang w:val="en-BE" w:eastAsia="en-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04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eb.org/library/why-the-european-green-deal-needs-ecofeminis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doi.org/10.1016/j.yrtph.2019.04.020" TargetMode="External"/><Relationship Id="rId2" Type="http://schemas.openxmlformats.org/officeDocument/2006/relationships/hyperlink" Target="https://www.elfe-france.fr/en/results-so-far/environment/" TargetMode="External"/><Relationship Id="rId1" Type="http://schemas.openxmlformats.org/officeDocument/2006/relationships/hyperlink" Target="https://www.lecese.fr/sites/default/files/pdf/Avis/2021/2021_11_crise_sanitaire_inegalites_genre.pdf" TargetMode="External"/><Relationship Id="rId4" Type="http://schemas.openxmlformats.org/officeDocument/2006/relationships/hyperlink" Target="https://doi.org/10.1093/eurpub/ckw172.07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EB">
      <a:majorFont>
        <a:latin typeface="Nunito"/>
        <a:ea typeface=""/>
        <a:cs typeface="Times New Roman"/>
      </a:majorFont>
      <a:minorFont>
        <a:latin typeface="Open Sans"/>
        <a:ea typeface=""/>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c2e4527-2efa-4ade-b3d6-b2418af14986">
      <UserInfo>
        <DisplayName>Helene Loonen</DisplayName>
        <AccountId>463</AccountId>
        <AccountType/>
      </UserInfo>
      <UserInfo>
        <DisplayName>Christine Hermann</DisplayName>
        <AccountId>745</AccountId>
        <AccountType/>
      </UserInfo>
      <UserInfo>
        <DisplayName>Dolores Romano</DisplayName>
        <AccountId>106</AccountId>
        <AccountType/>
      </UserInfo>
      <UserInfo>
        <DisplayName>Elena Lymberidi</DisplayName>
        <AccountId>29</AccountId>
        <AccountType/>
      </UserInfo>
      <UserInfo>
        <DisplayName>Noémie Jegou</DisplayName>
        <AccountId>26</AccountId>
        <AccountType/>
      </UserInfo>
      <UserInfo>
        <DisplayName>Tatiana Santos</DisplayName>
        <AccountId>111</AccountId>
        <AccountType/>
      </UserInfo>
      <UserInfo>
        <DisplayName>Charline Cheuvart</DisplayName>
        <AccountId>28</AccountId>
        <AccountType/>
      </UserInfo>
      <UserInfo>
        <DisplayName>Beatriz Ortiz-Martinez</DisplayName>
        <AccountId>952</AccountId>
        <AccountType/>
      </UserInfo>
      <UserInfo>
        <DisplayName>Olatz Finez</DisplayName>
        <AccountId>243</AccountId>
        <AccountType/>
      </UserInfo>
      <UserInfo>
        <DisplayName>Jacqueline Hilgendorf</DisplayName>
        <AccountId>1542</AccountId>
        <AccountType/>
      </UserInfo>
      <UserInfo>
        <DisplayName>Luca Boldrini</DisplayName>
        <AccountId>1631</AccountId>
        <AccountType/>
      </UserInfo>
    </SharedWithUsers>
    <Category xmlns="d42e65b2-cf21-49c1-b27d-d23f90380c0e">CSOs/NGOs</Category>
    <Doctype xmlns="d42e65b2-cf21-49c1-b27d-d23f90380c0e">input</Doctype>
    <Contributor xmlns="d42e65b2-cf21-49c1-b27d-d23f90380c0e">European Environmental Bureau </Contributor>
    <Postingdate xmlns="d42e65b2-cf21-49c1-b27d-d23f90380c0e" xsi:nil="true"/>
    <Postedonline xmlns="d42e65b2-cf21-49c1-b27d-d23f90380c0e">false</Postedonlin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4A44A-8ACC-4998-897A-F332190602CE}"/>
</file>

<file path=customXml/itemProps2.xml><?xml version="1.0" encoding="utf-8"?>
<ds:datastoreItem xmlns:ds="http://schemas.openxmlformats.org/officeDocument/2006/customXml" ds:itemID="{C0336B60-2DBC-43A8-80D1-87D7E60D27D7}">
  <ds:schemaRefs>
    <ds:schemaRef ds:uri="http://purl.org/dc/elements/1.1/"/>
    <ds:schemaRef ds:uri="http://schemas.microsoft.com/office/2006/documentManagement/types"/>
    <ds:schemaRef ds:uri="http://purl.org/dc/terms/"/>
    <ds:schemaRef ds:uri="http://schemas.openxmlformats.org/package/2006/metadata/core-properties"/>
    <ds:schemaRef ds:uri="http://www.w3.org/XML/1998/namespace"/>
    <ds:schemaRef ds:uri="8798c8c6-b034-435a-9694-31e5f82693d9"/>
    <ds:schemaRef ds:uri="http://purl.org/dc/dcmitype/"/>
    <ds:schemaRef ds:uri="http://schemas.microsoft.com/office/infopath/2007/PartnerControls"/>
    <ds:schemaRef ds:uri="8ced5f2f-481f-4921-95f3-a4ab9e9cc12b"/>
    <ds:schemaRef ds:uri="http://schemas.microsoft.com/office/2006/metadata/properties"/>
  </ds:schemaRefs>
</ds:datastoreItem>
</file>

<file path=customXml/itemProps3.xml><?xml version="1.0" encoding="utf-8"?>
<ds:datastoreItem xmlns:ds="http://schemas.openxmlformats.org/officeDocument/2006/customXml" ds:itemID="{3D158954-BC7C-4A09-A02E-8501698FD192}">
  <ds:schemaRefs>
    <ds:schemaRef ds:uri="http://schemas.microsoft.com/sharepoint/v3/contenttype/forms"/>
  </ds:schemaRefs>
</ds:datastoreItem>
</file>

<file path=customXml/itemProps4.xml><?xml version="1.0" encoding="utf-8"?>
<ds:datastoreItem xmlns:ds="http://schemas.openxmlformats.org/officeDocument/2006/customXml" ds:itemID="{786A69AC-DD52-4A54-B283-B95141DBA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Pages>
  <Words>2099</Words>
  <Characters>11969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Charline Cheuvart</dc:creator>
  <cp:keywords/>
  <dc:description/>
  <cp:lastModifiedBy>Charline Cheuvart</cp:lastModifiedBy>
  <cp:revision>11</cp:revision>
  <dcterms:created xsi:type="dcterms:W3CDTF">2024-03-27T15:27:00Z</dcterms:created>
  <dcterms:modified xsi:type="dcterms:W3CDTF">2024-03-28T09:25:00Z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