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DD9C" w14:textId="77777777" w:rsidR="0031548B" w:rsidRDefault="0031548B" w:rsidP="00104500">
      <w:pPr>
        <w:spacing w:after="0" w:line="240" w:lineRule="auto"/>
        <w:jc w:val="center"/>
        <w:rPr>
          <w:rFonts w:ascii="Arial" w:hAnsi="Arial" w:cs="Arial"/>
          <w:b/>
          <w:sz w:val="24"/>
          <w:szCs w:val="24"/>
          <w:lang w:val="en-GB"/>
        </w:rPr>
      </w:pPr>
    </w:p>
    <w:p w14:paraId="5899D2A0" w14:textId="4FD32AFF" w:rsidR="00167EE3" w:rsidRPr="0031548B" w:rsidRDefault="001E36D0" w:rsidP="004F117A">
      <w:pPr>
        <w:spacing w:after="0" w:line="240" w:lineRule="auto"/>
        <w:jc w:val="center"/>
        <w:rPr>
          <w:rFonts w:ascii="Arial" w:hAnsi="Arial" w:cs="Arial"/>
          <w:b/>
          <w:sz w:val="24"/>
          <w:szCs w:val="24"/>
          <w:lang w:val="en-GB"/>
        </w:rPr>
      </w:pPr>
      <w:r w:rsidRPr="001E36D0">
        <w:rPr>
          <w:rFonts w:ascii="Arial" w:hAnsi="Arial" w:cs="Arial"/>
          <w:b/>
          <w:sz w:val="24"/>
          <w:szCs w:val="24"/>
          <w:lang w:val="en-GB"/>
        </w:rPr>
        <w:t xml:space="preserve">Request for inputs for the thematic report of the UN Special Rapporteur (SR) </w:t>
      </w:r>
      <w:r w:rsidR="007B2F06" w:rsidRPr="007B2F06">
        <w:rPr>
          <w:rFonts w:ascii="Arial" w:hAnsi="Arial" w:cs="Arial"/>
          <w:b/>
          <w:sz w:val="24"/>
          <w:szCs w:val="24"/>
          <w:lang w:val="en-GB"/>
        </w:rPr>
        <w:t>on the implications for human rights of the environmentally sound management and disposal of hazardous substances and wastes</w:t>
      </w:r>
    </w:p>
    <w:p w14:paraId="2F92D15C" w14:textId="2E7685C6" w:rsidR="0031548B" w:rsidRDefault="0031548B" w:rsidP="00104500">
      <w:pPr>
        <w:spacing w:after="0" w:line="240" w:lineRule="auto"/>
        <w:jc w:val="center"/>
        <w:rPr>
          <w:rFonts w:ascii="Arial" w:hAnsi="Arial" w:cs="Arial"/>
          <w:b/>
          <w:color w:val="002060"/>
          <w:sz w:val="24"/>
          <w:szCs w:val="24"/>
        </w:rPr>
      </w:pPr>
    </w:p>
    <w:p w14:paraId="6196E930" w14:textId="3EC37562" w:rsidR="00167EE3" w:rsidRDefault="007B2F06" w:rsidP="004278F9">
      <w:pPr>
        <w:spacing w:after="0" w:line="240" w:lineRule="auto"/>
        <w:jc w:val="center"/>
        <w:rPr>
          <w:rFonts w:ascii="Arial" w:hAnsi="Arial" w:cs="Arial"/>
          <w:b/>
          <w:color w:val="002060"/>
          <w:sz w:val="24"/>
          <w:szCs w:val="24"/>
        </w:rPr>
      </w:pPr>
      <w:r w:rsidRPr="007B2F06">
        <w:rPr>
          <w:rFonts w:ascii="Arial" w:hAnsi="Arial" w:cs="Arial"/>
          <w:b/>
          <w:color w:val="002060"/>
          <w:sz w:val="24"/>
          <w:szCs w:val="24"/>
        </w:rPr>
        <w:t>“Gender and Toxics”</w:t>
      </w:r>
    </w:p>
    <w:p w14:paraId="036D887D" w14:textId="77777777" w:rsidR="007B2F06" w:rsidRPr="007B2F06" w:rsidRDefault="007B2F06" w:rsidP="007B2F06">
      <w:pPr>
        <w:spacing w:after="0" w:line="240" w:lineRule="auto"/>
        <w:rPr>
          <w:rFonts w:ascii="Arial" w:hAnsi="Arial" w:cs="Arial"/>
          <w:bCs/>
          <w:sz w:val="24"/>
          <w:szCs w:val="24"/>
        </w:rPr>
      </w:pPr>
    </w:p>
    <w:tbl>
      <w:tblPr>
        <w:tblStyle w:val="TableGrid"/>
        <w:tblW w:w="5000" w:type="pct"/>
        <w:tblInd w:w="-95" w:type="dxa"/>
        <w:tblLook w:val="04A0" w:firstRow="1" w:lastRow="0" w:firstColumn="1" w:lastColumn="0" w:noHBand="0" w:noVBand="1"/>
      </w:tblPr>
      <w:tblGrid>
        <w:gridCol w:w="711"/>
        <w:gridCol w:w="5758"/>
        <w:gridCol w:w="7479"/>
      </w:tblGrid>
      <w:tr w:rsidR="00167EE3" w:rsidRPr="00DB054F" w14:paraId="3C332F27" w14:textId="77777777" w:rsidTr="002121D9">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064"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681" w:type="pct"/>
            <w:shd w:val="clear" w:color="auto" w:fill="FBE4D5" w:themeFill="accent2" w:themeFillTint="33"/>
          </w:tcPr>
          <w:p w14:paraId="02E23C62" w14:textId="5A169D1C"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INPUTS BY LINE AGENCIES</w:t>
            </w:r>
          </w:p>
        </w:tc>
      </w:tr>
      <w:tr w:rsidR="00167EE3" w:rsidRPr="00DB054F" w14:paraId="40A3CBAE" w14:textId="77777777" w:rsidTr="002121D9">
        <w:tc>
          <w:tcPr>
            <w:tcW w:w="255" w:type="pct"/>
          </w:tcPr>
          <w:p w14:paraId="766DE7C8" w14:textId="77777777" w:rsidR="00167EE3" w:rsidRPr="00877003"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10EF47BB" w14:textId="77777777" w:rsidR="004278F9" w:rsidRPr="00877003" w:rsidRDefault="007B2F06" w:rsidP="007B2F06">
            <w:pPr>
              <w:spacing w:after="0" w:line="240" w:lineRule="auto"/>
              <w:jc w:val="both"/>
              <w:rPr>
                <w:rFonts w:ascii="Arial" w:hAnsi="Arial" w:cs="Arial"/>
                <w:iCs/>
                <w:sz w:val="24"/>
                <w:szCs w:val="24"/>
              </w:rPr>
            </w:pPr>
            <w:r w:rsidRPr="00877003">
              <w:rPr>
                <w:rFonts w:ascii="Arial" w:hAnsi="Arial" w:cs="Arial"/>
                <w:iCs/>
                <w:sz w:val="24"/>
                <w:szCs w:val="24"/>
              </w:rPr>
              <w:t>Are toxics and harmful substances, including at work, in or near communities or in the home, harming the health and/or wellbeing of women, girls, men and boys and other people in gendered ways? Health impacts could be on fertility, pregnancy health, timing of menarche and menopause, fibroids, sperm quality, mental health, obesity, cancers, among others. Wellbeing could include economic or cultural factors, for example.</w:t>
            </w:r>
          </w:p>
          <w:p w14:paraId="52B748F2" w14:textId="6F364B2F" w:rsidR="007B2F06" w:rsidRPr="00877003" w:rsidRDefault="007B2F06" w:rsidP="007B2F06">
            <w:pPr>
              <w:spacing w:after="0" w:line="240" w:lineRule="auto"/>
              <w:jc w:val="both"/>
              <w:rPr>
                <w:rFonts w:ascii="Arial" w:hAnsi="Arial" w:cs="Arial"/>
                <w:iCs/>
                <w:sz w:val="24"/>
                <w:szCs w:val="24"/>
              </w:rPr>
            </w:pPr>
          </w:p>
        </w:tc>
        <w:tc>
          <w:tcPr>
            <w:tcW w:w="2681" w:type="pct"/>
          </w:tcPr>
          <w:p w14:paraId="4C209E7C" w14:textId="21A0009C" w:rsidR="00902CDF" w:rsidRPr="00877003" w:rsidRDefault="00B01876" w:rsidP="00C05ACB">
            <w:pPr>
              <w:spacing w:after="0" w:line="240" w:lineRule="auto"/>
              <w:jc w:val="both"/>
              <w:rPr>
                <w:rFonts w:ascii="Arial" w:hAnsi="Arial" w:cs="Arial"/>
                <w:bCs/>
                <w:sz w:val="24"/>
                <w:szCs w:val="24"/>
              </w:rPr>
            </w:pPr>
            <w:r w:rsidRPr="00877003">
              <w:rPr>
                <w:rFonts w:ascii="Arial" w:hAnsi="Arial" w:cs="Arial"/>
                <w:bCs/>
                <w:sz w:val="24"/>
                <w:szCs w:val="24"/>
              </w:rPr>
              <w:t>Within the purview of the Department of Occupational Safety and Health (DOSH)</w:t>
            </w:r>
            <w:r w:rsidR="00902CDF" w:rsidRPr="00877003">
              <w:rPr>
                <w:rFonts w:ascii="Arial" w:hAnsi="Arial" w:cs="Arial"/>
                <w:bCs/>
                <w:sz w:val="24"/>
                <w:szCs w:val="24"/>
              </w:rPr>
              <w:t xml:space="preserve">, there are </w:t>
            </w:r>
            <w:r w:rsidR="00370176" w:rsidRPr="00877003">
              <w:rPr>
                <w:rFonts w:ascii="Arial" w:hAnsi="Arial" w:cs="Arial"/>
                <w:bCs/>
                <w:sz w:val="24"/>
                <w:szCs w:val="24"/>
              </w:rPr>
              <w:t xml:space="preserve">seven documents consisting of </w:t>
            </w:r>
            <w:r w:rsidR="00EB58C7">
              <w:rPr>
                <w:rFonts w:ascii="Arial" w:hAnsi="Arial" w:cs="Arial"/>
                <w:bCs/>
                <w:sz w:val="24"/>
                <w:szCs w:val="24"/>
              </w:rPr>
              <w:t>acts</w:t>
            </w:r>
            <w:r w:rsidR="00370176" w:rsidRPr="00877003">
              <w:rPr>
                <w:rFonts w:ascii="Arial" w:hAnsi="Arial" w:cs="Arial"/>
                <w:bCs/>
                <w:sz w:val="24"/>
                <w:szCs w:val="24"/>
              </w:rPr>
              <w:t>,</w:t>
            </w:r>
            <w:r w:rsidR="00902CDF" w:rsidRPr="00877003">
              <w:rPr>
                <w:rFonts w:ascii="Arial" w:hAnsi="Arial" w:cs="Arial"/>
                <w:bCs/>
                <w:sz w:val="24"/>
                <w:szCs w:val="24"/>
              </w:rPr>
              <w:t xml:space="preserve"> regulations and guidelines pertaining to </w:t>
            </w:r>
            <w:r w:rsidR="001805F8" w:rsidRPr="00877003">
              <w:rPr>
                <w:rFonts w:ascii="Arial" w:hAnsi="Arial" w:cs="Arial"/>
                <w:bCs/>
                <w:sz w:val="24"/>
                <w:szCs w:val="24"/>
              </w:rPr>
              <w:t>workers</w:t>
            </w:r>
            <w:r w:rsidR="00CD10F6" w:rsidRPr="00877003">
              <w:rPr>
                <w:rFonts w:ascii="Arial" w:hAnsi="Arial" w:cs="Arial"/>
                <w:bCs/>
                <w:sz w:val="24"/>
                <w:szCs w:val="24"/>
              </w:rPr>
              <w:t xml:space="preserve">, human </w:t>
            </w:r>
            <w:r w:rsidR="00F0297C" w:rsidRPr="00877003">
              <w:rPr>
                <w:rFonts w:ascii="Arial" w:hAnsi="Arial" w:cs="Arial"/>
                <w:bCs/>
                <w:sz w:val="24"/>
                <w:szCs w:val="24"/>
              </w:rPr>
              <w:t>rights,</w:t>
            </w:r>
            <w:r w:rsidR="00CD10F6" w:rsidRPr="00877003">
              <w:rPr>
                <w:rFonts w:ascii="Arial" w:hAnsi="Arial" w:cs="Arial"/>
                <w:bCs/>
                <w:sz w:val="24"/>
                <w:szCs w:val="24"/>
              </w:rPr>
              <w:t xml:space="preserve"> and harmful substances</w:t>
            </w:r>
            <w:r w:rsidR="001805F8" w:rsidRPr="00877003">
              <w:rPr>
                <w:rFonts w:ascii="Arial" w:hAnsi="Arial" w:cs="Arial"/>
                <w:bCs/>
                <w:sz w:val="24"/>
                <w:szCs w:val="24"/>
              </w:rPr>
              <w:t xml:space="preserve"> irrespective of </w:t>
            </w:r>
            <w:r w:rsidR="00902CDF" w:rsidRPr="00877003">
              <w:rPr>
                <w:rFonts w:ascii="Arial" w:hAnsi="Arial" w:cs="Arial"/>
                <w:bCs/>
                <w:sz w:val="24"/>
                <w:szCs w:val="24"/>
              </w:rPr>
              <w:t>gender, as the following:</w:t>
            </w:r>
          </w:p>
          <w:p w14:paraId="5CC15847" w14:textId="77777777" w:rsidR="00BC3D4B" w:rsidRPr="00877003" w:rsidRDefault="00BC3D4B" w:rsidP="00902CDF">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Occupational Safety and Health (Use and Standard of Exposure Chemical Hazardous to Health) Regulations 2000 (USECHH Regulations)</w:t>
            </w:r>
          </w:p>
          <w:p w14:paraId="7F4264C3" w14:textId="77762130" w:rsidR="00BC3D4B" w:rsidRPr="00877003" w:rsidRDefault="00BC3D4B" w:rsidP="00902CDF">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Occupational Safety and Health (Classification, Labelling and Safety Data Sheet of Hazardous Chemicals) Regulations 2013 (CLASS Regulations</w:t>
            </w:r>
            <w:r w:rsidR="000D1E60" w:rsidRPr="00877003">
              <w:rPr>
                <w:rFonts w:ascii="Arial" w:hAnsi="Arial" w:cs="Arial"/>
                <w:bCs/>
                <w:sz w:val="24"/>
                <w:szCs w:val="24"/>
              </w:rPr>
              <w:t>)</w:t>
            </w:r>
          </w:p>
          <w:p w14:paraId="1790794F" w14:textId="72A9CEF9" w:rsidR="00902CDF" w:rsidRPr="00877003" w:rsidRDefault="000D1E60" w:rsidP="000D1E60">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Industry Code of Practice on Chemicals Classification and Hazard Communication 2014 (</w:t>
            </w:r>
            <w:r w:rsidR="00902CDF" w:rsidRPr="00877003">
              <w:rPr>
                <w:rFonts w:ascii="Arial" w:hAnsi="Arial" w:cs="Arial"/>
                <w:bCs/>
                <w:sz w:val="24"/>
                <w:szCs w:val="24"/>
              </w:rPr>
              <w:t>ICOP CHC 2014</w:t>
            </w:r>
            <w:r w:rsidRPr="00877003">
              <w:rPr>
                <w:rFonts w:ascii="Arial" w:hAnsi="Arial" w:cs="Arial"/>
                <w:bCs/>
                <w:sz w:val="24"/>
                <w:szCs w:val="24"/>
              </w:rPr>
              <w:t>)</w:t>
            </w:r>
            <w:r w:rsidR="00902CDF" w:rsidRPr="00877003">
              <w:rPr>
                <w:rFonts w:ascii="Arial" w:hAnsi="Arial" w:cs="Arial"/>
                <w:bCs/>
                <w:sz w:val="24"/>
                <w:szCs w:val="24"/>
              </w:rPr>
              <w:t xml:space="preserve"> </w:t>
            </w:r>
          </w:p>
          <w:p w14:paraId="11D463CB" w14:textId="7EA2F07D" w:rsidR="005346FE" w:rsidRPr="00877003" w:rsidRDefault="005346FE" w:rsidP="000D1E60">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Draft OSH (Safety, Health and Welfare Regulations) 202X</w:t>
            </w:r>
          </w:p>
          <w:p w14:paraId="018E96AE" w14:textId="77777777" w:rsidR="00902CDF" w:rsidRPr="00877003" w:rsidRDefault="00902CDF" w:rsidP="00C05ACB">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Guidelines on Reproductive Health Policy &amp; Programmes at the Workplace, 2002</w:t>
            </w:r>
          </w:p>
          <w:p w14:paraId="5BBB7BB5" w14:textId="5C2420AD" w:rsidR="00902CDF" w:rsidRPr="00877003" w:rsidRDefault="00902CDF" w:rsidP="003F1E41">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 xml:space="preserve">Guidelines </w:t>
            </w:r>
            <w:r w:rsidR="00EB58C7">
              <w:rPr>
                <w:rFonts w:ascii="Arial" w:hAnsi="Arial" w:cs="Arial"/>
                <w:bCs/>
                <w:sz w:val="24"/>
                <w:szCs w:val="24"/>
              </w:rPr>
              <w:t>o</w:t>
            </w:r>
            <w:r w:rsidRPr="00877003">
              <w:rPr>
                <w:rFonts w:ascii="Arial" w:hAnsi="Arial" w:cs="Arial"/>
                <w:bCs/>
                <w:sz w:val="24"/>
                <w:szCs w:val="24"/>
              </w:rPr>
              <w:t>n Medical Surveillance</w:t>
            </w:r>
            <w:r w:rsidR="007F31F1" w:rsidRPr="00877003">
              <w:rPr>
                <w:rFonts w:ascii="Arial" w:hAnsi="Arial" w:cs="Arial"/>
                <w:bCs/>
                <w:sz w:val="24"/>
                <w:szCs w:val="24"/>
              </w:rPr>
              <w:t xml:space="preserve"> </w:t>
            </w:r>
            <w:r w:rsidR="00016404" w:rsidRPr="00877003">
              <w:rPr>
                <w:rFonts w:ascii="Arial" w:hAnsi="Arial" w:cs="Arial"/>
                <w:bCs/>
                <w:sz w:val="24"/>
                <w:szCs w:val="24"/>
              </w:rPr>
              <w:t xml:space="preserve">Programme </w:t>
            </w:r>
            <w:r w:rsidRPr="00877003">
              <w:rPr>
                <w:rFonts w:ascii="Arial" w:hAnsi="Arial" w:cs="Arial"/>
                <w:bCs/>
                <w:sz w:val="24"/>
                <w:szCs w:val="24"/>
              </w:rPr>
              <w:t>at The Workplace 2023</w:t>
            </w:r>
          </w:p>
          <w:p w14:paraId="141010F6" w14:textId="21FF4D2D" w:rsidR="00902CDF" w:rsidRPr="00877003" w:rsidRDefault="00EF7EFA" w:rsidP="00C05ACB">
            <w:pPr>
              <w:pStyle w:val="ListParagraph"/>
              <w:numPr>
                <w:ilvl w:val="0"/>
                <w:numId w:val="20"/>
              </w:numPr>
              <w:spacing w:after="0" w:line="240" w:lineRule="auto"/>
              <w:jc w:val="both"/>
              <w:rPr>
                <w:rFonts w:ascii="Arial" w:hAnsi="Arial" w:cs="Arial"/>
                <w:bCs/>
                <w:sz w:val="24"/>
                <w:szCs w:val="24"/>
              </w:rPr>
            </w:pPr>
            <w:r w:rsidRPr="00877003">
              <w:rPr>
                <w:rFonts w:ascii="Arial" w:hAnsi="Arial" w:cs="Arial"/>
                <w:bCs/>
                <w:sz w:val="24"/>
                <w:szCs w:val="24"/>
              </w:rPr>
              <w:t>Occupational Safety and Health</w:t>
            </w:r>
            <w:r w:rsidR="00404E4A" w:rsidRPr="00877003">
              <w:rPr>
                <w:rFonts w:ascii="Arial" w:hAnsi="Arial" w:cs="Arial"/>
                <w:bCs/>
                <w:sz w:val="24"/>
                <w:szCs w:val="24"/>
              </w:rPr>
              <w:t xml:space="preserve"> (OSHA)</w:t>
            </w:r>
            <w:r w:rsidRPr="00877003">
              <w:rPr>
                <w:rFonts w:ascii="Arial" w:hAnsi="Arial" w:cs="Arial"/>
                <w:bCs/>
                <w:sz w:val="24"/>
                <w:szCs w:val="24"/>
              </w:rPr>
              <w:t xml:space="preserve"> (Amendment) Act 2022</w:t>
            </w:r>
            <w:r w:rsidR="00902CDF" w:rsidRPr="00877003">
              <w:rPr>
                <w:rFonts w:ascii="Arial" w:hAnsi="Arial" w:cs="Arial"/>
                <w:bCs/>
                <w:sz w:val="24"/>
                <w:szCs w:val="24"/>
              </w:rPr>
              <w:t xml:space="preserve">, Section 26A - The right of employees to remove </w:t>
            </w:r>
            <w:r w:rsidR="00EB58C7">
              <w:rPr>
                <w:rFonts w:ascii="Arial" w:hAnsi="Arial" w:cs="Arial"/>
                <w:bCs/>
                <w:sz w:val="24"/>
                <w:szCs w:val="24"/>
              </w:rPr>
              <w:t>themselves</w:t>
            </w:r>
            <w:r w:rsidR="00902CDF" w:rsidRPr="00877003">
              <w:rPr>
                <w:rFonts w:ascii="Arial" w:hAnsi="Arial" w:cs="Arial"/>
                <w:bCs/>
                <w:sz w:val="24"/>
                <w:szCs w:val="24"/>
              </w:rPr>
              <w:t xml:space="preserve"> from the danger or the work if the employer fails to take any action to remove the danger.</w:t>
            </w:r>
          </w:p>
          <w:p w14:paraId="270F8458" w14:textId="77777777" w:rsidR="00902CDF" w:rsidRPr="00877003" w:rsidRDefault="00902CDF" w:rsidP="00902CDF">
            <w:pPr>
              <w:spacing w:after="0" w:line="240" w:lineRule="auto"/>
              <w:jc w:val="both"/>
              <w:rPr>
                <w:rFonts w:ascii="Arial" w:hAnsi="Arial" w:cs="Arial"/>
                <w:bCs/>
                <w:sz w:val="24"/>
                <w:szCs w:val="24"/>
              </w:rPr>
            </w:pPr>
          </w:p>
          <w:p w14:paraId="3BC44911" w14:textId="5A406E6B" w:rsidR="008F74E2" w:rsidRPr="00877003" w:rsidRDefault="008F74E2" w:rsidP="0050313D">
            <w:pPr>
              <w:spacing w:after="0" w:line="240" w:lineRule="auto"/>
              <w:jc w:val="both"/>
              <w:rPr>
                <w:rFonts w:ascii="Arial" w:hAnsi="Arial" w:cs="Arial"/>
                <w:bCs/>
                <w:sz w:val="24"/>
                <w:szCs w:val="24"/>
              </w:rPr>
            </w:pPr>
            <w:r w:rsidRPr="00877003">
              <w:rPr>
                <w:rFonts w:ascii="Arial" w:hAnsi="Arial" w:cs="Arial"/>
                <w:bCs/>
                <w:sz w:val="24"/>
                <w:szCs w:val="24"/>
              </w:rPr>
              <w:t xml:space="preserve">Malaysia has ratified the </w:t>
            </w:r>
            <w:r w:rsidR="003F1E41" w:rsidRPr="00877003">
              <w:rPr>
                <w:rFonts w:ascii="Arial" w:hAnsi="Arial" w:cs="Arial"/>
                <w:bCs/>
                <w:sz w:val="24"/>
                <w:szCs w:val="24"/>
              </w:rPr>
              <w:t xml:space="preserve">International Labor Organisation (ILO) </w:t>
            </w:r>
            <w:r w:rsidRPr="00877003">
              <w:rPr>
                <w:rFonts w:ascii="Arial" w:hAnsi="Arial" w:cs="Arial"/>
                <w:bCs/>
                <w:sz w:val="24"/>
                <w:szCs w:val="24"/>
              </w:rPr>
              <w:t>C187</w:t>
            </w:r>
            <w:r w:rsidR="003F1E41" w:rsidRPr="00877003">
              <w:rPr>
                <w:rFonts w:ascii="Arial" w:hAnsi="Arial" w:cs="Arial"/>
                <w:bCs/>
                <w:sz w:val="24"/>
                <w:szCs w:val="24"/>
              </w:rPr>
              <w:t xml:space="preserve"> -Promotional Framework for Occupational Safety and Health Convention, 2006 (No. 187) in 2012 and is going to ratify the ILO </w:t>
            </w:r>
            <w:r w:rsidR="003F1E41" w:rsidRPr="00877003">
              <w:rPr>
                <w:rFonts w:ascii="Arial" w:hAnsi="Arial" w:cs="Arial"/>
                <w:bCs/>
                <w:sz w:val="24"/>
                <w:szCs w:val="24"/>
              </w:rPr>
              <w:lastRenderedPageBreak/>
              <w:t xml:space="preserve">C155 - Occupational Safety and Health Convention, 1981 (No. 155) soon. </w:t>
            </w:r>
            <w:r w:rsidRPr="00877003">
              <w:rPr>
                <w:rFonts w:ascii="Arial" w:hAnsi="Arial" w:cs="Arial"/>
                <w:bCs/>
                <w:sz w:val="24"/>
                <w:szCs w:val="24"/>
              </w:rPr>
              <w:t xml:space="preserve">Under the promotional framework for OSH Convention, Malaysia is promoting the right of workers to a safe and healthy environment. In its national policy, Malaysia encourages the organization of employers and workers to promote basic principles such as risk assessment, evaluation and control </w:t>
            </w:r>
            <w:r w:rsidR="00EB58C7">
              <w:rPr>
                <w:rFonts w:ascii="Arial" w:hAnsi="Arial" w:cs="Arial"/>
                <w:bCs/>
                <w:sz w:val="24"/>
                <w:szCs w:val="24"/>
              </w:rPr>
              <w:t xml:space="preserve">of </w:t>
            </w:r>
            <w:r w:rsidRPr="00877003">
              <w:rPr>
                <w:rFonts w:ascii="Arial" w:hAnsi="Arial" w:cs="Arial"/>
                <w:bCs/>
                <w:sz w:val="24"/>
                <w:szCs w:val="24"/>
              </w:rPr>
              <w:t>the risks as well as taking or developing preventive measures</w:t>
            </w:r>
            <w:r w:rsidR="003F1E41" w:rsidRPr="00877003">
              <w:rPr>
                <w:rFonts w:ascii="Arial" w:hAnsi="Arial" w:cs="Arial"/>
                <w:bCs/>
                <w:sz w:val="24"/>
                <w:szCs w:val="24"/>
              </w:rPr>
              <w:t xml:space="preserve"> from technical control, and organisational control </w:t>
            </w:r>
            <w:r w:rsidRPr="00877003">
              <w:rPr>
                <w:rFonts w:ascii="Arial" w:hAnsi="Arial" w:cs="Arial"/>
                <w:bCs/>
                <w:sz w:val="24"/>
                <w:szCs w:val="24"/>
              </w:rPr>
              <w:t xml:space="preserve">including training, consultation, and information. </w:t>
            </w:r>
          </w:p>
          <w:p w14:paraId="0464A5CE" w14:textId="77777777" w:rsidR="008F74E2" w:rsidRPr="00877003" w:rsidRDefault="008F74E2" w:rsidP="0050313D">
            <w:pPr>
              <w:spacing w:after="0" w:line="240" w:lineRule="auto"/>
              <w:jc w:val="both"/>
              <w:rPr>
                <w:rFonts w:ascii="Arial" w:hAnsi="Arial" w:cs="Arial"/>
                <w:bCs/>
                <w:sz w:val="24"/>
                <w:szCs w:val="24"/>
              </w:rPr>
            </w:pPr>
          </w:p>
          <w:p w14:paraId="4A176200" w14:textId="40E70E4B" w:rsidR="0050313D" w:rsidRPr="00877003" w:rsidRDefault="00902CDF" w:rsidP="0050313D">
            <w:pPr>
              <w:spacing w:after="0" w:line="240" w:lineRule="auto"/>
              <w:jc w:val="both"/>
              <w:rPr>
                <w:rFonts w:ascii="Arial" w:hAnsi="Arial" w:cs="Arial"/>
                <w:bCs/>
                <w:sz w:val="24"/>
                <w:szCs w:val="24"/>
              </w:rPr>
            </w:pPr>
            <w:r w:rsidRPr="00877003">
              <w:rPr>
                <w:rFonts w:ascii="Arial" w:hAnsi="Arial" w:cs="Arial"/>
                <w:bCs/>
                <w:sz w:val="24"/>
                <w:szCs w:val="24"/>
              </w:rPr>
              <w:t xml:space="preserve">Under the CLASS Regulations, chemicals which can cause harm to </w:t>
            </w:r>
            <w:r w:rsidR="001805F8" w:rsidRPr="00877003">
              <w:rPr>
                <w:rFonts w:ascii="Arial" w:hAnsi="Arial" w:cs="Arial"/>
                <w:bCs/>
                <w:sz w:val="24"/>
                <w:szCs w:val="24"/>
              </w:rPr>
              <w:t xml:space="preserve">breast-feeding </w:t>
            </w:r>
            <w:r w:rsidRPr="00877003">
              <w:rPr>
                <w:rFonts w:ascii="Arial" w:hAnsi="Arial" w:cs="Arial"/>
                <w:bCs/>
                <w:sz w:val="24"/>
                <w:szCs w:val="24"/>
              </w:rPr>
              <w:t xml:space="preserve">women and </w:t>
            </w:r>
            <w:r w:rsidR="0050313D" w:rsidRPr="00877003">
              <w:rPr>
                <w:rFonts w:ascii="Arial" w:hAnsi="Arial" w:cs="Arial"/>
                <w:bCs/>
                <w:sz w:val="24"/>
                <w:szCs w:val="24"/>
              </w:rPr>
              <w:t>foetus</w:t>
            </w:r>
            <w:r w:rsidRPr="00877003">
              <w:rPr>
                <w:rFonts w:ascii="Arial" w:hAnsi="Arial" w:cs="Arial"/>
                <w:bCs/>
                <w:sz w:val="24"/>
                <w:szCs w:val="24"/>
              </w:rPr>
              <w:t xml:space="preserve"> are considered in the classification of hazardous ch</w:t>
            </w:r>
            <w:r w:rsidR="0050313D" w:rsidRPr="00877003">
              <w:rPr>
                <w:rFonts w:ascii="Arial" w:hAnsi="Arial" w:cs="Arial"/>
                <w:bCs/>
                <w:sz w:val="24"/>
                <w:szCs w:val="24"/>
              </w:rPr>
              <w:t>e</w:t>
            </w:r>
            <w:r w:rsidRPr="00877003">
              <w:rPr>
                <w:rFonts w:ascii="Arial" w:hAnsi="Arial" w:cs="Arial"/>
                <w:bCs/>
                <w:sz w:val="24"/>
                <w:szCs w:val="24"/>
              </w:rPr>
              <w:t xml:space="preserve">mical. The </w:t>
            </w:r>
            <w:r w:rsidR="005346FE" w:rsidRPr="00877003">
              <w:rPr>
                <w:rFonts w:ascii="Arial" w:hAnsi="Arial" w:cs="Arial"/>
                <w:bCs/>
                <w:sz w:val="24"/>
                <w:szCs w:val="24"/>
              </w:rPr>
              <w:t xml:space="preserve">United Nations </w:t>
            </w:r>
            <w:r w:rsidRPr="00877003">
              <w:rPr>
                <w:rFonts w:ascii="Arial" w:hAnsi="Arial" w:cs="Arial"/>
                <w:bCs/>
                <w:sz w:val="24"/>
                <w:szCs w:val="24"/>
              </w:rPr>
              <w:t xml:space="preserve">GHS classification is integrated </w:t>
            </w:r>
            <w:r w:rsidR="00EB58C7">
              <w:rPr>
                <w:rFonts w:ascii="Arial" w:hAnsi="Arial" w:cs="Arial"/>
                <w:bCs/>
                <w:sz w:val="24"/>
                <w:szCs w:val="24"/>
              </w:rPr>
              <w:t>into</w:t>
            </w:r>
            <w:r w:rsidR="001805F8" w:rsidRPr="00877003">
              <w:rPr>
                <w:rFonts w:ascii="Arial" w:hAnsi="Arial" w:cs="Arial"/>
                <w:bCs/>
                <w:sz w:val="24"/>
                <w:szCs w:val="24"/>
              </w:rPr>
              <w:t xml:space="preserve"> the</w:t>
            </w:r>
            <w:r w:rsidRPr="00877003">
              <w:rPr>
                <w:rFonts w:ascii="Arial" w:hAnsi="Arial" w:cs="Arial"/>
                <w:bCs/>
                <w:sz w:val="24"/>
                <w:szCs w:val="24"/>
              </w:rPr>
              <w:t xml:space="preserve"> CLASS </w:t>
            </w:r>
            <w:r w:rsidR="00EF7EFA" w:rsidRPr="00877003">
              <w:rPr>
                <w:rFonts w:ascii="Arial" w:hAnsi="Arial" w:cs="Arial"/>
                <w:bCs/>
                <w:sz w:val="24"/>
                <w:szCs w:val="24"/>
              </w:rPr>
              <w:t>R</w:t>
            </w:r>
            <w:r w:rsidRPr="00877003">
              <w:rPr>
                <w:rFonts w:ascii="Arial" w:hAnsi="Arial" w:cs="Arial"/>
                <w:bCs/>
                <w:sz w:val="24"/>
                <w:szCs w:val="24"/>
              </w:rPr>
              <w:t>egulations taking into consideration</w:t>
            </w:r>
            <w:r w:rsidR="0050313D" w:rsidRPr="00877003">
              <w:rPr>
                <w:rFonts w:ascii="Arial" w:hAnsi="Arial" w:cs="Arial"/>
                <w:bCs/>
                <w:sz w:val="24"/>
                <w:szCs w:val="24"/>
              </w:rPr>
              <w:t xml:space="preserve"> all hazard classifications which can affect women and foetus such as reproductive toxicity, carcinogenic, mutagenic, and teratogenic</w:t>
            </w:r>
            <w:r w:rsidR="001805F8" w:rsidRPr="00877003">
              <w:rPr>
                <w:rFonts w:ascii="Arial" w:hAnsi="Arial" w:cs="Arial"/>
                <w:bCs/>
                <w:sz w:val="24"/>
                <w:szCs w:val="24"/>
              </w:rPr>
              <w:t>.</w:t>
            </w:r>
            <w:r w:rsidR="00CA670E" w:rsidRPr="00877003">
              <w:rPr>
                <w:rFonts w:ascii="Arial" w:hAnsi="Arial" w:cs="Arial"/>
                <w:bCs/>
                <w:sz w:val="24"/>
                <w:szCs w:val="24"/>
              </w:rPr>
              <w:t xml:space="preserve"> </w:t>
            </w:r>
            <w:r w:rsidR="0050313D" w:rsidRPr="00877003">
              <w:rPr>
                <w:rFonts w:ascii="Arial" w:hAnsi="Arial" w:cs="Arial"/>
                <w:bCs/>
                <w:sz w:val="24"/>
                <w:szCs w:val="24"/>
              </w:rPr>
              <w:t xml:space="preserve">Risk assessment requirements under </w:t>
            </w:r>
            <w:r w:rsidR="001805F8" w:rsidRPr="00877003">
              <w:rPr>
                <w:rFonts w:ascii="Arial" w:hAnsi="Arial" w:cs="Arial"/>
                <w:bCs/>
                <w:sz w:val="24"/>
                <w:szCs w:val="24"/>
              </w:rPr>
              <w:t xml:space="preserve">the </w:t>
            </w:r>
            <w:r w:rsidR="0050313D" w:rsidRPr="00877003">
              <w:rPr>
                <w:rFonts w:ascii="Arial" w:hAnsi="Arial" w:cs="Arial"/>
                <w:bCs/>
                <w:sz w:val="24"/>
                <w:szCs w:val="24"/>
              </w:rPr>
              <w:t xml:space="preserve">USECHH </w:t>
            </w:r>
            <w:r w:rsidR="00EF7EFA" w:rsidRPr="00877003">
              <w:rPr>
                <w:rFonts w:ascii="Arial" w:hAnsi="Arial" w:cs="Arial"/>
                <w:bCs/>
                <w:sz w:val="24"/>
                <w:szCs w:val="24"/>
              </w:rPr>
              <w:t>R</w:t>
            </w:r>
            <w:r w:rsidR="0050313D" w:rsidRPr="00877003">
              <w:rPr>
                <w:rFonts w:ascii="Arial" w:hAnsi="Arial" w:cs="Arial"/>
                <w:bCs/>
                <w:sz w:val="24"/>
                <w:szCs w:val="24"/>
              </w:rPr>
              <w:t xml:space="preserve">egulations also consider susceptible persons such as women and elderly persons. </w:t>
            </w:r>
          </w:p>
          <w:p w14:paraId="34C7BF9C" w14:textId="77777777" w:rsidR="00B01876" w:rsidRPr="00877003" w:rsidRDefault="00B01876" w:rsidP="00B01876">
            <w:pPr>
              <w:spacing w:after="0" w:line="240" w:lineRule="auto"/>
              <w:jc w:val="both"/>
              <w:rPr>
                <w:rFonts w:ascii="Arial" w:hAnsi="Arial" w:cs="Arial"/>
                <w:bCs/>
                <w:sz w:val="24"/>
                <w:szCs w:val="24"/>
              </w:rPr>
            </w:pPr>
          </w:p>
          <w:p w14:paraId="6E0E9EEF" w14:textId="77777777" w:rsidR="00B01876" w:rsidRPr="00877003" w:rsidRDefault="00B01876" w:rsidP="00B01876">
            <w:pPr>
              <w:spacing w:after="0" w:line="240" w:lineRule="auto"/>
              <w:jc w:val="both"/>
              <w:rPr>
                <w:rFonts w:ascii="Arial" w:hAnsi="Arial" w:cs="Arial"/>
                <w:bCs/>
                <w:sz w:val="24"/>
                <w:szCs w:val="24"/>
              </w:rPr>
            </w:pPr>
            <w:r w:rsidRPr="00877003">
              <w:rPr>
                <w:rFonts w:ascii="Arial" w:hAnsi="Arial" w:cs="Arial"/>
                <w:bCs/>
                <w:sz w:val="24"/>
                <w:szCs w:val="24"/>
              </w:rPr>
              <w:t xml:space="preserve">Following a recent chemical incident, the MOH conducted a descriptive study on adverse pregnancy outcome and found that there was no significant increasing trend of adverse pregnancy outcome.  </w:t>
            </w:r>
          </w:p>
          <w:p w14:paraId="5C76478D" w14:textId="1EDBD4AB" w:rsidR="00B01876" w:rsidRPr="00877003" w:rsidRDefault="00B01876" w:rsidP="0050313D">
            <w:pPr>
              <w:spacing w:after="0" w:line="240" w:lineRule="auto"/>
              <w:jc w:val="both"/>
              <w:rPr>
                <w:rFonts w:ascii="Arial" w:hAnsi="Arial" w:cs="Arial"/>
                <w:bCs/>
                <w:sz w:val="24"/>
                <w:szCs w:val="24"/>
              </w:rPr>
            </w:pPr>
          </w:p>
        </w:tc>
      </w:tr>
      <w:tr w:rsidR="00C05ACB" w:rsidRPr="00DB054F" w14:paraId="05D88A70" w14:textId="77777777" w:rsidTr="002121D9">
        <w:tc>
          <w:tcPr>
            <w:tcW w:w="255" w:type="pct"/>
          </w:tcPr>
          <w:p w14:paraId="66C9BBC8" w14:textId="77777777" w:rsidR="00C05ACB" w:rsidRPr="00877003" w:rsidRDefault="00C05ACB" w:rsidP="00104500">
            <w:pPr>
              <w:pStyle w:val="ListParagraph"/>
              <w:numPr>
                <w:ilvl w:val="0"/>
                <w:numId w:val="3"/>
              </w:numPr>
              <w:spacing w:after="0" w:line="240" w:lineRule="auto"/>
              <w:ind w:right="42"/>
              <w:jc w:val="both"/>
              <w:rPr>
                <w:rFonts w:ascii="Arial" w:hAnsi="Arial" w:cs="Arial"/>
                <w:sz w:val="24"/>
                <w:szCs w:val="24"/>
              </w:rPr>
            </w:pPr>
          </w:p>
        </w:tc>
        <w:tc>
          <w:tcPr>
            <w:tcW w:w="2064" w:type="pct"/>
          </w:tcPr>
          <w:p w14:paraId="19670BA5" w14:textId="77777777" w:rsidR="004278F9" w:rsidRPr="00877003" w:rsidRDefault="007B2F06" w:rsidP="007B2F06">
            <w:pPr>
              <w:spacing w:after="0" w:line="240" w:lineRule="auto"/>
              <w:jc w:val="both"/>
              <w:rPr>
                <w:rFonts w:ascii="Arial" w:hAnsi="Arial" w:cs="Arial"/>
                <w:iCs/>
                <w:sz w:val="24"/>
                <w:szCs w:val="24"/>
                <w:lang w:val="en-US"/>
              </w:rPr>
            </w:pPr>
            <w:r w:rsidRPr="00877003">
              <w:rPr>
                <w:rFonts w:ascii="Arial" w:hAnsi="Arial" w:cs="Arial"/>
                <w:iCs/>
                <w:sz w:val="24"/>
                <w:szCs w:val="24"/>
                <w:lang w:val="en-US"/>
              </w:rPr>
              <w:t xml:space="preserve">Examples of how governments have increased gendered harms of toxics </w:t>
            </w:r>
            <w:proofErr w:type="gramStart"/>
            <w:r w:rsidRPr="00877003">
              <w:rPr>
                <w:rFonts w:ascii="Arial" w:hAnsi="Arial" w:cs="Arial"/>
                <w:iCs/>
                <w:sz w:val="24"/>
                <w:szCs w:val="24"/>
                <w:lang w:val="en-US"/>
              </w:rPr>
              <w:t>and  harmful</w:t>
            </w:r>
            <w:proofErr w:type="gramEnd"/>
            <w:r w:rsidRPr="00877003">
              <w:rPr>
                <w:rFonts w:ascii="Arial" w:hAnsi="Arial" w:cs="Arial"/>
                <w:iCs/>
                <w:sz w:val="24"/>
                <w:szCs w:val="24"/>
                <w:lang w:val="en-US"/>
              </w:rPr>
              <w:t xml:space="preserve"> substances by failing to meet their human rights obligations.</w:t>
            </w:r>
          </w:p>
          <w:p w14:paraId="6435E53C" w14:textId="337E8FFF" w:rsidR="007B2F06" w:rsidRPr="00877003" w:rsidRDefault="007B2F06" w:rsidP="007B2F06">
            <w:pPr>
              <w:spacing w:after="0" w:line="240" w:lineRule="auto"/>
              <w:jc w:val="both"/>
              <w:rPr>
                <w:rFonts w:ascii="Arial" w:hAnsi="Arial" w:cs="Arial"/>
                <w:iCs/>
                <w:sz w:val="24"/>
                <w:szCs w:val="24"/>
                <w:lang w:val="en-US"/>
              </w:rPr>
            </w:pPr>
          </w:p>
        </w:tc>
        <w:tc>
          <w:tcPr>
            <w:tcW w:w="2681" w:type="pct"/>
          </w:tcPr>
          <w:p w14:paraId="1BE3208A" w14:textId="3840D160" w:rsidR="0050313D" w:rsidRPr="00877003" w:rsidRDefault="0050313D" w:rsidP="00F7359B">
            <w:pPr>
              <w:spacing w:after="0" w:line="240" w:lineRule="auto"/>
              <w:jc w:val="both"/>
              <w:rPr>
                <w:rFonts w:ascii="Arial" w:hAnsi="Arial" w:cs="Arial"/>
                <w:bCs/>
                <w:sz w:val="24"/>
                <w:szCs w:val="24"/>
              </w:rPr>
            </w:pPr>
            <w:r w:rsidRPr="00877003">
              <w:rPr>
                <w:rFonts w:ascii="Arial" w:hAnsi="Arial" w:cs="Arial"/>
                <w:bCs/>
                <w:sz w:val="24"/>
                <w:szCs w:val="24"/>
              </w:rPr>
              <w:t xml:space="preserve">Under </w:t>
            </w:r>
            <w:r w:rsidR="0082364A" w:rsidRPr="00877003">
              <w:rPr>
                <w:rFonts w:ascii="Arial" w:hAnsi="Arial" w:cs="Arial"/>
                <w:bCs/>
                <w:sz w:val="24"/>
                <w:szCs w:val="24"/>
              </w:rPr>
              <w:t xml:space="preserve">the </w:t>
            </w:r>
            <w:r w:rsidR="00B01876" w:rsidRPr="00877003">
              <w:rPr>
                <w:rFonts w:ascii="Arial" w:hAnsi="Arial" w:cs="Arial"/>
                <w:bCs/>
                <w:sz w:val="24"/>
                <w:szCs w:val="24"/>
              </w:rPr>
              <w:t xml:space="preserve">Occupational Safety and Health Act (OSHA) </w:t>
            </w:r>
            <w:r w:rsidRPr="00877003">
              <w:rPr>
                <w:rFonts w:ascii="Arial" w:hAnsi="Arial" w:cs="Arial"/>
                <w:bCs/>
                <w:sz w:val="24"/>
                <w:szCs w:val="24"/>
              </w:rPr>
              <w:t>amendment</w:t>
            </w:r>
            <w:r w:rsidR="00404E4A" w:rsidRPr="00877003">
              <w:rPr>
                <w:rFonts w:ascii="Arial" w:hAnsi="Arial" w:cs="Arial"/>
                <w:bCs/>
                <w:sz w:val="24"/>
                <w:szCs w:val="24"/>
              </w:rPr>
              <w:t xml:space="preserve"> 2022</w:t>
            </w:r>
            <w:r w:rsidRPr="00877003">
              <w:rPr>
                <w:rFonts w:ascii="Arial" w:hAnsi="Arial" w:cs="Arial"/>
                <w:bCs/>
                <w:sz w:val="24"/>
                <w:szCs w:val="24"/>
              </w:rPr>
              <w:t xml:space="preserve">, there is </w:t>
            </w:r>
            <w:r w:rsidR="00BC3D4B" w:rsidRPr="00877003">
              <w:rPr>
                <w:rFonts w:ascii="Arial" w:hAnsi="Arial" w:cs="Arial"/>
                <w:bCs/>
                <w:sz w:val="24"/>
                <w:szCs w:val="24"/>
              </w:rPr>
              <w:t xml:space="preserve">a </w:t>
            </w:r>
            <w:r w:rsidRPr="00877003">
              <w:rPr>
                <w:rFonts w:ascii="Arial" w:hAnsi="Arial" w:cs="Arial"/>
                <w:bCs/>
                <w:sz w:val="24"/>
                <w:szCs w:val="24"/>
              </w:rPr>
              <w:t xml:space="preserve">provision </w:t>
            </w:r>
            <w:r w:rsidR="00BC3D4B" w:rsidRPr="00877003">
              <w:rPr>
                <w:rFonts w:ascii="Arial" w:hAnsi="Arial" w:cs="Arial"/>
                <w:bCs/>
                <w:sz w:val="24"/>
                <w:szCs w:val="24"/>
              </w:rPr>
              <w:t xml:space="preserve">to remove </w:t>
            </w:r>
            <w:r w:rsidR="00B01876" w:rsidRPr="00877003">
              <w:rPr>
                <w:rFonts w:ascii="Arial" w:hAnsi="Arial" w:cs="Arial"/>
                <w:bCs/>
                <w:sz w:val="24"/>
                <w:szCs w:val="24"/>
              </w:rPr>
              <w:t>oneself</w:t>
            </w:r>
            <w:r w:rsidR="00BC3D4B" w:rsidRPr="00877003">
              <w:rPr>
                <w:rFonts w:ascii="Arial" w:hAnsi="Arial" w:cs="Arial"/>
                <w:bCs/>
                <w:sz w:val="24"/>
                <w:szCs w:val="24"/>
              </w:rPr>
              <w:t xml:space="preserve"> from the workplace if the workplace is likely to cause significant risk arising from chemical</w:t>
            </w:r>
            <w:r w:rsidR="0082364A" w:rsidRPr="00877003">
              <w:rPr>
                <w:rFonts w:ascii="Arial" w:hAnsi="Arial" w:cs="Arial"/>
                <w:bCs/>
                <w:sz w:val="24"/>
                <w:szCs w:val="24"/>
              </w:rPr>
              <w:t xml:space="preserve">s used at work </w:t>
            </w:r>
            <w:r w:rsidR="00370176" w:rsidRPr="00877003">
              <w:rPr>
                <w:rFonts w:ascii="Arial" w:hAnsi="Arial" w:cs="Arial"/>
                <w:bCs/>
                <w:sz w:val="24"/>
                <w:szCs w:val="24"/>
              </w:rPr>
              <w:t xml:space="preserve">and </w:t>
            </w:r>
            <w:r w:rsidR="0082364A" w:rsidRPr="00877003">
              <w:rPr>
                <w:rFonts w:ascii="Arial" w:hAnsi="Arial" w:cs="Arial"/>
                <w:bCs/>
                <w:sz w:val="24"/>
                <w:szCs w:val="24"/>
              </w:rPr>
              <w:t>if</w:t>
            </w:r>
            <w:r w:rsidR="00BC3D4B" w:rsidRPr="00877003">
              <w:rPr>
                <w:rFonts w:ascii="Arial" w:hAnsi="Arial" w:cs="Arial"/>
                <w:bCs/>
                <w:sz w:val="24"/>
                <w:szCs w:val="24"/>
              </w:rPr>
              <w:t xml:space="preserve"> an employer fails to remove the risk from the workplace.</w:t>
            </w:r>
          </w:p>
          <w:p w14:paraId="02A81920" w14:textId="5863E1F1" w:rsidR="008C5199" w:rsidRPr="00877003" w:rsidRDefault="008C5199" w:rsidP="00C15F99">
            <w:pPr>
              <w:spacing w:after="0" w:line="240" w:lineRule="auto"/>
              <w:jc w:val="both"/>
              <w:rPr>
                <w:rFonts w:ascii="Arial" w:hAnsi="Arial" w:cs="Arial"/>
                <w:b/>
                <w:bCs/>
                <w:sz w:val="24"/>
                <w:szCs w:val="24"/>
              </w:rPr>
            </w:pPr>
          </w:p>
        </w:tc>
      </w:tr>
      <w:tr w:rsidR="00167EE3" w:rsidRPr="00DB054F" w14:paraId="1684AEA9" w14:textId="77777777" w:rsidTr="002121D9">
        <w:tc>
          <w:tcPr>
            <w:tcW w:w="255" w:type="pct"/>
          </w:tcPr>
          <w:p w14:paraId="5F43ABCD" w14:textId="77777777" w:rsidR="00167EE3" w:rsidRPr="00877003"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064" w:type="pct"/>
          </w:tcPr>
          <w:p w14:paraId="6FCE1E71" w14:textId="77777777" w:rsidR="004278F9" w:rsidRPr="00877003" w:rsidRDefault="007B2F06" w:rsidP="007B2F06">
            <w:pPr>
              <w:spacing w:after="0" w:line="240" w:lineRule="auto"/>
              <w:jc w:val="both"/>
              <w:rPr>
                <w:rFonts w:ascii="Arial" w:hAnsi="Arial" w:cs="Arial"/>
                <w:iCs/>
                <w:sz w:val="24"/>
                <w:szCs w:val="24"/>
                <w:lang w:val="en-US"/>
              </w:rPr>
            </w:pPr>
            <w:r w:rsidRPr="00877003">
              <w:rPr>
                <w:rFonts w:ascii="Arial" w:hAnsi="Arial" w:cs="Arial"/>
                <w:iCs/>
                <w:sz w:val="24"/>
                <w:szCs w:val="24"/>
                <w:lang w:val="en-US"/>
              </w:rPr>
              <w:t xml:space="preserve">If and how gender creates greater exposure or vulnerability to toxics or harmful substances, perhaps because of gendered restrictions access to protections like political power, regulations, safer work, or education/information (because of forced or early marriage or restrictions on girl child education, for example). </w:t>
            </w:r>
          </w:p>
          <w:p w14:paraId="4A88223C" w14:textId="1352F001" w:rsidR="007B2F06" w:rsidRPr="00877003" w:rsidRDefault="007B2F06" w:rsidP="007B2F06">
            <w:pPr>
              <w:spacing w:after="0" w:line="240" w:lineRule="auto"/>
              <w:jc w:val="both"/>
              <w:rPr>
                <w:rFonts w:ascii="Arial" w:hAnsi="Arial" w:cs="Arial"/>
                <w:iCs/>
                <w:sz w:val="24"/>
                <w:szCs w:val="24"/>
                <w:lang w:val="en-US"/>
              </w:rPr>
            </w:pPr>
          </w:p>
        </w:tc>
        <w:tc>
          <w:tcPr>
            <w:tcW w:w="2681" w:type="pct"/>
          </w:tcPr>
          <w:p w14:paraId="6170FD87" w14:textId="694EC3BE" w:rsidR="002B6031" w:rsidRPr="00877003" w:rsidRDefault="008F74E2" w:rsidP="00C15F99">
            <w:pPr>
              <w:spacing w:after="0" w:line="240" w:lineRule="auto"/>
              <w:jc w:val="both"/>
              <w:rPr>
                <w:rFonts w:ascii="Arial" w:hAnsi="Arial" w:cs="Arial"/>
                <w:sz w:val="24"/>
                <w:szCs w:val="24"/>
              </w:rPr>
            </w:pPr>
            <w:r w:rsidRPr="00877003">
              <w:rPr>
                <w:rFonts w:ascii="Arial" w:hAnsi="Arial" w:cs="Arial"/>
                <w:sz w:val="24"/>
                <w:szCs w:val="24"/>
              </w:rPr>
              <w:t>T</w:t>
            </w:r>
            <w:r w:rsidR="00CD10F6" w:rsidRPr="00877003">
              <w:rPr>
                <w:rFonts w:ascii="Arial" w:hAnsi="Arial" w:cs="Arial"/>
                <w:sz w:val="24"/>
                <w:szCs w:val="24"/>
              </w:rPr>
              <w:t xml:space="preserve">he </w:t>
            </w:r>
            <w:r w:rsidR="00E73396" w:rsidRPr="00877003">
              <w:rPr>
                <w:rFonts w:ascii="Arial" w:hAnsi="Arial" w:cs="Arial"/>
                <w:sz w:val="24"/>
                <w:szCs w:val="24"/>
              </w:rPr>
              <w:t>Guidelines o</w:t>
            </w:r>
            <w:r w:rsidR="00B17A76" w:rsidRPr="00877003">
              <w:rPr>
                <w:rFonts w:ascii="Arial" w:hAnsi="Arial" w:cs="Arial"/>
                <w:sz w:val="24"/>
                <w:szCs w:val="24"/>
              </w:rPr>
              <w:t>n</w:t>
            </w:r>
            <w:r w:rsidR="00E73396" w:rsidRPr="00877003">
              <w:rPr>
                <w:rFonts w:ascii="Arial" w:hAnsi="Arial" w:cs="Arial"/>
                <w:sz w:val="24"/>
                <w:szCs w:val="24"/>
              </w:rPr>
              <w:t xml:space="preserve"> Medical Surveillance</w:t>
            </w:r>
            <w:r w:rsidR="005A105F" w:rsidRPr="00877003">
              <w:rPr>
                <w:rFonts w:ascii="Arial" w:hAnsi="Arial" w:cs="Arial"/>
                <w:sz w:val="24"/>
                <w:szCs w:val="24"/>
              </w:rPr>
              <w:t xml:space="preserve"> </w:t>
            </w:r>
            <w:r w:rsidR="007F31F1" w:rsidRPr="00877003">
              <w:rPr>
                <w:rFonts w:ascii="Arial" w:hAnsi="Arial" w:cs="Arial"/>
                <w:sz w:val="24"/>
                <w:szCs w:val="24"/>
              </w:rPr>
              <w:t>Programme a</w:t>
            </w:r>
            <w:r w:rsidR="005A105F" w:rsidRPr="00877003">
              <w:rPr>
                <w:rFonts w:ascii="Arial" w:hAnsi="Arial" w:cs="Arial"/>
                <w:sz w:val="24"/>
                <w:szCs w:val="24"/>
              </w:rPr>
              <w:t>t The Workplace</w:t>
            </w:r>
            <w:r w:rsidR="005F0D8F" w:rsidRPr="00877003">
              <w:rPr>
                <w:rFonts w:ascii="Arial" w:hAnsi="Arial" w:cs="Arial"/>
                <w:sz w:val="24"/>
                <w:szCs w:val="24"/>
              </w:rPr>
              <w:t xml:space="preserve"> </w:t>
            </w:r>
            <w:r w:rsidR="005A105F" w:rsidRPr="00877003">
              <w:rPr>
                <w:rFonts w:ascii="Arial" w:hAnsi="Arial" w:cs="Arial"/>
                <w:sz w:val="24"/>
                <w:szCs w:val="24"/>
              </w:rPr>
              <w:t xml:space="preserve">2023 </w:t>
            </w:r>
            <w:r w:rsidR="005F0D8F" w:rsidRPr="00877003">
              <w:rPr>
                <w:rFonts w:ascii="Arial" w:hAnsi="Arial" w:cs="Arial"/>
                <w:sz w:val="24"/>
                <w:szCs w:val="24"/>
              </w:rPr>
              <w:t xml:space="preserve">emphasises on </w:t>
            </w:r>
            <w:r w:rsidR="00EB58C7">
              <w:rPr>
                <w:rFonts w:ascii="Arial" w:hAnsi="Arial" w:cs="Arial"/>
                <w:sz w:val="24"/>
                <w:szCs w:val="24"/>
              </w:rPr>
              <w:t xml:space="preserve">the </w:t>
            </w:r>
            <w:r w:rsidR="005F0D8F" w:rsidRPr="00877003">
              <w:rPr>
                <w:rFonts w:ascii="Arial" w:hAnsi="Arial" w:cs="Arial"/>
                <w:sz w:val="24"/>
                <w:szCs w:val="24"/>
              </w:rPr>
              <w:t xml:space="preserve">removal of workers exposed to harmful chemicals which can cause </w:t>
            </w:r>
            <w:r w:rsidR="00EB58C7">
              <w:rPr>
                <w:rFonts w:ascii="Arial" w:hAnsi="Arial" w:cs="Arial"/>
                <w:sz w:val="24"/>
                <w:szCs w:val="24"/>
              </w:rPr>
              <w:t>damage</w:t>
            </w:r>
            <w:r w:rsidR="005F0D8F" w:rsidRPr="00877003">
              <w:rPr>
                <w:rFonts w:ascii="Arial" w:hAnsi="Arial" w:cs="Arial"/>
                <w:sz w:val="24"/>
                <w:szCs w:val="24"/>
              </w:rPr>
              <w:t xml:space="preserve"> to breast-feeding workers and foetus; and placement at </w:t>
            </w:r>
            <w:r w:rsidR="003723FB" w:rsidRPr="00877003">
              <w:rPr>
                <w:rFonts w:ascii="Arial" w:hAnsi="Arial" w:cs="Arial"/>
                <w:sz w:val="24"/>
                <w:szCs w:val="24"/>
              </w:rPr>
              <w:t>other workstation which are free from harmful chemical substances</w:t>
            </w:r>
            <w:r w:rsidR="005F0D8F" w:rsidRPr="00877003">
              <w:rPr>
                <w:rFonts w:ascii="Arial" w:hAnsi="Arial" w:cs="Arial"/>
                <w:sz w:val="24"/>
                <w:szCs w:val="24"/>
              </w:rPr>
              <w:t xml:space="preserve">. </w:t>
            </w:r>
            <w:r w:rsidR="003723FB" w:rsidRPr="00877003">
              <w:rPr>
                <w:rFonts w:ascii="Arial" w:hAnsi="Arial" w:cs="Arial"/>
                <w:sz w:val="24"/>
                <w:szCs w:val="24"/>
              </w:rPr>
              <w:t>The worker can be returned to the respective workstation upon cessation of pregnancy and breastfeeding.</w:t>
            </w:r>
            <w:r w:rsidR="005F0D8F" w:rsidRPr="00877003">
              <w:rPr>
                <w:rFonts w:ascii="Arial" w:hAnsi="Arial" w:cs="Arial"/>
                <w:sz w:val="24"/>
                <w:szCs w:val="24"/>
              </w:rPr>
              <w:t xml:space="preserve"> </w:t>
            </w:r>
          </w:p>
          <w:p w14:paraId="6DA71078" w14:textId="3D2FCB32" w:rsidR="002E2C8D" w:rsidRPr="00877003" w:rsidRDefault="002E2C8D" w:rsidP="00C15F99">
            <w:pPr>
              <w:spacing w:after="0" w:line="240" w:lineRule="auto"/>
              <w:jc w:val="both"/>
              <w:rPr>
                <w:rFonts w:ascii="Arial" w:hAnsi="Arial" w:cs="Arial"/>
                <w:sz w:val="24"/>
                <w:szCs w:val="24"/>
              </w:rPr>
            </w:pPr>
          </w:p>
          <w:p w14:paraId="71004553" w14:textId="77777777" w:rsidR="002E2C8D" w:rsidRPr="00877003" w:rsidRDefault="002E2C8D" w:rsidP="002E2C8D">
            <w:pPr>
              <w:spacing w:after="0" w:line="240" w:lineRule="auto"/>
              <w:jc w:val="both"/>
              <w:rPr>
                <w:rFonts w:ascii="Arial" w:eastAsia="Times New Roman" w:hAnsi="Arial" w:cs="Arial"/>
                <w:bCs/>
                <w:sz w:val="24"/>
                <w:szCs w:val="24"/>
              </w:rPr>
            </w:pPr>
            <w:r w:rsidRPr="00877003">
              <w:rPr>
                <w:rFonts w:ascii="Arial" w:eastAsia="Times New Roman" w:hAnsi="Arial" w:cs="Arial"/>
                <w:bCs/>
                <w:sz w:val="24"/>
                <w:szCs w:val="24"/>
              </w:rPr>
              <w:t xml:space="preserve">Regulation of workplace or education does not differentiate between genders.  However, there are certain policies that protect pregnant ladies (and foetuses) from being exposed to a certain level of harmful substances. </w:t>
            </w:r>
          </w:p>
          <w:p w14:paraId="327078AA" w14:textId="77777777" w:rsidR="002E2C8D" w:rsidRPr="00877003" w:rsidRDefault="002E2C8D" w:rsidP="002E2C8D">
            <w:pPr>
              <w:spacing w:after="0" w:line="240" w:lineRule="auto"/>
              <w:jc w:val="both"/>
              <w:rPr>
                <w:rFonts w:ascii="Arial" w:hAnsi="Arial" w:cs="Arial"/>
                <w:b/>
                <w:bCs/>
                <w:sz w:val="24"/>
                <w:szCs w:val="24"/>
              </w:rPr>
            </w:pPr>
          </w:p>
          <w:p w14:paraId="1FD1E0CF" w14:textId="70415164" w:rsidR="002E2C8D" w:rsidRPr="00877003" w:rsidRDefault="002E2C8D" w:rsidP="002E2C8D">
            <w:pPr>
              <w:spacing w:after="0" w:line="240" w:lineRule="auto"/>
              <w:jc w:val="both"/>
              <w:rPr>
                <w:rFonts w:ascii="Arial" w:hAnsi="Arial" w:cs="Arial"/>
                <w:sz w:val="24"/>
                <w:szCs w:val="24"/>
              </w:rPr>
            </w:pPr>
            <w:r w:rsidRPr="00877003">
              <w:rPr>
                <w:rFonts w:ascii="Arial" w:hAnsi="Arial" w:cs="Arial"/>
                <w:sz w:val="24"/>
                <w:szCs w:val="24"/>
              </w:rPr>
              <w:t xml:space="preserve">Activities such as vector control activities, laboratory procedures and cleaning activities require chemical use, whereby exposure to the </w:t>
            </w:r>
            <w:r w:rsidR="00EB58C7">
              <w:rPr>
                <w:rFonts w:ascii="Arial" w:hAnsi="Arial" w:cs="Arial"/>
                <w:sz w:val="24"/>
                <w:szCs w:val="24"/>
              </w:rPr>
              <w:t>chemicals</w:t>
            </w:r>
            <w:r w:rsidRPr="00877003">
              <w:rPr>
                <w:rFonts w:ascii="Arial" w:hAnsi="Arial" w:cs="Arial"/>
                <w:sz w:val="24"/>
                <w:szCs w:val="24"/>
              </w:rPr>
              <w:t xml:space="preserve"> such as organophosphates can cause abnormal primitive reflexes in new-borns, mental and motor delays in pre-schoolers and some other neurodevelopmental effects in later life. To ensure the safety and health of female workers involved, a Medical Surveillance programme has been implemented under the Use and Standard of Exposure Chemical Hazardous to Health Regulations 2000 (USECHH Regulations). This regulation was made to provide a legal framework to control exposure of chemical hazardous to health at workplace. Females who are pregnant and lactating will be temporarily removed from work (Medical Removal Protection – MRP) to ensure the safety and health of the </w:t>
            </w:r>
            <w:proofErr w:type="spellStart"/>
            <w:r w:rsidRPr="00877003">
              <w:rPr>
                <w:rFonts w:ascii="Arial" w:hAnsi="Arial" w:cs="Arial"/>
                <w:sz w:val="24"/>
                <w:szCs w:val="24"/>
              </w:rPr>
              <w:t>newborns</w:t>
            </w:r>
            <w:proofErr w:type="spellEnd"/>
            <w:r w:rsidRPr="00877003">
              <w:rPr>
                <w:rFonts w:ascii="Arial" w:hAnsi="Arial" w:cs="Arial"/>
                <w:sz w:val="24"/>
                <w:szCs w:val="24"/>
              </w:rPr>
              <w:t xml:space="preserve">. </w:t>
            </w:r>
          </w:p>
          <w:p w14:paraId="51AA30E0" w14:textId="77777777" w:rsidR="002E2C8D" w:rsidRPr="00877003" w:rsidRDefault="002E2C8D" w:rsidP="002E2C8D">
            <w:pPr>
              <w:spacing w:after="0" w:line="240" w:lineRule="auto"/>
              <w:jc w:val="both"/>
              <w:rPr>
                <w:rFonts w:ascii="Arial" w:hAnsi="Arial" w:cs="Arial"/>
                <w:sz w:val="24"/>
                <w:szCs w:val="24"/>
              </w:rPr>
            </w:pPr>
          </w:p>
          <w:p w14:paraId="6F783117" w14:textId="0921ECC0" w:rsidR="002E2C8D" w:rsidRPr="00877003" w:rsidRDefault="002E2C8D" w:rsidP="002E2C8D">
            <w:pPr>
              <w:spacing w:after="0" w:line="240" w:lineRule="auto"/>
              <w:jc w:val="both"/>
              <w:rPr>
                <w:rFonts w:ascii="Arial" w:hAnsi="Arial" w:cs="Arial"/>
                <w:sz w:val="24"/>
                <w:szCs w:val="24"/>
              </w:rPr>
            </w:pPr>
            <w:r w:rsidRPr="00877003">
              <w:rPr>
                <w:rFonts w:ascii="Arial" w:hAnsi="Arial" w:cs="Arial"/>
                <w:sz w:val="24"/>
                <w:szCs w:val="24"/>
              </w:rPr>
              <w:t xml:space="preserve">Ionising radiation is used commonly in diagnostic imaging, radiotherapy, nuclear medicine, forensic and medical research. For those who are working in these fraternities, they are included in a Radiation Protection Programme implemented under Atomic Energy </w:t>
            </w:r>
            <w:r w:rsidRPr="00877003">
              <w:rPr>
                <w:rFonts w:ascii="Arial" w:hAnsi="Arial" w:cs="Arial"/>
                <w:sz w:val="24"/>
                <w:szCs w:val="24"/>
              </w:rPr>
              <w:lastRenderedPageBreak/>
              <w:t>Licensing Act 1984 (Act 304). Special consideration is given to pregnant female workers to ensure safety and minimise radiation exposure. Significant effects of exposure to ionising radiation during pregnancy include miscarriage, stillbirth, malformation of the foetus, mutagenic and carcinogenic effects.</w:t>
            </w:r>
          </w:p>
          <w:p w14:paraId="63964291" w14:textId="5E6B9CF3" w:rsidR="00B01876" w:rsidRPr="00877003" w:rsidRDefault="00B01876" w:rsidP="00C15F99">
            <w:pPr>
              <w:spacing w:after="0" w:line="240" w:lineRule="auto"/>
              <w:jc w:val="both"/>
              <w:rPr>
                <w:rFonts w:ascii="Arial" w:hAnsi="Arial" w:cs="Arial"/>
                <w:sz w:val="24"/>
                <w:szCs w:val="24"/>
              </w:rPr>
            </w:pPr>
          </w:p>
        </w:tc>
      </w:tr>
      <w:tr w:rsidR="00167EE3" w:rsidRPr="00DB054F" w14:paraId="205FC7DB" w14:textId="77777777" w:rsidTr="002121D9">
        <w:trPr>
          <w:trHeight w:val="863"/>
        </w:trPr>
        <w:tc>
          <w:tcPr>
            <w:tcW w:w="255" w:type="pct"/>
          </w:tcPr>
          <w:p w14:paraId="7B2D5824" w14:textId="77777777" w:rsidR="00167EE3" w:rsidRPr="00877003"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064" w:type="pct"/>
          </w:tcPr>
          <w:p w14:paraId="1CB07BA4" w14:textId="70DEAC04" w:rsidR="004278F9" w:rsidRPr="00877003" w:rsidRDefault="00F7359B" w:rsidP="00F7359B">
            <w:pPr>
              <w:spacing w:after="0" w:line="240" w:lineRule="auto"/>
              <w:jc w:val="both"/>
              <w:rPr>
                <w:rFonts w:ascii="Arial" w:hAnsi="Arial" w:cs="Arial"/>
                <w:iCs/>
                <w:sz w:val="24"/>
                <w:szCs w:val="24"/>
                <w:lang w:val="en-US"/>
              </w:rPr>
            </w:pPr>
            <w:r w:rsidRPr="00877003">
              <w:rPr>
                <w:rFonts w:ascii="Arial" w:hAnsi="Arial" w:cs="Arial"/>
                <w:iCs/>
                <w:sz w:val="24"/>
                <w:szCs w:val="24"/>
                <w:lang w:val="en-US"/>
              </w:rPr>
              <w:t>Have failures to include environmental health in sexual and reproductive health education at schools and in public health eroded progress on gendered harms of</w:t>
            </w:r>
            <w:r w:rsidR="003F2898" w:rsidRPr="00877003">
              <w:rPr>
                <w:rFonts w:ascii="Arial" w:hAnsi="Arial" w:cs="Arial"/>
                <w:iCs/>
                <w:sz w:val="24"/>
                <w:szCs w:val="24"/>
                <w:lang w:val="en-US"/>
              </w:rPr>
              <w:t xml:space="preserve"> </w:t>
            </w:r>
            <w:r w:rsidRPr="00877003">
              <w:rPr>
                <w:rFonts w:ascii="Arial" w:hAnsi="Arial" w:cs="Arial"/>
                <w:iCs/>
                <w:sz w:val="24"/>
                <w:szCs w:val="24"/>
                <w:lang w:val="en-US"/>
              </w:rPr>
              <w:t xml:space="preserve">toxics and harmful substances and the right to information and quality education? If so, how? </w:t>
            </w:r>
          </w:p>
          <w:p w14:paraId="03C98B52" w14:textId="1CA90EFB" w:rsidR="00F7359B" w:rsidRPr="00877003" w:rsidRDefault="00F7359B" w:rsidP="00F7359B">
            <w:pPr>
              <w:spacing w:after="0" w:line="240" w:lineRule="auto"/>
              <w:jc w:val="both"/>
              <w:rPr>
                <w:rFonts w:ascii="Arial" w:hAnsi="Arial" w:cs="Arial"/>
                <w:iCs/>
                <w:sz w:val="24"/>
                <w:szCs w:val="24"/>
                <w:lang w:val="en-US"/>
              </w:rPr>
            </w:pPr>
          </w:p>
        </w:tc>
        <w:tc>
          <w:tcPr>
            <w:tcW w:w="2681" w:type="pct"/>
          </w:tcPr>
          <w:p w14:paraId="23448F4F" w14:textId="26A8E1E0" w:rsidR="00B01876" w:rsidRPr="00877003" w:rsidRDefault="00EB58C7" w:rsidP="00B01876">
            <w:pPr>
              <w:spacing w:after="0" w:line="240" w:lineRule="auto"/>
              <w:jc w:val="both"/>
              <w:rPr>
                <w:rFonts w:ascii="Arial" w:hAnsi="Arial" w:cs="Arial"/>
                <w:bCs/>
                <w:sz w:val="24"/>
                <w:szCs w:val="24"/>
              </w:rPr>
            </w:pPr>
            <w:r>
              <w:rPr>
                <w:rFonts w:ascii="Arial" w:hAnsi="Arial" w:cs="Arial"/>
                <w:bCs/>
                <w:sz w:val="24"/>
                <w:szCs w:val="24"/>
              </w:rPr>
              <w:t xml:space="preserve">The </w:t>
            </w:r>
            <w:r w:rsidR="00B01876" w:rsidRPr="00877003">
              <w:rPr>
                <w:rFonts w:ascii="Arial" w:hAnsi="Arial" w:cs="Arial"/>
                <w:bCs/>
                <w:sz w:val="24"/>
                <w:szCs w:val="24"/>
              </w:rPr>
              <w:t>Ministry of Education Malaysia has revised the Health Education curriculum which consists of sexual and reproductive health education since 1989. In 2011, Reproductive and Social Health Education (</w:t>
            </w:r>
            <w:r w:rsidR="00B01876" w:rsidRPr="00877003">
              <w:rPr>
                <w:rFonts w:ascii="Arial" w:hAnsi="Arial" w:cs="Arial"/>
                <w:bCs/>
                <w:i/>
                <w:sz w:val="24"/>
                <w:szCs w:val="24"/>
              </w:rPr>
              <w:t xml:space="preserve">Pendidikan Kesihatan </w:t>
            </w:r>
            <w:proofErr w:type="spellStart"/>
            <w:r w:rsidR="00B01876" w:rsidRPr="00877003">
              <w:rPr>
                <w:rFonts w:ascii="Arial" w:hAnsi="Arial" w:cs="Arial"/>
                <w:bCs/>
                <w:i/>
                <w:sz w:val="24"/>
                <w:szCs w:val="24"/>
              </w:rPr>
              <w:t>Reproduktif</w:t>
            </w:r>
            <w:proofErr w:type="spellEnd"/>
            <w:r w:rsidR="00B01876" w:rsidRPr="00877003">
              <w:rPr>
                <w:rFonts w:ascii="Arial" w:hAnsi="Arial" w:cs="Arial"/>
                <w:bCs/>
                <w:i/>
                <w:sz w:val="24"/>
                <w:szCs w:val="24"/>
              </w:rPr>
              <w:t xml:space="preserve"> dan Sosial</w:t>
            </w:r>
            <w:r w:rsidR="00B01876" w:rsidRPr="00877003">
              <w:rPr>
                <w:rFonts w:ascii="Arial" w:hAnsi="Arial" w:cs="Arial"/>
                <w:bCs/>
                <w:sz w:val="24"/>
                <w:szCs w:val="24"/>
              </w:rPr>
              <w:t xml:space="preserve"> / PEERS) is taught through the Health Education curriculum in primary and secondary schools under Ministry of Education Malaysia.</w:t>
            </w:r>
          </w:p>
          <w:p w14:paraId="2E337654" w14:textId="77777777" w:rsidR="00B01876" w:rsidRPr="00877003" w:rsidRDefault="00B01876" w:rsidP="00B01876">
            <w:pPr>
              <w:spacing w:after="0" w:line="240" w:lineRule="auto"/>
              <w:jc w:val="both"/>
              <w:rPr>
                <w:rFonts w:ascii="Arial" w:hAnsi="Arial" w:cs="Arial"/>
                <w:bCs/>
                <w:sz w:val="24"/>
                <w:szCs w:val="24"/>
              </w:rPr>
            </w:pPr>
          </w:p>
          <w:p w14:paraId="183A887E" w14:textId="77777777" w:rsidR="00B01876" w:rsidRPr="00877003" w:rsidRDefault="00B01876" w:rsidP="00B01876">
            <w:pPr>
              <w:spacing w:after="0" w:line="240" w:lineRule="auto"/>
              <w:jc w:val="both"/>
              <w:rPr>
                <w:rFonts w:ascii="Arial" w:hAnsi="Arial" w:cs="Arial"/>
                <w:bCs/>
                <w:sz w:val="24"/>
                <w:szCs w:val="24"/>
              </w:rPr>
            </w:pPr>
            <w:r w:rsidRPr="00877003">
              <w:rPr>
                <w:rFonts w:ascii="Arial" w:hAnsi="Arial" w:cs="Arial"/>
                <w:bCs/>
                <w:sz w:val="24"/>
                <w:szCs w:val="24"/>
              </w:rPr>
              <w:t xml:space="preserve">PEERS is a curriculum-based process of teaching and learning about the cognitive, emotional, physical, spiritual and social aspects of sexuality emphasizing psychosocial competence. PEERS is incremental, age- and developmentally-appropriate, curriculum-based, comprehensive, culturally relevant and context appropriate which contribute to safe, healthy, positive relationships. </w:t>
            </w:r>
          </w:p>
          <w:p w14:paraId="1893057E" w14:textId="64A09BB5" w:rsidR="00B01876" w:rsidRPr="00877003" w:rsidRDefault="00B01876" w:rsidP="00B01876">
            <w:pPr>
              <w:spacing w:after="0" w:line="240" w:lineRule="auto"/>
              <w:jc w:val="both"/>
              <w:rPr>
                <w:rFonts w:ascii="Arial" w:hAnsi="Arial" w:cs="Arial"/>
                <w:bCs/>
                <w:sz w:val="24"/>
                <w:szCs w:val="24"/>
              </w:rPr>
            </w:pPr>
            <w:r w:rsidRPr="00877003">
              <w:rPr>
                <w:rFonts w:ascii="Arial" w:hAnsi="Arial" w:cs="Arial"/>
                <w:bCs/>
                <w:sz w:val="24"/>
                <w:szCs w:val="24"/>
              </w:rPr>
              <w:t xml:space="preserve">The inclusion of environmental health in sexual and reproductive health education is crucial for addressing gendered harms of toxics and harmful substances, as well as promoting the right to information and quality education. Thus, environmental health is integrated into various disciplines such as </w:t>
            </w:r>
            <w:r w:rsidRPr="00877003">
              <w:rPr>
                <w:rFonts w:ascii="Arial" w:hAnsi="Arial" w:cs="Arial"/>
                <w:b/>
                <w:bCs/>
                <w:sz w:val="24"/>
                <w:szCs w:val="24"/>
              </w:rPr>
              <w:t>Health Education curriculum</w:t>
            </w:r>
            <w:r w:rsidRPr="00877003">
              <w:rPr>
                <w:rFonts w:ascii="Arial" w:hAnsi="Arial" w:cs="Arial"/>
                <w:bCs/>
                <w:sz w:val="24"/>
                <w:szCs w:val="24"/>
              </w:rPr>
              <w:t xml:space="preserve"> which can contribute to progress in several ways:</w:t>
            </w:r>
          </w:p>
          <w:p w14:paraId="00824EBE" w14:textId="77777777" w:rsidR="00877003" w:rsidRPr="00877003" w:rsidRDefault="00877003" w:rsidP="00B01876">
            <w:pPr>
              <w:spacing w:after="0" w:line="240" w:lineRule="auto"/>
              <w:jc w:val="both"/>
              <w:rPr>
                <w:rFonts w:ascii="Arial" w:hAnsi="Arial" w:cs="Arial"/>
                <w:bCs/>
                <w:sz w:val="24"/>
                <w:szCs w:val="24"/>
              </w:rPr>
            </w:pPr>
          </w:p>
          <w:p w14:paraId="73193EB6" w14:textId="77777777"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Empowerment and informed choices:</w:t>
            </w:r>
            <w:r w:rsidRPr="00877003">
              <w:rPr>
                <w:rFonts w:ascii="Arial" w:hAnsi="Arial" w:cs="Arial"/>
                <w:bCs/>
                <w:sz w:val="24"/>
                <w:szCs w:val="24"/>
              </w:rPr>
              <w:t xml:space="preserve"> Environmental health education empowers individuals, especially women, to make informed choices about their reproductive health. This knowledge enables them to identify and mitigate </w:t>
            </w:r>
            <w:r w:rsidRPr="00877003">
              <w:rPr>
                <w:rFonts w:ascii="Arial" w:hAnsi="Arial" w:cs="Arial"/>
                <w:bCs/>
                <w:sz w:val="24"/>
                <w:szCs w:val="24"/>
              </w:rPr>
              <w:lastRenderedPageBreak/>
              <w:t>potential risks associated with exposure to harmful substances.</w:t>
            </w:r>
          </w:p>
          <w:p w14:paraId="3D85B895" w14:textId="77777777"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Advocacy for environmental justice:</w:t>
            </w:r>
            <w:r w:rsidRPr="00877003">
              <w:rPr>
                <w:rFonts w:ascii="Arial" w:hAnsi="Arial" w:cs="Arial"/>
                <w:bCs/>
                <w:sz w:val="24"/>
                <w:szCs w:val="24"/>
              </w:rPr>
              <w:t xml:space="preserve"> Education on the intersection of environmental health and reproductive rights encourages individuals to advocate for environmental justice. This is essential for addressing gendered harms, especially in marginalized communities where the impact of toxins may be more pronounced.</w:t>
            </w:r>
          </w:p>
          <w:p w14:paraId="20939B9E" w14:textId="77777777"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Holistic understanding of health:</w:t>
            </w:r>
            <w:r w:rsidRPr="00877003">
              <w:rPr>
                <w:rFonts w:ascii="Arial" w:hAnsi="Arial" w:cs="Arial"/>
                <w:bCs/>
                <w:sz w:val="24"/>
                <w:szCs w:val="24"/>
              </w:rPr>
              <w:t xml:space="preserve"> Integrating environmental health into sexual and reproductive health education promotes a holistic understanding of health. This approach recognizes the interconnectedness of environmental factors, reproductive health, and overall well-being.</w:t>
            </w:r>
          </w:p>
          <w:p w14:paraId="75FABB90" w14:textId="2EFA6CE3"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 xml:space="preserve">Support for Sustainable Development Goals (SDGs):  </w:t>
            </w:r>
            <w:r w:rsidRPr="00877003">
              <w:rPr>
                <w:rFonts w:ascii="Arial" w:hAnsi="Arial" w:cs="Arial"/>
                <w:bCs/>
                <w:sz w:val="24"/>
                <w:szCs w:val="24"/>
              </w:rPr>
              <w:t>By incorporating environmental health, educational programs contribute to the achievement of Sustainable Development Goals, particularly Goal 3 (Good Health and Well-Being) and Goal 5 (Gender Equality). Addressing gendered harms of toxics requires a comprehensive approach that considers both health and environmental factors.</w:t>
            </w:r>
          </w:p>
          <w:p w14:paraId="018BCBC7" w14:textId="77777777"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 xml:space="preserve">Prevention of reproductive health issues: </w:t>
            </w:r>
            <w:r w:rsidRPr="00877003">
              <w:rPr>
                <w:rFonts w:ascii="Arial" w:hAnsi="Arial" w:cs="Arial"/>
                <w:bCs/>
                <w:sz w:val="24"/>
                <w:szCs w:val="24"/>
              </w:rPr>
              <w:t>Education about environmental hazards and harmful substances can contribute to the prevention of reproductive health issues. This proactive approach helps reduce the incidence of gendered harms associated with exposure to toxins.</w:t>
            </w:r>
          </w:p>
          <w:p w14:paraId="01961270" w14:textId="754E13A6"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Reduction of disparities:</w:t>
            </w:r>
            <w:r w:rsidRPr="00877003">
              <w:rPr>
                <w:rFonts w:ascii="Arial" w:hAnsi="Arial" w:cs="Arial"/>
                <w:bCs/>
                <w:sz w:val="24"/>
                <w:szCs w:val="24"/>
              </w:rPr>
              <w:t xml:space="preserve"> Inclusion of environmental health in education helps bridge information gaps and reduces disparities in knowledge about the impact of harmful substances. This is particularly important in </w:t>
            </w:r>
            <w:r w:rsidRPr="00877003">
              <w:rPr>
                <w:rFonts w:ascii="Arial" w:hAnsi="Arial" w:cs="Arial"/>
                <w:bCs/>
                <w:sz w:val="24"/>
                <w:szCs w:val="24"/>
              </w:rPr>
              <w:lastRenderedPageBreak/>
              <w:t>ensuring that marginalized groups have access to the necessary information and resources to protect their reproductive health.</w:t>
            </w:r>
          </w:p>
          <w:p w14:paraId="5AE20132" w14:textId="4F54B3A7" w:rsidR="00B01876" w:rsidRPr="00877003" w:rsidRDefault="00B01876" w:rsidP="00B01876">
            <w:pPr>
              <w:numPr>
                <w:ilvl w:val="0"/>
                <w:numId w:val="21"/>
              </w:numPr>
              <w:spacing w:after="0" w:line="240" w:lineRule="auto"/>
              <w:jc w:val="both"/>
              <w:rPr>
                <w:rFonts w:ascii="Arial" w:hAnsi="Arial" w:cs="Arial"/>
                <w:bCs/>
                <w:sz w:val="24"/>
                <w:szCs w:val="24"/>
              </w:rPr>
            </w:pPr>
            <w:r w:rsidRPr="00877003">
              <w:rPr>
                <w:rFonts w:ascii="Arial" w:hAnsi="Arial" w:cs="Arial"/>
                <w:b/>
                <w:bCs/>
                <w:sz w:val="24"/>
                <w:szCs w:val="24"/>
              </w:rPr>
              <w:t>Promotion of sustainable practices:</w:t>
            </w:r>
            <w:r w:rsidRPr="00877003">
              <w:rPr>
                <w:rFonts w:ascii="Arial" w:hAnsi="Arial" w:cs="Arial"/>
                <w:bCs/>
                <w:sz w:val="24"/>
                <w:szCs w:val="24"/>
              </w:rPr>
              <w:t xml:space="preserve"> Environmental health education encourages responsible and sustainable practices that benefit both reproductive health and the environment. This can contribute to long-term progress in mitigating the adverse effects of harmful substances.</w:t>
            </w:r>
          </w:p>
          <w:p w14:paraId="7F7CE5B5" w14:textId="77777777" w:rsidR="00B01876" w:rsidRPr="00877003" w:rsidRDefault="00B01876" w:rsidP="00B01876">
            <w:pPr>
              <w:spacing w:after="0" w:line="240" w:lineRule="auto"/>
              <w:ind w:left="1080"/>
              <w:jc w:val="both"/>
              <w:rPr>
                <w:rFonts w:ascii="Arial" w:hAnsi="Arial" w:cs="Arial"/>
                <w:bCs/>
                <w:sz w:val="24"/>
                <w:szCs w:val="24"/>
              </w:rPr>
            </w:pPr>
          </w:p>
          <w:p w14:paraId="13355EB9" w14:textId="77777777" w:rsidR="00B01876" w:rsidRPr="00877003" w:rsidRDefault="00B01876" w:rsidP="00B01876">
            <w:pPr>
              <w:spacing w:after="0" w:line="240" w:lineRule="auto"/>
              <w:jc w:val="both"/>
              <w:rPr>
                <w:rFonts w:ascii="Arial" w:hAnsi="Arial" w:cs="Arial"/>
                <w:bCs/>
                <w:sz w:val="24"/>
                <w:szCs w:val="24"/>
              </w:rPr>
            </w:pPr>
            <w:r w:rsidRPr="00877003">
              <w:rPr>
                <w:rFonts w:ascii="Arial" w:hAnsi="Arial" w:cs="Arial"/>
                <w:bCs/>
                <w:sz w:val="24"/>
                <w:szCs w:val="24"/>
              </w:rPr>
              <w:t xml:space="preserve">In conclusion, the inclusion of environmental health in </w:t>
            </w:r>
            <w:r w:rsidRPr="00877003">
              <w:rPr>
                <w:rFonts w:ascii="Arial" w:hAnsi="Arial" w:cs="Arial"/>
                <w:bCs/>
                <w:i/>
                <w:iCs/>
                <w:sz w:val="24"/>
                <w:szCs w:val="24"/>
              </w:rPr>
              <w:t xml:space="preserve">PEERS </w:t>
            </w:r>
            <w:r w:rsidRPr="00877003">
              <w:rPr>
                <w:rFonts w:ascii="Arial" w:hAnsi="Arial" w:cs="Arial"/>
                <w:bCs/>
                <w:sz w:val="24"/>
                <w:szCs w:val="24"/>
              </w:rPr>
              <w:t>through Health Education curriculum by the Ministry of Education Malaysia plays a vital role in advancing progress on gendered harms of toxics, protecting the right to information, and promoting quality education. It empowers individuals, fosters advocacy, and contributes to a more comprehensive and sustainable approach to health education.</w:t>
            </w:r>
          </w:p>
          <w:p w14:paraId="65F26D80" w14:textId="754C98B3" w:rsidR="002E2C8D" w:rsidRPr="00877003" w:rsidRDefault="002E2C8D" w:rsidP="002E2C8D">
            <w:pPr>
              <w:spacing w:after="0" w:line="240" w:lineRule="auto"/>
              <w:jc w:val="both"/>
              <w:rPr>
                <w:rFonts w:ascii="Arial" w:hAnsi="Arial" w:cs="Arial"/>
                <w:bCs/>
                <w:sz w:val="24"/>
                <w:szCs w:val="24"/>
              </w:rPr>
            </w:pPr>
          </w:p>
        </w:tc>
      </w:tr>
      <w:tr w:rsidR="00C15F99" w:rsidRPr="00DB054F" w14:paraId="606A3975" w14:textId="77777777" w:rsidTr="002121D9">
        <w:trPr>
          <w:trHeight w:val="863"/>
        </w:trPr>
        <w:tc>
          <w:tcPr>
            <w:tcW w:w="255" w:type="pct"/>
          </w:tcPr>
          <w:p w14:paraId="7AF2BB43" w14:textId="77777777" w:rsidR="00C15F99" w:rsidRPr="00877003" w:rsidRDefault="00C15F99" w:rsidP="00104500">
            <w:pPr>
              <w:pStyle w:val="ListParagraph"/>
              <w:numPr>
                <w:ilvl w:val="0"/>
                <w:numId w:val="3"/>
              </w:numPr>
              <w:spacing w:after="0" w:line="240" w:lineRule="auto"/>
              <w:ind w:right="42"/>
              <w:jc w:val="both"/>
              <w:rPr>
                <w:rFonts w:ascii="Arial" w:hAnsi="Arial" w:cs="Arial"/>
                <w:sz w:val="24"/>
                <w:szCs w:val="24"/>
              </w:rPr>
            </w:pPr>
          </w:p>
        </w:tc>
        <w:tc>
          <w:tcPr>
            <w:tcW w:w="2064" w:type="pct"/>
          </w:tcPr>
          <w:p w14:paraId="69E9F91D" w14:textId="77777777" w:rsidR="004278F9" w:rsidRPr="00877003" w:rsidRDefault="00F7359B" w:rsidP="00F7359B">
            <w:pPr>
              <w:spacing w:after="0" w:line="240" w:lineRule="auto"/>
              <w:jc w:val="both"/>
              <w:rPr>
                <w:rFonts w:ascii="Arial" w:hAnsi="Arial" w:cs="Arial"/>
                <w:iCs/>
                <w:sz w:val="24"/>
                <w:szCs w:val="24"/>
                <w:lang w:val="en-US"/>
              </w:rPr>
            </w:pPr>
            <w:r w:rsidRPr="00877003">
              <w:rPr>
                <w:rFonts w:ascii="Arial" w:hAnsi="Arial" w:cs="Arial"/>
                <w:iCs/>
                <w:sz w:val="24"/>
                <w:szCs w:val="24"/>
                <w:lang w:val="en-US"/>
              </w:rPr>
              <w:t xml:space="preserve">Is uncertainty about potential harms or a lack of information about the impacts of a particular industry or producer of toxics or harmful substances causing harms? If so, how? </w:t>
            </w:r>
          </w:p>
          <w:p w14:paraId="4D06F053" w14:textId="486F1E4B" w:rsidR="00F7359B" w:rsidRPr="00877003" w:rsidRDefault="00F7359B" w:rsidP="00F7359B">
            <w:pPr>
              <w:spacing w:after="0" w:line="240" w:lineRule="auto"/>
              <w:jc w:val="both"/>
              <w:rPr>
                <w:rFonts w:ascii="Arial" w:hAnsi="Arial" w:cs="Arial"/>
                <w:iCs/>
                <w:sz w:val="24"/>
                <w:szCs w:val="24"/>
                <w:lang w:val="en-US"/>
              </w:rPr>
            </w:pPr>
          </w:p>
        </w:tc>
        <w:tc>
          <w:tcPr>
            <w:tcW w:w="2681" w:type="pct"/>
          </w:tcPr>
          <w:p w14:paraId="456DF740" w14:textId="6975677E" w:rsidR="002E2C8D" w:rsidRPr="00877003" w:rsidRDefault="002E2C8D" w:rsidP="002E2C8D">
            <w:pPr>
              <w:spacing w:line="276" w:lineRule="auto"/>
              <w:jc w:val="both"/>
              <w:rPr>
                <w:rFonts w:ascii="Arial" w:hAnsi="Arial" w:cs="Arial"/>
                <w:sz w:val="24"/>
                <w:szCs w:val="24"/>
              </w:rPr>
            </w:pPr>
            <w:r w:rsidRPr="00877003">
              <w:rPr>
                <w:rFonts w:ascii="Arial" w:hAnsi="Arial" w:cs="Arial"/>
                <w:sz w:val="24"/>
                <w:szCs w:val="24"/>
              </w:rPr>
              <w:t>Uncertainty can arise due to various factors such as incomplete information, variability, complexity or unpredictability of a situation. Health education in this matter shall be optimised to elucidate uncertainty on potential harms which in turn increases literacy on toxics harms. There is more room to garner information based on research and insights related to be strategically used for developing programmes and activities aiming to reduce uncertainty.</w:t>
            </w:r>
          </w:p>
          <w:p w14:paraId="0C7DD152" w14:textId="26B31D1B" w:rsidR="002E2C8D" w:rsidRPr="00877003" w:rsidRDefault="002E2C8D" w:rsidP="002E2C8D">
            <w:pPr>
              <w:spacing w:after="0" w:line="240" w:lineRule="auto"/>
              <w:jc w:val="both"/>
              <w:rPr>
                <w:rFonts w:ascii="Arial" w:hAnsi="Arial" w:cs="Arial"/>
                <w:b/>
                <w:bCs/>
                <w:color w:val="3333FF"/>
                <w:sz w:val="24"/>
                <w:szCs w:val="24"/>
              </w:rPr>
            </w:pPr>
            <w:r w:rsidRPr="00877003">
              <w:rPr>
                <w:rFonts w:ascii="Arial" w:hAnsi="Arial" w:cs="Arial"/>
                <w:bCs/>
                <w:sz w:val="24"/>
                <w:szCs w:val="24"/>
              </w:rPr>
              <w:t>Lack of information about health impacts of a particular industry may cause occupational health diseases, regardless of gender.</w:t>
            </w:r>
          </w:p>
          <w:p w14:paraId="49B5258A" w14:textId="77777777" w:rsidR="002E2C8D" w:rsidRPr="00877003" w:rsidRDefault="002E2C8D" w:rsidP="00C15F99">
            <w:pPr>
              <w:spacing w:after="0" w:line="240" w:lineRule="auto"/>
              <w:jc w:val="both"/>
              <w:rPr>
                <w:rFonts w:ascii="Arial" w:hAnsi="Arial" w:cs="Arial"/>
                <w:b/>
                <w:bCs/>
                <w:color w:val="3333FF"/>
                <w:sz w:val="24"/>
                <w:szCs w:val="24"/>
              </w:rPr>
            </w:pPr>
          </w:p>
          <w:p w14:paraId="3EE6ACB2" w14:textId="79666880" w:rsidR="00BC3D4B" w:rsidRPr="00877003" w:rsidRDefault="00BC3D4B" w:rsidP="00C15F99">
            <w:pPr>
              <w:spacing w:after="0" w:line="240" w:lineRule="auto"/>
              <w:jc w:val="both"/>
              <w:rPr>
                <w:rFonts w:ascii="Arial" w:hAnsi="Arial" w:cs="Arial"/>
                <w:bCs/>
                <w:sz w:val="24"/>
                <w:szCs w:val="24"/>
              </w:rPr>
            </w:pPr>
            <w:r w:rsidRPr="00877003">
              <w:rPr>
                <w:rFonts w:ascii="Arial" w:hAnsi="Arial" w:cs="Arial"/>
                <w:bCs/>
                <w:sz w:val="24"/>
                <w:szCs w:val="24"/>
              </w:rPr>
              <w:t xml:space="preserve">Under </w:t>
            </w:r>
            <w:r w:rsidR="00B17A76" w:rsidRPr="00877003">
              <w:rPr>
                <w:rFonts w:ascii="Arial" w:hAnsi="Arial" w:cs="Arial"/>
                <w:bCs/>
                <w:sz w:val="24"/>
                <w:szCs w:val="24"/>
              </w:rPr>
              <w:t xml:space="preserve">the </w:t>
            </w:r>
            <w:r w:rsidR="00B01876" w:rsidRPr="00877003">
              <w:rPr>
                <w:rFonts w:ascii="Arial" w:hAnsi="Arial" w:cs="Arial"/>
                <w:bCs/>
                <w:sz w:val="24"/>
                <w:szCs w:val="24"/>
              </w:rPr>
              <w:t>Use and Standard of Exposure Chemical Hazardous to Health (</w:t>
            </w:r>
            <w:r w:rsidRPr="00877003">
              <w:rPr>
                <w:rFonts w:ascii="Arial" w:hAnsi="Arial" w:cs="Arial"/>
                <w:bCs/>
                <w:sz w:val="24"/>
                <w:szCs w:val="24"/>
              </w:rPr>
              <w:t>USECHH</w:t>
            </w:r>
            <w:r w:rsidR="00B01876" w:rsidRPr="00877003">
              <w:rPr>
                <w:rFonts w:ascii="Arial" w:hAnsi="Arial" w:cs="Arial"/>
                <w:bCs/>
                <w:sz w:val="24"/>
                <w:szCs w:val="24"/>
              </w:rPr>
              <w:t>)</w:t>
            </w:r>
            <w:r w:rsidRPr="00877003">
              <w:rPr>
                <w:rFonts w:ascii="Arial" w:hAnsi="Arial" w:cs="Arial"/>
                <w:bCs/>
                <w:sz w:val="24"/>
                <w:szCs w:val="24"/>
              </w:rPr>
              <w:t xml:space="preserve"> regulation, the employer</w:t>
            </w:r>
            <w:r w:rsidR="00B17A76" w:rsidRPr="00877003">
              <w:rPr>
                <w:rFonts w:ascii="Arial" w:hAnsi="Arial" w:cs="Arial"/>
                <w:bCs/>
                <w:sz w:val="24"/>
                <w:szCs w:val="24"/>
              </w:rPr>
              <w:t>s</w:t>
            </w:r>
            <w:r w:rsidRPr="00877003">
              <w:rPr>
                <w:rFonts w:ascii="Arial" w:hAnsi="Arial" w:cs="Arial"/>
                <w:bCs/>
                <w:sz w:val="24"/>
                <w:szCs w:val="24"/>
              </w:rPr>
              <w:t xml:space="preserve"> at the workplace </w:t>
            </w:r>
            <w:r w:rsidRPr="00877003">
              <w:rPr>
                <w:rFonts w:ascii="Arial" w:hAnsi="Arial" w:cs="Arial"/>
                <w:bCs/>
                <w:sz w:val="24"/>
                <w:szCs w:val="24"/>
              </w:rPr>
              <w:lastRenderedPageBreak/>
              <w:t xml:space="preserve">(industries) need to conduct risk assessment if chemical hazardous to health (CHTH) </w:t>
            </w:r>
            <w:r w:rsidR="00B17A76" w:rsidRPr="00877003">
              <w:rPr>
                <w:rFonts w:ascii="Arial" w:hAnsi="Arial" w:cs="Arial"/>
                <w:bCs/>
                <w:sz w:val="24"/>
                <w:szCs w:val="24"/>
              </w:rPr>
              <w:t>are being</w:t>
            </w:r>
            <w:r w:rsidRPr="00877003">
              <w:rPr>
                <w:rFonts w:ascii="Arial" w:hAnsi="Arial" w:cs="Arial"/>
                <w:bCs/>
                <w:sz w:val="24"/>
                <w:szCs w:val="24"/>
              </w:rPr>
              <w:t xml:space="preserve"> used. </w:t>
            </w:r>
            <w:r w:rsidR="00B17A76" w:rsidRPr="00877003">
              <w:rPr>
                <w:rFonts w:ascii="Arial" w:hAnsi="Arial" w:cs="Arial"/>
                <w:bCs/>
                <w:sz w:val="24"/>
                <w:szCs w:val="24"/>
              </w:rPr>
              <w:t>From the report of the risk assessment, employers must take action to control exposures to CHTH. The control measures could range from organisational control, technical control, emergency response preparedness, medical removal and training. Industries need to comply to both the USECHH and CLASS Regulations to identify risk arising from harmful substance or CHTH.</w:t>
            </w:r>
          </w:p>
          <w:p w14:paraId="1E3E8B14" w14:textId="3EA6D5F3" w:rsidR="00BC3D4B" w:rsidRPr="00877003" w:rsidRDefault="00BC3D4B" w:rsidP="00C15F99">
            <w:pPr>
              <w:spacing w:after="0" w:line="240" w:lineRule="auto"/>
              <w:jc w:val="both"/>
              <w:rPr>
                <w:rFonts w:ascii="Arial" w:hAnsi="Arial" w:cs="Arial"/>
                <w:bCs/>
                <w:sz w:val="24"/>
                <w:szCs w:val="24"/>
              </w:rPr>
            </w:pPr>
          </w:p>
        </w:tc>
      </w:tr>
      <w:tr w:rsidR="00167EE3" w:rsidRPr="00DB054F" w14:paraId="2DD48C76" w14:textId="77777777" w:rsidTr="002121D9">
        <w:tc>
          <w:tcPr>
            <w:tcW w:w="255" w:type="pct"/>
          </w:tcPr>
          <w:p w14:paraId="1582D5CF" w14:textId="77777777" w:rsidR="00167EE3" w:rsidRPr="00877003"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0CEF309A" w14:textId="4F2849C7" w:rsidR="004278F9" w:rsidRPr="00877003" w:rsidRDefault="00F7359B" w:rsidP="00F7359B">
            <w:pPr>
              <w:spacing w:after="0" w:line="240" w:lineRule="auto"/>
              <w:jc w:val="both"/>
              <w:rPr>
                <w:rFonts w:ascii="Arial" w:hAnsi="Arial" w:cs="Arial"/>
                <w:iCs/>
                <w:sz w:val="24"/>
                <w:szCs w:val="24"/>
              </w:rPr>
            </w:pPr>
            <w:r w:rsidRPr="00877003">
              <w:rPr>
                <w:rFonts w:ascii="Arial" w:hAnsi="Arial" w:cs="Arial"/>
                <w:iCs/>
                <w:sz w:val="24"/>
                <w:szCs w:val="24"/>
              </w:rPr>
              <w:t xml:space="preserve">Is a lack of (scientific or community-created) information, generally and in specific locations, holding back progress in protecting people from gendered harms from toxics or harmful substances? If so, how? </w:t>
            </w:r>
          </w:p>
          <w:p w14:paraId="5C056285" w14:textId="2903AC21" w:rsidR="00F7359B" w:rsidRPr="00877003" w:rsidRDefault="00F7359B" w:rsidP="00F7359B">
            <w:pPr>
              <w:spacing w:after="0" w:line="240" w:lineRule="auto"/>
              <w:jc w:val="both"/>
              <w:rPr>
                <w:rFonts w:ascii="Arial" w:hAnsi="Arial" w:cs="Arial"/>
                <w:iCs/>
                <w:sz w:val="24"/>
                <w:szCs w:val="24"/>
              </w:rPr>
            </w:pPr>
          </w:p>
        </w:tc>
        <w:tc>
          <w:tcPr>
            <w:tcW w:w="2681" w:type="pct"/>
          </w:tcPr>
          <w:p w14:paraId="13AA7D7D" w14:textId="08387B0A" w:rsidR="00AF3224" w:rsidRPr="00877003" w:rsidRDefault="002E3053" w:rsidP="00C15F99">
            <w:pPr>
              <w:spacing w:after="0" w:line="240" w:lineRule="auto"/>
              <w:jc w:val="both"/>
              <w:rPr>
                <w:rFonts w:ascii="Arial" w:hAnsi="Arial" w:cs="Arial"/>
                <w:sz w:val="24"/>
                <w:szCs w:val="24"/>
              </w:rPr>
            </w:pPr>
            <w:r w:rsidRPr="00877003">
              <w:rPr>
                <w:rFonts w:ascii="Arial" w:hAnsi="Arial" w:cs="Arial"/>
                <w:sz w:val="24"/>
                <w:szCs w:val="24"/>
              </w:rPr>
              <w:t>In complying to the USECHH Regulations, i</w:t>
            </w:r>
            <w:r w:rsidR="00E772D2" w:rsidRPr="00877003">
              <w:rPr>
                <w:rFonts w:ascii="Arial" w:hAnsi="Arial" w:cs="Arial"/>
                <w:sz w:val="24"/>
                <w:szCs w:val="24"/>
              </w:rPr>
              <w:t>ndustries</w:t>
            </w:r>
            <w:r w:rsidRPr="00877003">
              <w:rPr>
                <w:rFonts w:ascii="Arial" w:hAnsi="Arial" w:cs="Arial"/>
                <w:sz w:val="24"/>
                <w:szCs w:val="24"/>
              </w:rPr>
              <w:t xml:space="preserve"> among others, need to </w:t>
            </w:r>
            <w:r w:rsidR="00E772D2" w:rsidRPr="00877003">
              <w:rPr>
                <w:rFonts w:ascii="Arial" w:hAnsi="Arial" w:cs="Arial"/>
                <w:sz w:val="24"/>
                <w:szCs w:val="24"/>
              </w:rPr>
              <w:t>conduct risk assessment</w:t>
            </w:r>
            <w:r w:rsidRPr="00877003">
              <w:rPr>
                <w:rFonts w:ascii="Arial" w:hAnsi="Arial" w:cs="Arial"/>
                <w:sz w:val="24"/>
                <w:szCs w:val="24"/>
              </w:rPr>
              <w:t xml:space="preserve"> at work</w:t>
            </w:r>
            <w:r w:rsidR="00E772D2" w:rsidRPr="00877003">
              <w:rPr>
                <w:rFonts w:ascii="Arial" w:hAnsi="Arial" w:cs="Arial"/>
                <w:sz w:val="24"/>
                <w:szCs w:val="24"/>
              </w:rPr>
              <w:t>, to prepare and provide safety data sheets of chemicals at the workplace. These will enable industries in protecting people from toxics or harmful substances.</w:t>
            </w:r>
            <w:r w:rsidR="000A370F" w:rsidRPr="00877003">
              <w:rPr>
                <w:rFonts w:ascii="Arial" w:hAnsi="Arial" w:cs="Arial"/>
                <w:sz w:val="24"/>
                <w:szCs w:val="24"/>
              </w:rPr>
              <w:t xml:space="preserve"> On top of that, Malaysia encourage consultation among employers, employers’ organisation and non-governmental associations to promote basic occupational safety and health principles in parallel with the ILO C187.</w:t>
            </w:r>
          </w:p>
          <w:p w14:paraId="79D4E2DB" w14:textId="0ACADFE3" w:rsidR="009814EF" w:rsidRPr="00877003" w:rsidRDefault="009814EF" w:rsidP="00C15F99">
            <w:pPr>
              <w:spacing w:after="0" w:line="240" w:lineRule="auto"/>
              <w:jc w:val="both"/>
              <w:rPr>
                <w:rFonts w:ascii="Arial" w:hAnsi="Arial" w:cs="Arial"/>
                <w:sz w:val="24"/>
                <w:szCs w:val="24"/>
              </w:rPr>
            </w:pPr>
          </w:p>
          <w:p w14:paraId="560AA840" w14:textId="77777777" w:rsidR="009814EF" w:rsidRPr="00877003" w:rsidRDefault="009814EF" w:rsidP="009814EF">
            <w:pPr>
              <w:spacing w:line="276" w:lineRule="auto"/>
              <w:jc w:val="both"/>
              <w:rPr>
                <w:rFonts w:ascii="Arial" w:hAnsi="Arial" w:cs="Arial"/>
                <w:sz w:val="24"/>
                <w:szCs w:val="24"/>
              </w:rPr>
            </w:pPr>
            <w:r w:rsidRPr="00877003">
              <w:rPr>
                <w:rFonts w:ascii="Arial" w:hAnsi="Arial" w:cs="Arial"/>
                <w:sz w:val="24"/>
                <w:szCs w:val="24"/>
              </w:rPr>
              <w:t xml:space="preserve">Generally, there is a need to deepen scientific/ community-created information to retrieve insights, diagnose, as well as develop health campaigns to increase the awareness and encourage behavioural change in the community towards the effects of gendered harms from toxics and harmful substances. </w:t>
            </w:r>
          </w:p>
          <w:p w14:paraId="368CE3C4" w14:textId="71E5751D" w:rsidR="009814EF" w:rsidRPr="00877003" w:rsidRDefault="009814EF" w:rsidP="009814EF">
            <w:pPr>
              <w:spacing w:after="0" w:line="240" w:lineRule="auto"/>
              <w:jc w:val="both"/>
              <w:rPr>
                <w:rFonts w:ascii="Arial" w:hAnsi="Arial" w:cs="Arial"/>
                <w:sz w:val="24"/>
                <w:szCs w:val="24"/>
              </w:rPr>
            </w:pPr>
            <w:r w:rsidRPr="00877003">
              <w:rPr>
                <w:rFonts w:ascii="Arial" w:hAnsi="Arial" w:cs="Arial"/>
                <w:bCs/>
                <w:sz w:val="24"/>
                <w:szCs w:val="24"/>
              </w:rPr>
              <w:t>Information on the harms from toxics or harmful substance is disseminated to the public with no particular focus given on the effects of the gendered harm. This is to make sure that the public can take the necessary precaution to ensure their safety and health regardless of their gender.</w:t>
            </w:r>
          </w:p>
          <w:p w14:paraId="55A17363" w14:textId="7F4E378B" w:rsidR="002E3053" w:rsidRPr="00877003" w:rsidRDefault="002E3053" w:rsidP="00C15F99">
            <w:pPr>
              <w:spacing w:after="0" w:line="240" w:lineRule="auto"/>
              <w:jc w:val="both"/>
              <w:rPr>
                <w:rFonts w:ascii="Arial" w:hAnsi="Arial" w:cs="Arial"/>
                <w:sz w:val="24"/>
                <w:szCs w:val="24"/>
              </w:rPr>
            </w:pPr>
          </w:p>
        </w:tc>
      </w:tr>
      <w:tr w:rsidR="003C21EC" w:rsidRPr="00DB054F" w14:paraId="22CCF189" w14:textId="77777777" w:rsidTr="002121D9">
        <w:tc>
          <w:tcPr>
            <w:tcW w:w="255" w:type="pct"/>
          </w:tcPr>
          <w:p w14:paraId="35B709A9" w14:textId="77777777" w:rsidR="003C21EC" w:rsidRPr="00877003"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33F9013B" w14:textId="2E4736CA" w:rsidR="004278F9" w:rsidRPr="00877003" w:rsidRDefault="00F7359B" w:rsidP="00F7359B">
            <w:pPr>
              <w:spacing w:after="0" w:line="240" w:lineRule="auto"/>
              <w:jc w:val="both"/>
              <w:rPr>
                <w:rFonts w:ascii="Arial" w:hAnsi="Arial" w:cs="Arial"/>
                <w:iCs/>
                <w:sz w:val="24"/>
                <w:szCs w:val="24"/>
              </w:rPr>
            </w:pPr>
            <w:r w:rsidRPr="00877003">
              <w:rPr>
                <w:rFonts w:ascii="Arial" w:hAnsi="Arial" w:cs="Arial"/>
                <w:iCs/>
                <w:sz w:val="24"/>
                <w:szCs w:val="24"/>
              </w:rPr>
              <w:t xml:space="preserve">Are there examples of how the status of individuals of particular assigned or identified gender intersect with other factors such as income, race, caste, immigration, Indigenous status, migratory status, nationality, membership of a minority group among others, may make them more vulnerable to toxics and harmful substances? </w:t>
            </w:r>
          </w:p>
          <w:p w14:paraId="49FA76A7" w14:textId="2BE4C5B4" w:rsidR="00B61E63" w:rsidRPr="00877003" w:rsidRDefault="00B61E63" w:rsidP="00B61E63">
            <w:pPr>
              <w:spacing w:after="0" w:line="240" w:lineRule="auto"/>
              <w:jc w:val="both"/>
              <w:rPr>
                <w:rFonts w:ascii="Arial" w:hAnsi="Arial" w:cs="Arial"/>
                <w:iCs/>
                <w:sz w:val="24"/>
                <w:szCs w:val="24"/>
              </w:rPr>
            </w:pPr>
          </w:p>
        </w:tc>
        <w:tc>
          <w:tcPr>
            <w:tcW w:w="2681" w:type="pct"/>
          </w:tcPr>
          <w:p w14:paraId="5F2D2EA5" w14:textId="77777777" w:rsidR="000541E0" w:rsidRPr="00877003" w:rsidRDefault="000541E0" w:rsidP="00C15F99">
            <w:pPr>
              <w:spacing w:after="0" w:line="240" w:lineRule="auto"/>
              <w:jc w:val="both"/>
              <w:rPr>
                <w:rFonts w:ascii="Arial" w:hAnsi="Arial" w:cs="Arial"/>
                <w:bCs/>
                <w:sz w:val="24"/>
                <w:szCs w:val="24"/>
              </w:rPr>
            </w:pPr>
            <w:r w:rsidRPr="00877003">
              <w:rPr>
                <w:rFonts w:ascii="Arial" w:hAnsi="Arial" w:cs="Arial"/>
                <w:bCs/>
                <w:sz w:val="24"/>
                <w:szCs w:val="24"/>
              </w:rPr>
              <w:t>Under Article 5 and Article 8 of the Federal Constitution of Malaysia, basic fundamental of human rights are outlined focussing on equal protection of the law (no discrimination on the ground of gender, race, religion etc).</w:t>
            </w:r>
          </w:p>
          <w:p w14:paraId="7653E9D2" w14:textId="77777777" w:rsidR="002121D9" w:rsidRPr="00877003" w:rsidRDefault="002121D9" w:rsidP="00C15F99">
            <w:pPr>
              <w:spacing w:after="0" w:line="240" w:lineRule="auto"/>
              <w:jc w:val="both"/>
              <w:rPr>
                <w:rFonts w:ascii="Arial" w:hAnsi="Arial" w:cs="Arial"/>
                <w:bCs/>
                <w:sz w:val="24"/>
                <w:szCs w:val="24"/>
              </w:rPr>
            </w:pPr>
          </w:p>
          <w:p w14:paraId="2A8457EC" w14:textId="77777777" w:rsidR="002121D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Certain genders, along with other factors may make them more vulnerable to toxics and harmful substances. For example, indigenous children may be exposed to certain harmful substances when they consume contaminated river water. However, health officials often engage with their community to inform about the dangers whenever required/ needed.</w:t>
            </w:r>
          </w:p>
          <w:p w14:paraId="28A6D1D7" w14:textId="1649DBDD" w:rsidR="002121D9" w:rsidRPr="00877003" w:rsidRDefault="002121D9" w:rsidP="002121D9">
            <w:pPr>
              <w:spacing w:after="0" w:line="240" w:lineRule="auto"/>
              <w:jc w:val="both"/>
              <w:rPr>
                <w:rFonts w:ascii="Arial" w:hAnsi="Arial" w:cs="Arial"/>
                <w:bCs/>
                <w:sz w:val="24"/>
                <w:szCs w:val="24"/>
              </w:rPr>
            </w:pPr>
          </w:p>
        </w:tc>
      </w:tr>
      <w:tr w:rsidR="004278F9" w:rsidRPr="00DB054F" w14:paraId="154597E2" w14:textId="77777777" w:rsidTr="002121D9">
        <w:tc>
          <w:tcPr>
            <w:tcW w:w="255" w:type="pct"/>
          </w:tcPr>
          <w:p w14:paraId="099A164D" w14:textId="77777777" w:rsidR="004278F9" w:rsidRPr="00877003" w:rsidRDefault="004278F9" w:rsidP="00104500">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72991E4A" w14:textId="77777777" w:rsidR="004278F9" w:rsidRPr="00877003" w:rsidRDefault="00F7359B" w:rsidP="00F7359B">
            <w:pPr>
              <w:spacing w:after="0" w:line="240" w:lineRule="auto"/>
              <w:jc w:val="both"/>
              <w:rPr>
                <w:rFonts w:ascii="Arial" w:hAnsi="Arial" w:cs="Arial"/>
                <w:iCs/>
                <w:sz w:val="24"/>
                <w:szCs w:val="24"/>
              </w:rPr>
            </w:pPr>
            <w:r w:rsidRPr="00877003">
              <w:rPr>
                <w:rFonts w:ascii="Arial" w:hAnsi="Arial" w:cs="Arial"/>
                <w:iCs/>
                <w:sz w:val="24"/>
                <w:szCs w:val="24"/>
              </w:rPr>
              <w:t xml:space="preserve">Is the climate crisis worsening gendered harms from toxics and harmful substances? If so, how? </w:t>
            </w:r>
          </w:p>
          <w:p w14:paraId="7756341A" w14:textId="0730B4EA" w:rsidR="00F7359B" w:rsidRPr="00877003" w:rsidRDefault="00F7359B" w:rsidP="00F7359B">
            <w:pPr>
              <w:spacing w:after="0" w:line="240" w:lineRule="auto"/>
              <w:jc w:val="both"/>
              <w:rPr>
                <w:rFonts w:ascii="Arial" w:hAnsi="Arial" w:cs="Arial"/>
                <w:iCs/>
                <w:sz w:val="24"/>
                <w:szCs w:val="24"/>
              </w:rPr>
            </w:pPr>
          </w:p>
        </w:tc>
        <w:tc>
          <w:tcPr>
            <w:tcW w:w="2681" w:type="pct"/>
          </w:tcPr>
          <w:p w14:paraId="2234FF5E" w14:textId="77777777" w:rsidR="002121D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 xml:space="preserve">Climate crisis by means of extreme weather events, may increase harms from toxics and harmful substances, via aggravating the risk of health impacts.  The harms may increase towards vulnerable population such as women, pregnant ladies, children and the elderly. </w:t>
            </w:r>
          </w:p>
          <w:p w14:paraId="044B5001" w14:textId="77777777" w:rsidR="004278F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In this regard, to ensure that development does not impact the environment negatively, close monitoring of river water/ bodies of water located in the development area is continuously done before, during, and after project development by the project proponent.</w:t>
            </w:r>
          </w:p>
          <w:p w14:paraId="4119C920" w14:textId="2F26F32A" w:rsidR="002121D9" w:rsidRPr="00877003" w:rsidRDefault="002121D9" w:rsidP="002121D9">
            <w:pPr>
              <w:spacing w:after="0" w:line="240" w:lineRule="auto"/>
              <w:jc w:val="both"/>
              <w:rPr>
                <w:rFonts w:ascii="Arial" w:hAnsi="Arial" w:cs="Arial"/>
                <w:b/>
                <w:bCs/>
                <w:color w:val="3333FF"/>
                <w:sz w:val="24"/>
                <w:szCs w:val="24"/>
              </w:rPr>
            </w:pPr>
          </w:p>
        </w:tc>
      </w:tr>
      <w:tr w:rsidR="004278F9" w:rsidRPr="00DB054F" w14:paraId="0AAC6579" w14:textId="77777777" w:rsidTr="002121D9">
        <w:tc>
          <w:tcPr>
            <w:tcW w:w="255" w:type="pct"/>
          </w:tcPr>
          <w:p w14:paraId="642BBCCA" w14:textId="77777777" w:rsidR="004278F9" w:rsidRPr="00877003" w:rsidRDefault="004278F9" w:rsidP="00104500">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7858CA6C" w14:textId="77777777" w:rsidR="004278F9" w:rsidRPr="00877003" w:rsidRDefault="00F7359B" w:rsidP="00F7359B">
            <w:pPr>
              <w:spacing w:after="0" w:line="240" w:lineRule="auto"/>
              <w:jc w:val="both"/>
              <w:rPr>
                <w:rFonts w:ascii="Arial" w:hAnsi="Arial" w:cs="Arial"/>
                <w:iCs/>
                <w:sz w:val="24"/>
                <w:szCs w:val="24"/>
              </w:rPr>
            </w:pPr>
            <w:r w:rsidRPr="00877003">
              <w:rPr>
                <w:rFonts w:ascii="Arial" w:hAnsi="Arial" w:cs="Arial"/>
                <w:iCs/>
                <w:sz w:val="24"/>
                <w:szCs w:val="24"/>
              </w:rPr>
              <w:t xml:space="preserve">Is industry action, such as advertising campaigns, lobbying, or corruption worsening gendered harms from toxics and harmful substances? If so, how? </w:t>
            </w:r>
          </w:p>
          <w:p w14:paraId="7CF66F7D" w14:textId="6031FA36" w:rsidR="00F7359B" w:rsidRPr="00877003" w:rsidRDefault="00F7359B" w:rsidP="00F7359B">
            <w:pPr>
              <w:spacing w:after="0" w:line="240" w:lineRule="auto"/>
              <w:jc w:val="both"/>
              <w:rPr>
                <w:rFonts w:ascii="Arial" w:hAnsi="Arial" w:cs="Arial"/>
                <w:iCs/>
                <w:sz w:val="24"/>
                <w:szCs w:val="24"/>
              </w:rPr>
            </w:pPr>
          </w:p>
        </w:tc>
        <w:tc>
          <w:tcPr>
            <w:tcW w:w="2681" w:type="pct"/>
          </w:tcPr>
          <w:p w14:paraId="1751C493" w14:textId="77777777" w:rsidR="004278F9" w:rsidRPr="00877003" w:rsidRDefault="002121D9" w:rsidP="00C15F99">
            <w:pPr>
              <w:spacing w:after="0" w:line="240" w:lineRule="auto"/>
              <w:jc w:val="both"/>
              <w:rPr>
                <w:rFonts w:ascii="Arial" w:hAnsi="Arial" w:cs="Arial"/>
                <w:bCs/>
                <w:sz w:val="24"/>
                <w:szCs w:val="24"/>
              </w:rPr>
            </w:pPr>
            <w:r w:rsidRPr="00877003">
              <w:rPr>
                <w:rFonts w:ascii="Arial" w:hAnsi="Arial" w:cs="Arial"/>
                <w:bCs/>
                <w:sz w:val="24"/>
                <w:szCs w:val="24"/>
              </w:rPr>
              <w:t>No relevant evidence/ information is available</w:t>
            </w:r>
          </w:p>
          <w:p w14:paraId="15201403" w14:textId="16E2D6A9" w:rsidR="002121D9" w:rsidRPr="00877003" w:rsidRDefault="002121D9" w:rsidP="00C15F99">
            <w:pPr>
              <w:spacing w:after="0" w:line="240" w:lineRule="auto"/>
              <w:jc w:val="both"/>
              <w:rPr>
                <w:rFonts w:ascii="Arial" w:hAnsi="Arial" w:cs="Arial"/>
                <w:b/>
                <w:bCs/>
                <w:color w:val="3333FF"/>
                <w:sz w:val="24"/>
                <w:szCs w:val="24"/>
              </w:rPr>
            </w:pPr>
          </w:p>
        </w:tc>
      </w:tr>
      <w:tr w:rsidR="002C7DD1" w:rsidRPr="00DB054F" w14:paraId="62C09AE7" w14:textId="77777777" w:rsidTr="002121D9">
        <w:tc>
          <w:tcPr>
            <w:tcW w:w="255" w:type="pct"/>
          </w:tcPr>
          <w:p w14:paraId="6FC81584" w14:textId="77777777" w:rsidR="002C7DD1" w:rsidRPr="00877003" w:rsidRDefault="002C7DD1" w:rsidP="002C7DD1">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69EE4B42" w14:textId="054974C6"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 xml:space="preserve">Is activism and investigative journalism regarding the harmful toxic makeup of products gendered? How may have the consequences of involvement in activism  and investigative journalism differed for men and </w:t>
            </w:r>
            <w:proofErr w:type="spellStart"/>
            <w:r w:rsidRPr="00877003">
              <w:rPr>
                <w:rFonts w:ascii="Arial" w:hAnsi="Arial" w:cs="Arial"/>
                <w:iCs/>
                <w:sz w:val="24"/>
                <w:szCs w:val="24"/>
              </w:rPr>
              <w:t>boys,women</w:t>
            </w:r>
            <w:proofErr w:type="spellEnd"/>
            <w:r w:rsidRPr="00877003">
              <w:rPr>
                <w:rFonts w:ascii="Arial" w:hAnsi="Arial" w:cs="Arial"/>
                <w:iCs/>
                <w:sz w:val="24"/>
                <w:szCs w:val="24"/>
              </w:rPr>
              <w:t xml:space="preserve"> and girls or one’s gender identity or sexual orientation? </w:t>
            </w:r>
          </w:p>
        </w:tc>
        <w:tc>
          <w:tcPr>
            <w:tcW w:w="2681" w:type="pct"/>
          </w:tcPr>
          <w:p w14:paraId="69286447" w14:textId="77777777" w:rsidR="002121D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No relevant evidence/ information is available</w:t>
            </w:r>
          </w:p>
          <w:p w14:paraId="75CA08CD" w14:textId="57300B25" w:rsidR="002C7DD1" w:rsidRPr="00877003" w:rsidRDefault="002C7DD1" w:rsidP="002C7DD1">
            <w:pPr>
              <w:spacing w:after="0" w:line="240" w:lineRule="auto"/>
              <w:jc w:val="both"/>
              <w:rPr>
                <w:rFonts w:ascii="Arial" w:hAnsi="Arial" w:cs="Arial"/>
                <w:b/>
                <w:bCs/>
                <w:color w:val="3333FF"/>
                <w:sz w:val="24"/>
                <w:szCs w:val="24"/>
              </w:rPr>
            </w:pPr>
          </w:p>
        </w:tc>
      </w:tr>
      <w:tr w:rsidR="002C7DD1" w:rsidRPr="00DB054F" w14:paraId="53481BB2" w14:textId="77777777" w:rsidTr="002121D9">
        <w:tc>
          <w:tcPr>
            <w:tcW w:w="255" w:type="pct"/>
          </w:tcPr>
          <w:p w14:paraId="6C94EFED" w14:textId="77777777" w:rsidR="002C7DD1" w:rsidRPr="00877003" w:rsidRDefault="002C7DD1" w:rsidP="002C7DD1">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12644377" w14:textId="77777777"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 xml:space="preserve">How have retrogression or backlashes on the rights of women and girls and the rights of LGBTIQ+ people at national, regional and international levels, impacted  the gendered harms from toxics? </w:t>
            </w:r>
          </w:p>
          <w:p w14:paraId="28C5501C" w14:textId="5E66374C" w:rsidR="002C7DD1" w:rsidRPr="00877003" w:rsidRDefault="002C7DD1" w:rsidP="002C7DD1">
            <w:pPr>
              <w:spacing w:after="0" w:line="240" w:lineRule="auto"/>
              <w:jc w:val="both"/>
              <w:rPr>
                <w:rFonts w:ascii="Arial" w:hAnsi="Arial" w:cs="Arial"/>
                <w:iCs/>
                <w:sz w:val="24"/>
                <w:szCs w:val="24"/>
              </w:rPr>
            </w:pPr>
          </w:p>
        </w:tc>
        <w:tc>
          <w:tcPr>
            <w:tcW w:w="2681" w:type="pct"/>
          </w:tcPr>
          <w:p w14:paraId="349F0323" w14:textId="5255ABBC" w:rsidR="002C7DD1" w:rsidRPr="00877003" w:rsidRDefault="002121D9" w:rsidP="002C7DD1">
            <w:pPr>
              <w:spacing w:after="0" w:line="240" w:lineRule="auto"/>
              <w:jc w:val="both"/>
              <w:rPr>
                <w:rFonts w:ascii="Arial" w:hAnsi="Arial" w:cs="Arial"/>
                <w:b/>
                <w:bCs/>
                <w:color w:val="3333FF"/>
                <w:sz w:val="24"/>
                <w:szCs w:val="24"/>
              </w:rPr>
            </w:pPr>
            <w:r w:rsidRPr="00877003">
              <w:rPr>
                <w:rFonts w:ascii="Arial" w:hAnsi="Arial" w:cs="Arial"/>
                <w:bCs/>
                <w:sz w:val="24"/>
                <w:szCs w:val="24"/>
              </w:rPr>
              <w:t>Retrogression or backlashes if any had insofar unrelated to impact gendered harm from toxic and its health effects.</w:t>
            </w:r>
          </w:p>
        </w:tc>
      </w:tr>
      <w:tr w:rsidR="002C7DD1" w:rsidRPr="00DB054F" w14:paraId="43EE52C5" w14:textId="77777777" w:rsidTr="002121D9">
        <w:tc>
          <w:tcPr>
            <w:tcW w:w="255" w:type="pct"/>
          </w:tcPr>
          <w:p w14:paraId="2BEDA3E2" w14:textId="77777777" w:rsidR="002C7DD1" w:rsidRPr="00877003" w:rsidRDefault="002C7DD1" w:rsidP="002C7DD1">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36644E10" w14:textId="77777777"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Examples of how community-based organizations or solidarity movements have successfully worked to reduce gendered harms from toxics or harmful substances, through building power, legislation, pressure on companies or community education, for example.</w:t>
            </w:r>
          </w:p>
          <w:p w14:paraId="56B4EF2A" w14:textId="20E96F6C"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 xml:space="preserve"> </w:t>
            </w:r>
          </w:p>
        </w:tc>
        <w:tc>
          <w:tcPr>
            <w:tcW w:w="2681" w:type="pct"/>
          </w:tcPr>
          <w:p w14:paraId="35E31588" w14:textId="77777777" w:rsidR="002344AD" w:rsidRPr="00877003" w:rsidRDefault="002344AD" w:rsidP="002C7DD1">
            <w:pPr>
              <w:spacing w:after="0" w:line="240" w:lineRule="auto"/>
              <w:jc w:val="both"/>
              <w:rPr>
                <w:rFonts w:ascii="Arial" w:hAnsi="Arial" w:cs="Arial"/>
                <w:sz w:val="24"/>
                <w:szCs w:val="24"/>
              </w:rPr>
            </w:pPr>
            <w:r w:rsidRPr="00877003">
              <w:rPr>
                <w:rFonts w:ascii="Arial" w:hAnsi="Arial" w:cs="Arial"/>
                <w:sz w:val="24"/>
                <w:szCs w:val="24"/>
              </w:rPr>
              <w:t>Irrespective of gender, Malaysia encourage</w:t>
            </w:r>
            <w:r w:rsidR="005A1779" w:rsidRPr="00877003">
              <w:rPr>
                <w:rFonts w:ascii="Arial" w:hAnsi="Arial" w:cs="Arial"/>
                <w:sz w:val="24"/>
                <w:szCs w:val="24"/>
              </w:rPr>
              <w:t>s</w:t>
            </w:r>
            <w:r w:rsidRPr="00877003">
              <w:rPr>
                <w:rFonts w:ascii="Arial" w:hAnsi="Arial" w:cs="Arial"/>
                <w:sz w:val="24"/>
                <w:szCs w:val="24"/>
              </w:rPr>
              <w:t xml:space="preserve"> movements or non-governmental associations to promote basic occupational safety and health principles in parallel with the ILO C187</w:t>
            </w:r>
            <w:r w:rsidR="002121D9" w:rsidRPr="00877003">
              <w:rPr>
                <w:rFonts w:ascii="Arial" w:hAnsi="Arial" w:cs="Arial"/>
                <w:sz w:val="24"/>
                <w:szCs w:val="24"/>
              </w:rPr>
              <w:t>.</w:t>
            </w:r>
          </w:p>
          <w:p w14:paraId="040DC1B4" w14:textId="77777777" w:rsidR="002121D9" w:rsidRPr="00877003" w:rsidRDefault="002121D9" w:rsidP="002C7DD1">
            <w:pPr>
              <w:spacing w:after="0" w:line="240" w:lineRule="auto"/>
              <w:jc w:val="both"/>
              <w:rPr>
                <w:rFonts w:ascii="Arial" w:hAnsi="Arial" w:cs="Arial"/>
                <w:b/>
                <w:bCs/>
                <w:color w:val="3333FF"/>
                <w:sz w:val="24"/>
                <w:szCs w:val="24"/>
              </w:rPr>
            </w:pPr>
          </w:p>
          <w:p w14:paraId="30C262D3" w14:textId="77777777" w:rsidR="002121D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Community based organisations/ solidarity movements are not restricted to provide the public on the information on gendered harms from toxics or harmful substance to increase awareness.</w:t>
            </w:r>
          </w:p>
          <w:p w14:paraId="2C55F486" w14:textId="77777777" w:rsidR="002121D9" w:rsidRPr="00877003" w:rsidRDefault="002121D9" w:rsidP="002121D9">
            <w:pPr>
              <w:spacing w:after="0" w:line="240" w:lineRule="auto"/>
              <w:jc w:val="both"/>
              <w:rPr>
                <w:rFonts w:ascii="Arial" w:hAnsi="Arial" w:cs="Arial"/>
                <w:bCs/>
                <w:sz w:val="24"/>
                <w:szCs w:val="24"/>
              </w:rPr>
            </w:pPr>
          </w:p>
          <w:p w14:paraId="70EAB707" w14:textId="77777777" w:rsidR="002121D9" w:rsidRPr="00877003" w:rsidRDefault="002121D9" w:rsidP="002121D9">
            <w:pPr>
              <w:spacing w:after="0" w:line="240" w:lineRule="auto"/>
              <w:jc w:val="both"/>
              <w:rPr>
                <w:rFonts w:ascii="Arial" w:hAnsi="Arial" w:cs="Arial"/>
                <w:bCs/>
                <w:sz w:val="24"/>
                <w:szCs w:val="24"/>
              </w:rPr>
            </w:pPr>
            <w:r w:rsidRPr="00877003">
              <w:rPr>
                <w:rFonts w:ascii="Arial" w:hAnsi="Arial" w:cs="Arial"/>
                <w:bCs/>
                <w:sz w:val="24"/>
                <w:szCs w:val="24"/>
              </w:rPr>
              <w:t>The government conducts Community Based Disaster Risk Management (CBDRM) to provide insight, knowledge, and awareness to the community and prepare them to respond towards exposure to harmful substances.</w:t>
            </w:r>
          </w:p>
          <w:p w14:paraId="764804D5" w14:textId="250CA38A" w:rsidR="002121D9" w:rsidRPr="00877003" w:rsidRDefault="002121D9" w:rsidP="002121D9">
            <w:pPr>
              <w:spacing w:after="0" w:line="240" w:lineRule="auto"/>
              <w:jc w:val="both"/>
              <w:rPr>
                <w:rFonts w:ascii="Arial" w:hAnsi="Arial" w:cs="Arial"/>
                <w:b/>
                <w:bCs/>
                <w:color w:val="3333FF"/>
                <w:sz w:val="24"/>
                <w:szCs w:val="24"/>
              </w:rPr>
            </w:pPr>
          </w:p>
        </w:tc>
      </w:tr>
      <w:tr w:rsidR="002C7DD1" w:rsidRPr="00DB054F" w14:paraId="46156E3E" w14:textId="77777777" w:rsidTr="002121D9">
        <w:tc>
          <w:tcPr>
            <w:tcW w:w="255" w:type="pct"/>
          </w:tcPr>
          <w:p w14:paraId="28EA1EEB" w14:textId="77777777" w:rsidR="002C7DD1" w:rsidRPr="00877003" w:rsidRDefault="002C7DD1" w:rsidP="002C7DD1">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4CC603EB" w14:textId="77777777"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Examples of how governments have addressed gendered harms of toxics and harmful substances, through regulations, training of medical and/or other public health practitioners or grant making, for example.</w:t>
            </w:r>
          </w:p>
          <w:p w14:paraId="38B0DE8F" w14:textId="2FE05913" w:rsidR="002C7DD1" w:rsidRPr="00877003" w:rsidRDefault="002C7DD1" w:rsidP="002C7DD1">
            <w:pPr>
              <w:spacing w:after="0" w:line="240" w:lineRule="auto"/>
              <w:jc w:val="both"/>
              <w:rPr>
                <w:rFonts w:ascii="Arial" w:hAnsi="Arial" w:cs="Arial"/>
                <w:iCs/>
                <w:sz w:val="24"/>
                <w:szCs w:val="24"/>
              </w:rPr>
            </w:pPr>
            <w:r w:rsidRPr="00877003">
              <w:rPr>
                <w:rFonts w:ascii="Arial" w:hAnsi="Arial" w:cs="Arial"/>
                <w:iCs/>
                <w:sz w:val="24"/>
                <w:szCs w:val="24"/>
              </w:rPr>
              <w:t xml:space="preserve"> </w:t>
            </w:r>
          </w:p>
        </w:tc>
        <w:tc>
          <w:tcPr>
            <w:tcW w:w="2681" w:type="pct"/>
          </w:tcPr>
          <w:p w14:paraId="5B3AD12A" w14:textId="5D15D4B4" w:rsidR="002C7DD1" w:rsidRPr="00877003" w:rsidRDefault="002C7DD1" w:rsidP="002C7DD1">
            <w:pPr>
              <w:spacing w:after="0" w:line="240" w:lineRule="auto"/>
              <w:jc w:val="both"/>
              <w:rPr>
                <w:rFonts w:ascii="Arial" w:hAnsi="Arial" w:cs="Arial"/>
                <w:sz w:val="24"/>
                <w:szCs w:val="24"/>
              </w:rPr>
            </w:pPr>
            <w:r w:rsidRPr="00877003">
              <w:rPr>
                <w:rFonts w:ascii="Arial" w:eastAsia="Times New Roman" w:hAnsi="Arial" w:cs="Arial"/>
                <w:bCs/>
                <w:sz w:val="24"/>
                <w:szCs w:val="24"/>
              </w:rPr>
              <w:t xml:space="preserve">Under </w:t>
            </w:r>
            <w:r w:rsidR="00137EA0" w:rsidRPr="00877003">
              <w:rPr>
                <w:rFonts w:ascii="Arial" w:eastAsia="Times New Roman" w:hAnsi="Arial" w:cs="Arial"/>
                <w:bCs/>
                <w:sz w:val="24"/>
                <w:szCs w:val="24"/>
              </w:rPr>
              <w:t xml:space="preserve">the </w:t>
            </w:r>
            <w:r w:rsidRPr="00877003">
              <w:rPr>
                <w:rFonts w:ascii="Arial" w:eastAsia="Times New Roman" w:hAnsi="Arial" w:cs="Arial"/>
                <w:bCs/>
                <w:sz w:val="24"/>
                <w:szCs w:val="24"/>
              </w:rPr>
              <w:t>USECHH regulations</w:t>
            </w:r>
            <w:r w:rsidR="00137EA0" w:rsidRPr="00877003">
              <w:rPr>
                <w:rFonts w:ascii="Arial" w:eastAsia="Times New Roman" w:hAnsi="Arial" w:cs="Arial"/>
                <w:bCs/>
                <w:sz w:val="24"/>
                <w:szCs w:val="24"/>
              </w:rPr>
              <w:t>, there is a provision which</w:t>
            </w:r>
            <w:r w:rsidRPr="00877003">
              <w:rPr>
                <w:rFonts w:ascii="Arial" w:eastAsia="Times New Roman" w:hAnsi="Arial" w:cs="Arial"/>
                <w:bCs/>
                <w:sz w:val="24"/>
                <w:szCs w:val="24"/>
              </w:rPr>
              <w:t xml:space="preserve"> require</w:t>
            </w:r>
            <w:r w:rsidR="00137EA0" w:rsidRPr="00877003">
              <w:rPr>
                <w:rFonts w:ascii="Arial" w:eastAsia="Times New Roman" w:hAnsi="Arial" w:cs="Arial"/>
                <w:bCs/>
                <w:sz w:val="24"/>
                <w:szCs w:val="24"/>
              </w:rPr>
              <w:t>s employers to give</w:t>
            </w:r>
            <w:r w:rsidRPr="00877003">
              <w:rPr>
                <w:rFonts w:ascii="Arial" w:eastAsia="Times New Roman" w:hAnsi="Arial" w:cs="Arial"/>
                <w:bCs/>
                <w:sz w:val="24"/>
                <w:szCs w:val="24"/>
              </w:rPr>
              <w:t xml:space="preserve"> information, instructions and training to all workers pertaining to chemicals once in two years.</w:t>
            </w:r>
            <w:r w:rsidR="00370176" w:rsidRPr="00877003">
              <w:rPr>
                <w:rFonts w:ascii="Arial" w:eastAsia="Times New Roman" w:hAnsi="Arial" w:cs="Arial"/>
                <w:bCs/>
                <w:sz w:val="24"/>
                <w:szCs w:val="24"/>
              </w:rPr>
              <w:t xml:space="preserve"> </w:t>
            </w:r>
            <w:r w:rsidR="00370176" w:rsidRPr="00877003">
              <w:rPr>
                <w:rFonts w:ascii="Arial" w:hAnsi="Arial" w:cs="Arial"/>
                <w:sz w:val="24"/>
                <w:szCs w:val="24"/>
              </w:rPr>
              <w:t>The Guidelines o</w:t>
            </w:r>
            <w:r w:rsidR="00B17A76" w:rsidRPr="00877003">
              <w:rPr>
                <w:rFonts w:ascii="Arial" w:hAnsi="Arial" w:cs="Arial"/>
                <w:sz w:val="24"/>
                <w:szCs w:val="24"/>
              </w:rPr>
              <w:t>n</w:t>
            </w:r>
            <w:r w:rsidR="00370176" w:rsidRPr="00877003">
              <w:rPr>
                <w:rFonts w:ascii="Arial" w:hAnsi="Arial" w:cs="Arial"/>
                <w:sz w:val="24"/>
                <w:szCs w:val="24"/>
              </w:rPr>
              <w:t xml:space="preserve"> Medical Surveillance Programme at The Workplace 2023 is published to guide employers and medical practitioners especially Occupational Health Doctors in complying to the USECHH Regulations. This guideline emphasises on </w:t>
            </w:r>
            <w:r w:rsidR="00EB58C7">
              <w:rPr>
                <w:rFonts w:ascii="Arial" w:hAnsi="Arial" w:cs="Arial"/>
                <w:sz w:val="24"/>
                <w:szCs w:val="24"/>
              </w:rPr>
              <w:t xml:space="preserve">the </w:t>
            </w:r>
            <w:r w:rsidR="00370176" w:rsidRPr="00877003">
              <w:rPr>
                <w:rFonts w:ascii="Arial" w:hAnsi="Arial" w:cs="Arial"/>
                <w:sz w:val="24"/>
                <w:szCs w:val="24"/>
              </w:rPr>
              <w:t xml:space="preserve">removal of workers exposed to harmful chemicals which can cause </w:t>
            </w:r>
            <w:r w:rsidR="00EB58C7">
              <w:rPr>
                <w:rFonts w:ascii="Arial" w:hAnsi="Arial" w:cs="Arial"/>
                <w:sz w:val="24"/>
                <w:szCs w:val="24"/>
              </w:rPr>
              <w:t>damage</w:t>
            </w:r>
            <w:r w:rsidR="00370176" w:rsidRPr="00877003">
              <w:rPr>
                <w:rFonts w:ascii="Arial" w:hAnsi="Arial" w:cs="Arial"/>
                <w:sz w:val="24"/>
                <w:szCs w:val="24"/>
              </w:rPr>
              <w:t xml:space="preserve"> to breast-feeding workers and foetus; and placement at other workstation which are free from harmful chemical substances. The worker can be returned to the respective workstation upon cessation of pregnancy and breastfeeding.</w:t>
            </w:r>
          </w:p>
          <w:p w14:paraId="7AE2A7AC" w14:textId="644771AF" w:rsidR="002121D9" w:rsidRPr="00877003" w:rsidRDefault="002121D9" w:rsidP="002C7DD1">
            <w:pPr>
              <w:spacing w:after="0" w:line="240" w:lineRule="auto"/>
              <w:jc w:val="both"/>
              <w:rPr>
                <w:rFonts w:ascii="Arial" w:hAnsi="Arial" w:cs="Arial"/>
                <w:sz w:val="24"/>
                <w:szCs w:val="24"/>
              </w:rPr>
            </w:pPr>
          </w:p>
          <w:p w14:paraId="23E13EB0" w14:textId="7EBA5DED" w:rsidR="002121D9" w:rsidRPr="00877003" w:rsidRDefault="002121D9" w:rsidP="002121D9">
            <w:pPr>
              <w:spacing w:after="0" w:line="240" w:lineRule="auto"/>
              <w:jc w:val="both"/>
              <w:rPr>
                <w:rFonts w:ascii="Arial" w:hAnsi="Arial" w:cs="Arial"/>
                <w:sz w:val="24"/>
                <w:szCs w:val="24"/>
              </w:rPr>
            </w:pPr>
            <w:r w:rsidRPr="00877003">
              <w:rPr>
                <w:rFonts w:ascii="Arial" w:hAnsi="Arial" w:cs="Arial"/>
                <w:bCs/>
                <w:sz w:val="24"/>
                <w:szCs w:val="24"/>
              </w:rPr>
              <w:lastRenderedPageBreak/>
              <w:t>The government, from time to time, improves guidelines and protocols for government agencies in management of chemical incidents and increase the numbers of trainings and simulations for public health specialists, which include trainings on mercury related issues and subspecialty of toxicology. There is also capacity building of Environmental Health Officers (EHO), who are trained in the knowledge of environment and toxic substances.</w:t>
            </w:r>
          </w:p>
          <w:p w14:paraId="7456EED6" w14:textId="1899B17D" w:rsidR="002121D9" w:rsidRPr="00877003" w:rsidRDefault="002121D9" w:rsidP="002C7DD1">
            <w:pPr>
              <w:spacing w:after="0" w:line="240" w:lineRule="auto"/>
              <w:jc w:val="both"/>
              <w:rPr>
                <w:rFonts w:ascii="Arial" w:hAnsi="Arial" w:cs="Arial"/>
                <w:bCs/>
                <w:color w:val="3333FF"/>
                <w:sz w:val="24"/>
                <w:szCs w:val="24"/>
              </w:rPr>
            </w:pPr>
          </w:p>
        </w:tc>
      </w:tr>
      <w:tr w:rsidR="00923030" w:rsidRPr="00DB054F" w14:paraId="0F84F150" w14:textId="77777777" w:rsidTr="002121D9">
        <w:trPr>
          <w:trHeight w:val="1148"/>
        </w:trPr>
        <w:tc>
          <w:tcPr>
            <w:tcW w:w="255" w:type="pct"/>
          </w:tcPr>
          <w:p w14:paraId="561C7533" w14:textId="77777777" w:rsidR="00923030" w:rsidRPr="00877003" w:rsidRDefault="00923030" w:rsidP="002C7DD1">
            <w:pPr>
              <w:pStyle w:val="ListParagraph"/>
              <w:numPr>
                <w:ilvl w:val="0"/>
                <w:numId w:val="3"/>
              </w:numPr>
              <w:spacing w:after="0" w:line="240" w:lineRule="auto"/>
              <w:ind w:right="42"/>
              <w:jc w:val="both"/>
              <w:rPr>
                <w:rFonts w:ascii="Arial" w:hAnsi="Arial" w:cs="Arial"/>
                <w:color w:val="7030A0"/>
                <w:sz w:val="24"/>
                <w:szCs w:val="24"/>
              </w:rPr>
            </w:pPr>
          </w:p>
        </w:tc>
        <w:tc>
          <w:tcPr>
            <w:tcW w:w="2064" w:type="pct"/>
          </w:tcPr>
          <w:p w14:paraId="1CC90BF5" w14:textId="2490740F" w:rsidR="00923030" w:rsidRPr="00877003" w:rsidRDefault="00923030" w:rsidP="002C7DD1">
            <w:pPr>
              <w:spacing w:after="0" w:line="240" w:lineRule="auto"/>
              <w:jc w:val="both"/>
              <w:rPr>
                <w:rFonts w:ascii="Arial" w:hAnsi="Arial" w:cs="Arial"/>
                <w:b/>
                <w:bCs/>
                <w:iCs/>
                <w:sz w:val="24"/>
                <w:szCs w:val="24"/>
              </w:rPr>
            </w:pPr>
            <w:r w:rsidRPr="00877003">
              <w:rPr>
                <w:rFonts w:ascii="Arial" w:hAnsi="Arial" w:cs="Arial"/>
                <w:b/>
                <w:bCs/>
                <w:iCs/>
                <w:sz w:val="24"/>
                <w:szCs w:val="24"/>
              </w:rPr>
              <w:t>Suggestion</w:t>
            </w:r>
            <w:r w:rsidR="002121D9" w:rsidRPr="00877003">
              <w:rPr>
                <w:rFonts w:ascii="Arial" w:hAnsi="Arial" w:cs="Arial"/>
                <w:b/>
                <w:bCs/>
                <w:iCs/>
                <w:sz w:val="24"/>
                <w:szCs w:val="24"/>
              </w:rPr>
              <w:t xml:space="preserve"> from DOSH</w:t>
            </w:r>
            <w:r w:rsidRPr="00877003">
              <w:rPr>
                <w:rFonts w:ascii="Arial" w:hAnsi="Arial" w:cs="Arial"/>
                <w:b/>
                <w:bCs/>
                <w:iCs/>
                <w:sz w:val="24"/>
                <w:szCs w:val="24"/>
              </w:rPr>
              <w:t xml:space="preserve">: </w:t>
            </w:r>
          </w:p>
        </w:tc>
        <w:tc>
          <w:tcPr>
            <w:tcW w:w="2681" w:type="pct"/>
          </w:tcPr>
          <w:p w14:paraId="14ADCDA3" w14:textId="77777777" w:rsidR="00923030" w:rsidRPr="00877003" w:rsidRDefault="00923030" w:rsidP="002C7DD1">
            <w:pPr>
              <w:spacing w:after="0" w:line="240" w:lineRule="auto"/>
              <w:jc w:val="both"/>
              <w:rPr>
                <w:rFonts w:ascii="Arial" w:hAnsi="Arial" w:cs="Arial"/>
                <w:b/>
                <w:bCs/>
                <w:sz w:val="24"/>
                <w:szCs w:val="24"/>
              </w:rPr>
            </w:pPr>
            <w:r w:rsidRPr="00877003">
              <w:rPr>
                <w:rFonts w:ascii="Arial" w:hAnsi="Arial" w:cs="Arial"/>
                <w:b/>
                <w:bCs/>
                <w:sz w:val="24"/>
                <w:szCs w:val="24"/>
              </w:rPr>
              <w:t xml:space="preserve">To collaborate </w:t>
            </w:r>
            <w:r w:rsidR="00B45E4A" w:rsidRPr="00877003">
              <w:rPr>
                <w:rFonts w:ascii="Arial" w:hAnsi="Arial" w:cs="Arial"/>
                <w:b/>
                <w:bCs/>
                <w:sz w:val="24"/>
                <w:szCs w:val="24"/>
              </w:rPr>
              <w:t>and</w:t>
            </w:r>
            <w:r w:rsidRPr="00877003">
              <w:rPr>
                <w:rFonts w:ascii="Arial" w:hAnsi="Arial" w:cs="Arial"/>
                <w:b/>
                <w:bCs/>
                <w:sz w:val="24"/>
                <w:szCs w:val="24"/>
              </w:rPr>
              <w:t xml:space="preserve"> </w:t>
            </w:r>
            <w:r w:rsidR="00B45E4A" w:rsidRPr="00877003">
              <w:rPr>
                <w:rFonts w:ascii="Arial" w:hAnsi="Arial" w:cs="Arial"/>
                <w:b/>
                <w:bCs/>
                <w:sz w:val="24"/>
                <w:szCs w:val="24"/>
              </w:rPr>
              <w:t>integrate these issues with the working groups under United Nation</w:t>
            </w:r>
            <w:r w:rsidR="00934CBB" w:rsidRPr="00877003">
              <w:rPr>
                <w:rFonts w:ascii="Arial" w:hAnsi="Arial" w:cs="Arial"/>
                <w:b/>
                <w:bCs/>
                <w:sz w:val="24"/>
                <w:szCs w:val="24"/>
              </w:rPr>
              <w:t>s Economic and Social Council’s Sub-Committee of Experts on the Globally Harmonized System of Classification and Labelling of Chemicals (UNSCEGHS).</w:t>
            </w:r>
          </w:p>
          <w:p w14:paraId="67DC7517" w14:textId="59510807" w:rsidR="002121D9" w:rsidRPr="00877003" w:rsidRDefault="002121D9" w:rsidP="002C7DD1">
            <w:pPr>
              <w:spacing w:after="0" w:line="240" w:lineRule="auto"/>
              <w:jc w:val="both"/>
              <w:rPr>
                <w:rFonts w:ascii="Arial" w:hAnsi="Arial" w:cs="Arial"/>
                <w:b/>
                <w:bCs/>
                <w:sz w:val="24"/>
                <w:szCs w:val="24"/>
              </w:rPr>
            </w:pPr>
          </w:p>
        </w:tc>
      </w:tr>
    </w:tbl>
    <w:p w14:paraId="1AEB7252" w14:textId="321A4B54" w:rsidR="00B61E63" w:rsidRDefault="00C15F99" w:rsidP="00B61E63">
      <w:pPr>
        <w:spacing w:after="0" w:line="240" w:lineRule="auto"/>
        <w:jc w:val="both"/>
        <w:rPr>
          <w:rFonts w:ascii="Arial" w:hAnsi="Arial" w:cs="Arial"/>
          <w:sz w:val="24"/>
          <w:szCs w:val="24"/>
        </w:rPr>
      </w:pPr>
      <w:r w:rsidRPr="00C15F99">
        <w:rPr>
          <w:rFonts w:ascii="Arial" w:hAnsi="Arial" w:cs="Arial"/>
          <w:sz w:val="24"/>
          <w:szCs w:val="24"/>
        </w:rPr>
        <w:t xml:space="preserve">Note: </w:t>
      </w:r>
    </w:p>
    <w:p w14:paraId="01CC98A6" w14:textId="13209C59" w:rsidR="00B61E63" w:rsidRPr="004F117A" w:rsidRDefault="00F7359B" w:rsidP="00F7359B">
      <w:pPr>
        <w:pStyle w:val="ListParagraph"/>
        <w:numPr>
          <w:ilvl w:val="0"/>
          <w:numId w:val="19"/>
        </w:numPr>
        <w:spacing w:after="0" w:line="240" w:lineRule="auto"/>
        <w:jc w:val="both"/>
        <w:rPr>
          <w:rFonts w:ascii="Arial" w:hAnsi="Arial" w:cs="Arial"/>
          <w:sz w:val="24"/>
          <w:szCs w:val="24"/>
        </w:rPr>
      </w:pPr>
      <w:r w:rsidRPr="004F117A">
        <w:rPr>
          <w:rFonts w:ascii="Arial" w:hAnsi="Arial" w:cs="Arial"/>
          <w:sz w:val="24"/>
          <w:szCs w:val="24"/>
        </w:rPr>
        <w:t xml:space="preserve">Reports, academic studies, and other types of background materials can be attached as an annex to the input. </w:t>
      </w:r>
    </w:p>
    <w:p w14:paraId="0520AB41" w14:textId="3A720024" w:rsidR="00F7359B" w:rsidRPr="00F7359B" w:rsidRDefault="004F117A" w:rsidP="00F7359B">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Please</w:t>
      </w:r>
      <w:r w:rsidRPr="004F117A">
        <w:rPr>
          <w:rFonts w:ascii="Arial" w:hAnsi="Arial" w:cs="Arial"/>
          <w:sz w:val="24"/>
          <w:szCs w:val="24"/>
        </w:rPr>
        <w:t xml:space="preserve"> limit your contributions to a maximum of 2,500 w</w:t>
      </w:r>
      <w:r>
        <w:rPr>
          <w:rFonts w:ascii="Arial" w:hAnsi="Arial" w:cs="Arial"/>
          <w:sz w:val="24"/>
          <w:szCs w:val="24"/>
        </w:rPr>
        <w:t>ords.</w:t>
      </w:r>
    </w:p>
    <w:sectPr w:rsidR="00F7359B" w:rsidRPr="00F7359B" w:rsidSect="004D789D">
      <w:headerReference w:type="default" r:id="rId7"/>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AC23" w14:textId="77777777" w:rsidR="00C423D0" w:rsidRDefault="00C423D0">
      <w:pPr>
        <w:spacing w:line="240" w:lineRule="auto"/>
      </w:pPr>
      <w:r>
        <w:separator/>
      </w:r>
    </w:p>
  </w:endnote>
  <w:endnote w:type="continuationSeparator" w:id="0">
    <w:p w14:paraId="62BBB1A2" w14:textId="77777777" w:rsidR="00C423D0" w:rsidRDefault="00C4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E58D" w14:textId="77777777" w:rsidR="00C423D0" w:rsidRDefault="00C423D0">
      <w:pPr>
        <w:spacing w:after="0"/>
      </w:pPr>
      <w:r>
        <w:separator/>
      </w:r>
    </w:p>
  </w:footnote>
  <w:footnote w:type="continuationSeparator" w:id="0">
    <w:p w14:paraId="27C26534" w14:textId="77777777" w:rsidR="00C423D0" w:rsidRDefault="00C423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6EDBB913" w:rsidR="00505CF3" w:rsidRPr="00505CF3" w:rsidRDefault="00505CF3" w:rsidP="00505CF3">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D34F55"/>
    <w:multiLevelType w:val="hybridMultilevel"/>
    <w:tmpl w:val="BD4C9CEE"/>
    <w:lvl w:ilvl="0" w:tplc="BBA8C65E">
      <w:start w:val="1"/>
      <w:numFmt w:val="lowerRoman"/>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50170"/>
    <w:multiLevelType w:val="hybridMultilevel"/>
    <w:tmpl w:val="E3E213E8"/>
    <w:lvl w:ilvl="0" w:tplc="84728968">
      <w:start w:val="1"/>
      <w:numFmt w:val="lowerRoman"/>
      <w:lvlText w:val="(%1)"/>
      <w:lvlJc w:val="left"/>
      <w:pPr>
        <w:ind w:left="1080" w:hanging="720"/>
      </w:pPr>
      <w:rPr>
        <w:rFonts w:asciiTheme="minorHAnsi" w:hAnsiTheme="minorHAnsi" w:cstheme="minorBid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0C515AB"/>
    <w:multiLevelType w:val="hybridMultilevel"/>
    <w:tmpl w:val="18F61292"/>
    <w:lvl w:ilvl="0" w:tplc="F5CEA128">
      <w:start w:val="5"/>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25455459">
    <w:abstractNumId w:val="4"/>
  </w:num>
  <w:num w:numId="2" w16cid:durableId="282658391">
    <w:abstractNumId w:val="6"/>
  </w:num>
  <w:num w:numId="3" w16cid:durableId="588269340">
    <w:abstractNumId w:val="9"/>
  </w:num>
  <w:num w:numId="4" w16cid:durableId="768934645">
    <w:abstractNumId w:val="5"/>
  </w:num>
  <w:num w:numId="5" w16cid:durableId="1214655325">
    <w:abstractNumId w:val="13"/>
  </w:num>
  <w:num w:numId="6" w16cid:durableId="347563095">
    <w:abstractNumId w:val="7"/>
  </w:num>
  <w:num w:numId="7" w16cid:durableId="1165821876">
    <w:abstractNumId w:val="11"/>
  </w:num>
  <w:num w:numId="8" w16cid:durableId="2141027990">
    <w:abstractNumId w:val="17"/>
  </w:num>
  <w:num w:numId="9" w16cid:durableId="558127035">
    <w:abstractNumId w:val="15"/>
  </w:num>
  <w:num w:numId="10" w16cid:durableId="970600722">
    <w:abstractNumId w:val="0"/>
  </w:num>
  <w:num w:numId="11" w16cid:durableId="1032418038">
    <w:abstractNumId w:val="10"/>
  </w:num>
  <w:num w:numId="12" w16cid:durableId="2087221179">
    <w:abstractNumId w:val="20"/>
  </w:num>
  <w:num w:numId="13" w16cid:durableId="131557582">
    <w:abstractNumId w:val="8"/>
  </w:num>
  <w:num w:numId="14" w16cid:durableId="1632978200">
    <w:abstractNumId w:val="16"/>
  </w:num>
  <w:num w:numId="15" w16cid:durableId="657615233">
    <w:abstractNumId w:val="12"/>
  </w:num>
  <w:num w:numId="16" w16cid:durableId="751465627">
    <w:abstractNumId w:val="3"/>
  </w:num>
  <w:num w:numId="17" w16cid:durableId="648048804">
    <w:abstractNumId w:val="19"/>
  </w:num>
  <w:num w:numId="18" w16cid:durableId="1293436142">
    <w:abstractNumId w:val="1"/>
  </w:num>
  <w:num w:numId="19" w16cid:durableId="1637179894">
    <w:abstractNumId w:val="18"/>
  </w:num>
  <w:num w:numId="20" w16cid:durableId="1080519528">
    <w:abstractNumId w:val="2"/>
  </w:num>
  <w:num w:numId="21" w16cid:durableId="1150173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MqgFAFBfCAYtAAAA"/>
  </w:docVars>
  <w:rsids>
    <w:rsidRoot w:val="00ED43A0"/>
    <w:rsid w:val="00003819"/>
    <w:rsid w:val="000135E3"/>
    <w:rsid w:val="00016404"/>
    <w:rsid w:val="00020C0C"/>
    <w:rsid w:val="0002172A"/>
    <w:rsid w:val="00023C7E"/>
    <w:rsid w:val="00040257"/>
    <w:rsid w:val="00045447"/>
    <w:rsid w:val="000541E0"/>
    <w:rsid w:val="0007538B"/>
    <w:rsid w:val="00085D8E"/>
    <w:rsid w:val="00097E78"/>
    <w:rsid w:val="000A370F"/>
    <w:rsid w:val="000B451F"/>
    <w:rsid w:val="000C0F31"/>
    <w:rsid w:val="000D1E60"/>
    <w:rsid w:val="000D5A2E"/>
    <w:rsid w:val="000E48F2"/>
    <w:rsid w:val="000F0A86"/>
    <w:rsid w:val="00104500"/>
    <w:rsid w:val="0010566B"/>
    <w:rsid w:val="00105A79"/>
    <w:rsid w:val="00107D15"/>
    <w:rsid w:val="00107D25"/>
    <w:rsid w:val="001354A1"/>
    <w:rsid w:val="00136C00"/>
    <w:rsid w:val="00137EA0"/>
    <w:rsid w:val="00143109"/>
    <w:rsid w:val="00156EC4"/>
    <w:rsid w:val="00157614"/>
    <w:rsid w:val="001576B2"/>
    <w:rsid w:val="00161A1F"/>
    <w:rsid w:val="00161ED9"/>
    <w:rsid w:val="00162584"/>
    <w:rsid w:val="00167EE3"/>
    <w:rsid w:val="00172437"/>
    <w:rsid w:val="001800B5"/>
    <w:rsid w:val="001805F8"/>
    <w:rsid w:val="00182183"/>
    <w:rsid w:val="0018419C"/>
    <w:rsid w:val="00186859"/>
    <w:rsid w:val="001934A6"/>
    <w:rsid w:val="001A15D2"/>
    <w:rsid w:val="001B19BD"/>
    <w:rsid w:val="001B5CA5"/>
    <w:rsid w:val="001C1B4B"/>
    <w:rsid w:val="001C4ACB"/>
    <w:rsid w:val="001D23E8"/>
    <w:rsid w:val="001E07DB"/>
    <w:rsid w:val="001E36D0"/>
    <w:rsid w:val="001E5581"/>
    <w:rsid w:val="001F5FAC"/>
    <w:rsid w:val="001F76BA"/>
    <w:rsid w:val="00200D1E"/>
    <w:rsid w:val="002121D9"/>
    <w:rsid w:val="0022102E"/>
    <w:rsid w:val="0023365B"/>
    <w:rsid w:val="002344AD"/>
    <w:rsid w:val="00243A2B"/>
    <w:rsid w:val="00246425"/>
    <w:rsid w:val="002526EE"/>
    <w:rsid w:val="00253E21"/>
    <w:rsid w:val="002613F2"/>
    <w:rsid w:val="00263AA9"/>
    <w:rsid w:val="00267534"/>
    <w:rsid w:val="0029661C"/>
    <w:rsid w:val="002B12A1"/>
    <w:rsid w:val="002B3916"/>
    <w:rsid w:val="002B6031"/>
    <w:rsid w:val="002B7F60"/>
    <w:rsid w:val="002C2A4E"/>
    <w:rsid w:val="002C7DD1"/>
    <w:rsid w:val="002E2C8D"/>
    <w:rsid w:val="002E3053"/>
    <w:rsid w:val="002E3D3F"/>
    <w:rsid w:val="00302BFA"/>
    <w:rsid w:val="00303C1E"/>
    <w:rsid w:val="003136BC"/>
    <w:rsid w:val="0031548B"/>
    <w:rsid w:val="00317098"/>
    <w:rsid w:val="003360C3"/>
    <w:rsid w:val="003423E6"/>
    <w:rsid w:val="003521D5"/>
    <w:rsid w:val="00353E4C"/>
    <w:rsid w:val="00365CB3"/>
    <w:rsid w:val="00370176"/>
    <w:rsid w:val="003723FB"/>
    <w:rsid w:val="00380BFD"/>
    <w:rsid w:val="00381D42"/>
    <w:rsid w:val="003A3E31"/>
    <w:rsid w:val="003B4D69"/>
    <w:rsid w:val="003B61CA"/>
    <w:rsid w:val="003B73C0"/>
    <w:rsid w:val="003B7F95"/>
    <w:rsid w:val="003C21EC"/>
    <w:rsid w:val="003C5844"/>
    <w:rsid w:val="003C617A"/>
    <w:rsid w:val="003C7372"/>
    <w:rsid w:val="003D108F"/>
    <w:rsid w:val="003D26C7"/>
    <w:rsid w:val="003E1EF3"/>
    <w:rsid w:val="003F1E41"/>
    <w:rsid w:val="003F2411"/>
    <w:rsid w:val="003F2898"/>
    <w:rsid w:val="00403700"/>
    <w:rsid w:val="00404E4A"/>
    <w:rsid w:val="00406D2D"/>
    <w:rsid w:val="00425905"/>
    <w:rsid w:val="004278F9"/>
    <w:rsid w:val="00436585"/>
    <w:rsid w:val="004567F8"/>
    <w:rsid w:val="004743DE"/>
    <w:rsid w:val="004755BA"/>
    <w:rsid w:val="0047646F"/>
    <w:rsid w:val="00496A07"/>
    <w:rsid w:val="00497F42"/>
    <w:rsid w:val="004A2C80"/>
    <w:rsid w:val="004D789D"/>
    <w:rsid w:val="004E2543"/>
    <w:rsid w:val="004F117A"/>
    <w:rsid w:val="004F5857"/>
    <w:rsid w:val="004F7F79"/>
    <w:rsid w:val="0050313D"/>
    <w:rsid w:val="00505CF3"/>
    <w:rsid w:val="005062B9"/>
    <w:rsid w:val="00510268"/>
    <w:rsid w:val="00512A4A"/>
    <w:rsid w:val="00531B32"/>
    <w:rsid w:val="005346FE"/>
    <w:rsid w:val="00537872"/>
    <w:rsid w:val="005609E2"/>
    <w:rsid w:val="00597D2C"/>
    <w:rsid w:val="005A09BF"/>
    <w:rsid w:val="005A0A0A"/>
    <w:rsid w:val="005A105F"/>
    <w:rsid w:val="005A1779"/>
    <w:rsid w:val="005A1FA0"/>
    <w:rsid w:val="005A5A4D"/>
    <w:rsid w:val="005B0E2C"/>
    <w:rsid w:val="005B2134"/>
    <w:rsid w:val="005D0DA1"/>
    <w:rsid w:val="005D708B"/>
    <w:rsid w:val="005D7129"/>
    <w:rsid w:val="005F036C"/>
    <w:rsid w:val="005F0D8F"/>
    <w:rsid w:val="00621E68"/>
    <w:rsid w:val="00636D5B"/>
    <w:rsid w:val="00641E11"/>
    <w:rsid w:val="00647C21"/>
    <w:rsid w:val="006612D6"/>
    <w:rsid w:val="00686C73"/>
    <w:rsid w:val="006B4916"/>
    <w:rsid w:val="006B7592"/>
    <w:rsid w:val="006C553B"/>
    <w:rsid w:val="006D25D3"/>
    <w:rsid w:val="006D4C05"/>
    <w:rsid w:val="006D675C"/>
    <w:rsid w:val="006F7F63"/>
    <w:rsid w:val="00705526"/>
    <w:rsid w:val="00707E07"/>
    <w:rsid w:val="00710669"/>
    <w:rsid w:val="00713745"/>
    <w:rsid w:val="00714247"/>
    <w:rsid w:val="00716FC0"/>
    <w:rsid w:val="00724B79"/>
    <w:rsid w:val="00730F1D"/>
    <w:rsid w:val="007354DA"/>
    <w:rsid w:val="00736A9B"/>
    <w:rsid w:val="00743BA6"/>
    <w:rsid w:val="0075101A"/>
    <w:rsid w:val="00753E66"/>
    <w:rsid w:val="00756C5A"/>
    <w:rsid w:val="00761F40"/>
    <w:rsid w:val="0076505E"/>
    <w:rsid w:val="007719A3"/>
    <w:rsid w:val="00776AE7"/>
    <w:rsid w:val="007A5241"/>
    <w:rsid w:val="007B2F06"/>
    <w:rsid w:val="007C3A61"/>
    <w:rsid w:val="007C3ACF"/>
    <w:rsid w:val="007C3BDE"/>
    <w:rsid w:val="007C3F2D"/>
    <w:rsid w:val="007E315A"/>
    <w:rsid w:val="007E3BF0"/>
    <w:rsid w:val="007E5D8C"/>
    <w:rsid w:val="007E7C5C"/>
    <w:rsid w:val="007E7ECF"/>
    <w:rsid w:val="007F04C8"/>
    <w:rsid w:val="007F31F1"/>
    <w:rsid w:val="008059D9"/>
    <w:rsid w:val="00817A9A"/>
    <w:rsid w:val="0082364A"/>
    <w:rsid w:val="008354D7"/>
    <w:rsid w:val="008411FF"/>
    <w:rsid w:val="00845081"/>
    <w:rsid w:val="00855BE1"/>
    <w:rsid w:val="00866747"/>
    <w:rsid w:val="00877003"/>
    <w:rsid w:val="00877571"/>
    <w:rsid w:val="00882CFB"/>
    <w:rsid w:val="0088375C"/>
    <w:rsid w:val="00890F4D"/>
    <w:rsid w:val="00891A9C"/>
    <w:rsid w:val="0089449B"/>
    <w:rsid w:val="008954DA"/>
    <w:rsid w:val="008A28F7"/>
    <w:rsid w:val="008A3B76"/>
    <w:rsid w:val="008C3CE9"/>
    <w:rsid w:val="008C5199"/>
    <w:rsid w:val="008E6F50"/>
    <w:rsid w:val="008F4E19"/>
    <w:rsid w:val="008F74E2"/>
    <w:rsid w:val="00902890"/>
    <w:rsid w:val="00902CDF"/>
    <w:rsid w:val="00923030"/>
    <w:rsid w:val="00923CE7"/>
    <w:rsid w:val="00934CBB"/>
    <w:rsid w:val="00936D81"/>
    <w:rsid w:val="00937921"/>
    <w:rsid w:val="00940B08"/>
    <w:rsid w:val="00945D22"/>
    <w:rsid w:val="0095523D"/>
    <w:rsid w:val="009708F7"/>
    <w:rsid w:val="009737D6"/>
    <w:rsid w:val="009778C8"/>
    <w:rsid w:val="009814EF"/>
    <w:rsid w:val="00990029"/>
    <w:rsid w:val="009915E5"/>
    <w:rsid w:val="00991E76"/>
    <w:rsid w:val="009A0D0E"/>
    <w:rsid w:val="009A1EAF"/>
    <w:rsid w:val="009A7058"/>
    <w:rsid w:val="009B16BE"/>
    <w:rsid w:val="009C4135"/>
    <w:rsid w:val="009C5CC0"/>
    <w:rsid w:val="009D1987"/>
    <w:rsid w:val="009E0EFE"/>
    <w:rsid w:val="009E2469"/>
    <w:rsid w:val="009F1891"/>
    <w:rsid w:val="00A1396B"/>
    <w:rsid w:val="00A13BEA"/>
    <w:rsid w:val="00A2317A"/>
    <w:rsid w:val="00A26477"/>
    <w:rsid w:val="00A3003F"/>
    <w:rsid w:val="00A368AB"/>
    <w:rsid w:val="00A41656"/>
    <w:rsid w:val="00A50F89"/>
    <w:rsid w:val="00A51947"/>
    <w:rsid w:val="00A65675"/>
    <w:rsid w:val="00A80C79"/>
    <w:rsid w:val="00A82229"/>
    <w:rsid w:val="00A97CC0"/>
    <w:rsid w:val="00AA20D3"/>
    <w:rsid w:val="00AB499E"/>
    <w:rsid w:val="00AC3C07"/>
    <w:rsid w:val="00AC608B"/>
    <w:rsid w:val="00AE67EC"/>
    <w:rsid w:val="00AF3224"/>
    <w:rsid w:val="00B00A94"/>
    <w:rsid w:val="00B01876"/>
    <w:rsid w:val="00B07122"/>
    <w:rsid w:val="00B10619"/>
    <w:rsid w:val="00B17A76"/>
    <w:rsid w:val="00B229A4"/>
    <w:rsid w:val="00B353AE"/>
    <w:rsid w:val="00B42895"/>
    <w:rsid w:val="00B45E4A"/>
    <w:rsid w:val="00B55022"/>
    <w:rsid w:val="00B5760F"/>
    <w:rsid w:val="00B61710"/>
    <w:rsid w:val="00B61E63"/>
    <w:rsid w:val="00B64BE8"/>
    <w:rsid w:val="00B662D6"/>
    <w:rsid w:val="00B748DA"/>
    <w:rsid w:val="00B762F6"/>
    <w:rsid w:val="00B77915"/>
    <w:rsid w:val="00B9109A"/>
    <w:rsid w:val="00B95FBB"/>
    <w:rsid w:val="00BA26D1"/>
    <w:rsid w:val="00BB4BB5"/>
    <w:rsid w:val="00BB5CDC"/>
    <w:rsid w:val="00BB64CE"/>
    <w:rsid w:val="00BB7FA3"/>
    <w:rsid w:val="00BC3D4B"/>
    <w:rsid w:val="00BD378C"/>
    <w:rsid w:val="00BD44AB"/>
    <w:rsid w:val="00BD5DB8"/>
    <w:rsid w:val="00BF5928"/>
    <w:rsid w:val="00C0106C"/>
    <w:rsid w:val="00C05ACB"/>
    <w:rsid w:val="00C10BB0"/>
    <w:rsid w:val="00C11560"/>
    <w:rsid w:val="00C14053"/>
    <w:rsid w:val="00C14949"/>
    <w:rsid w:val="00C149E7"/>
    <w:rsid w:val="00C15F99"/>
    <w:rsid w:val="00C25ED5"/>
    <w:rsid w:val="00C3257E"/>
    <w:rsid w:val="00C371C6"/>
    <w:rsid w:val="00C423D0"/>
    <w:rsid w:val="00C71A0E"/>
    <w:rsid w:val="00C72115"/>
    <w:rsid w:val="00C72743"/>
    <w:rsid w:val="00C90110"/>
    <w:rsid w:val="00CA670E"/>
    <w:rsid w:val="00CA7AB8"/>
    <w:rsid w:val="00CB5ABD"/>
    <w:rsid w:val="00CC0B40"/>
    <w:rsid w:val="00CD10F6"/>
    <w:rsid w:val="00CD36A9"/>
    <w:rsid w:val="00CD790E"/>
    <w:rsid w:val="00CF2D91"/>
    <w:rsid w:val="00CF5A8C"/>
    <w:rsid w:val="00D1007F"/>
    <w:rsid w:val="00D10751"/>
    <w:rsid w:val="00D10DD6"/>
    <w:rsid w:val="00D1364A"/>
    <w:rsid w:val="00D230BE"/>
    <w:rsid w:val="00D31FBC"/>
    <w:rsid w:val="00D3293C"/>
    <w:rsid w:val="00D4786A"/>
    <w:rsid w:val="00D76C5C"/>
    <w:rsid w:val="00D76E62"/>
    <w:rsid w:val="00D822A6"/>
    <w:rsid w:val="00D84677"/>
    <w:rsid w:val="00DA7879"/>
    <w:rsid w:val="00DB04BE"/>
    <w:rsid w:val="00DB054F"/>
    <w:rsid w:val="00DB7BAD"/>
    <w:rsid w:val="00DD0B40"/>
    <w:rsid w:val="00DD4195"/>
    <w:rsid w:val="00DD7B32"/>
    <w:rsid w:val="00DD7E4E"/>
    <w:rsid w:val="00DF2BB5"/>
    <w:rsid w:val="00DF6160"/>
    <w:rsid w:val="00E10922"/>
    <w:rsid w:val="00E12F92"/>
    <w:rsid w:val="00E449D4"/>
    <w:rsid w:val="00E47CDF"/>
    <w:rsid w:val="00E502EB"/>
    <w:rsid w:val="00E53F16"/>
    <w:rsid w:val="00E73396"/>
    <w:rsid w:val="00E756D7"/>
    <w:rsid w:val="00E772D2"/>
    <w:rsid w:val="00E877A3"/>
    <w:rsid w:val="00EA7D65"/>
    <w:rsid w:val="00EB0F4B"/>
    <w:rsid w:val="00EB58C7"/>
    <w:rsid w:val="00EC2749"/>
    <w:rsid w:val="00EC3FEF"/>
    <w:rsid w:val="00ED43A0"/>
    <w:rsid w:val="00EF7EFA"/>
    <w:rsid w:val="00F004DD"/>
    <w:rsid w:val="00F0297C"/>
    <w:rsid w:val="00F04032"/>
    <w:rsid w:val="00F04192"/>
    <w:rsid w:val="00F04A4E"/>
    <w:rsid w:val="00F07844"/>
    <w:rsid w:val="00F115EE"/>
    <w:rsid w:val="00F1681C"/>
    <w:rsid w:val="00F219D4"/>
    <w:rsid w:val="00F23D92"/>
    <w:rsid w:val="00F26A10"/>
    <w:rsid w:val="00F30950"/>
    <w:rsid w:val="00F35170"/>
    <w:rsid w:val="00F35E81"/>
    <w:rsid w:val="00F403DC"/>
    <w:rsid w:val="00F460CB"/>
    <w:rsid w:val="00F6487F"/>
    <w:rsid w:val="00F7359B"/>
    <w:rsid w:val="00F770ED"/>
    <w:rsid w:val="00F850EC"/>
    <w:rsid w:val="00F923D7"/>
    <w:rsid w:val="00F92844"/>
    <w:rsid w:val="00F943AB"/>
    <w:rsid w:val="00FA1F9C"/>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7619">
      <w:bodyDiv w:val="1"/>
      <w:marLeft w:val="0"/>
      <w:marRight w:val="0"/>
      <w:marTop w:val="0"/>
      <w:marBottom w:val="0"/>
      <w:divBdr>
        <w:top w:val="none" w:sz="0" w:space="0" w:color="auto"/>
        <w:left w:val="none" w:sz="0" w:space="0" w:color="auto"/>
        <w:bottom w:val="none" w:sz="0" w:space="0" w:color="auto"/>
        <w:right w:val="none" w:sz="0" w:space="0" w:color="auto"/>
      </w:divBdr>
    </w:div>
    <w:div w:id="1299608133">
      <w:bodyDiv w:val="1"/>
      <w:marLeft w:val="0"/>
      <w:marRight w:val="0"/>
      <w:marTop w:val="0"/>
      <w:marBottom w:val="0"/>
      <w:divBdr>
        <w:top w:val="none" w:sz="0" w:space="0" w:color="auto"/>
        <w:left w:val="none" w:sz="0" w:space="0" w:color="auto"/>
        <w:bottom w:val="none" w:sz="0" w:space="0" w:color="auto"/>
        <w:right w:val="none" w:sz="0" w:space="0" w:color="auto"/>
      </w:divBdr>
    </w:div>
    <w:div w:id="135888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231145B-321F-44EC-A964-744A8808E302}"/>
</file>

<file path=customXml/itemProps2.xml><?xml version="1.0" encoding="utf-8"?>
<ds:datastoreItem xmlns:ds="http://schemas.openxmlformats.org/officeDocument/2006/customXml" ds:itemID="{1C17D98B-E76A-4D18-9A17-5164E0BA8AB2}"/>
</file>

<file path=customXml/itemProps3.xml><?xml version="1.0" encoding="utf-8"?>
<ds:datastoreItem xmlns:ds="http://schemas.openxmlformats.org/officeDocument/2006/customXml" ds:itemID="{8522CC5C-ABB7-4A09-8A91-5E849EE8556E}"/>
</file>

<file path=docProps/app.xml><?xml version="1.0" encoding="utf-8"?>
<Properties xmlns="http://schemas.openxmlformats.org/officeDocument/2006/extended-properties" xmlns:vt="http://schemas.openxmlformats.org/officeDocument/2006/docPropsVTypes">
  <Template>Normal.dotm</Template>
  <TotalTime>1</TotalTime>
  <Pages>10</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offce365_012</cp:lastModifiedBy>
  <cp:revision>3</cp:revision>
  <cp:lastPrinted>2024-03-20T06:22:00Z</cp:lastPrinted>
  <dcterms:created xsi:type="dcterms:W3CDTF">2024-03-28T09:34:00Z</dcterms:created>
  <dcterms:modified xsi:type="dcterms:W3CDTF">2024-03-28T09:43:00Z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