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7B6D" w14:textId="5FEF5754" w:rsidR="00375F01" w:rsidRPr="008E070F" w:rsidRDefault="00375F01" w:rsidP="008E070F">
      <w:pPr>
        <w:pStyle w:val="Heading1"/>
        <w:spacing w:before="0"/>
        <w:jc w:val="both"/>
        <w:rPr>
          <w:rFonts w:ascii="Times New Roman" w:eastAsia="Batang" w:hAnsi="Times New Roman" w:cs="Times New Roman"/>
          <w:b/>
          <w:bCs/>
          <w:color w:val="000000" w:themeColor="text1"/>
          <w:sz w:val="30"/>
          <w:szCs w:val="30"/>
          <w:lang w:eastAsia="ko-KR"/>
        </w:rPr>
      </w:pPr>
      <w:r w:rsidRPr="008E070F">
        <w:rPr>
          <w:rFonts w:ascii="Times New Roman" w:eastAsia="Batang" w:hAnsi="Times New Roman" w:cs="Times New Roman"/>
          <w:b/>
          <w:bCs/>
          <w:color w:val="000000" w:themeColor="text1"/>
          <w:lang w:eastAsia="ko-KR"/>
        </w:rPr>
        <w:t xml:space="preserve">Input on Pollution Information Portals – the </w:t>
      </w:r>
      <w:r w:rsidRPr="008E070F">
        <w:rPr>
          <w:rFonts w:ascii="Times New Roman" w:hAnsi="Times New Roman" w:cs="Times New Roman"/>
          <w:b/>
          <w:bCs/>
          <w:color w:val="000000" w:themeColor="text1"/>
          <w:sz w:val="30"/>
          <w:szCs w:val="30"/>
        </w:rPr>
        <w:t xml:space="preserve">Double </w:t>
      </w:r>
      <w:r w:rsidR="00543A67" w:rsidRPr="008E070F">
        <w:rPr>
          <w:rFonts w:ascii="Times New Roman" w:eastAsia="Batang" w:hAnsi="Times New Roman" w:cs="Times New Roman"/>
          <w:b/>
          <w:bCs/>
          <w:color w:val="000000" w:themeColor="text1"/>
          <w:sz w:val="30"/>
          <w:szCs w:val="30"/>
          <w:lang w:eastAsia="ko-KR"/>
        </w:rPr>
        <w:t>S</w:t>
      </w:r>
      <w:r w:rsidRPr="008E070F">
        <w:rPr>
          <w:rFonts w:ascii="Times New Roman" w:hAnsi="Times New Roman" w:cs="Times New Roman"/>
          <w:b/>
          <w:bCs/>
          <w:color w:val="000000" w:themeColor="text1"/>
          <w:sz w:val="30"/>
          <w:szCs w:val="30"/>
        </w:rPr>
        <w:t xml:space="preserve">tandard </w:t>
      </w:r>
      <w:r w:rsidR="00543A67" w:rsidRPr="008E070F">
        <w:rPr>
          <w:rFonts w:ascii="Times New Roman" w:eastAsia="Batang" w:hAnsi="Times New Roman" w:cs="Times New Roman"/>
          <w:b/>
          <w:bCs/>
          <w:color w:val="000000" w:themeColor="text1"/>
          <w:sz w:val="30"/>
          <w:szCs w:val="30"/>
          <w:lang w:eastAsia="ko-KR"/>
        </w:rPr>
        <w:t>I</w:t>
      </w:r>
      <w:r w:rsidRPr="008E070F">
        <w:rPr>
          <w:rFonts w:ascii="Times New Roman" w:hAnsi="Times New Roman" w:cs="Times New Roman"/>
          <w:b/>
          <w:bCs/>
          <w:color w:val="000000" w:themeColor="text1"/>
          <w:sz w:val="30"/>
          <w:szCs w:val="30"/>
        </w:rPr>
        <w:t xml:space="preserve">ssue in </w:t>
      </w:r>
      <w:r w:rsidRPr="008E070F">
        <w:rPr>
          <w:rFonts w:ascii="Times New Roman" w:hAnsi="Times New Roman" w:cs="Times New Roman"/>
          <w:b/>
          <w:bCs/>
          <w:color w:val="000000" w:themeColor="text1"/>
          <w:sz w:val="30"/>
          <w:szCs w:val="30"/>
          <w:lang w:val="de-DE"/>
        </w:rPr>
        <w:t xml:space="preserve">PRTR </w:t>
      </w:r>
      <w:r w:rsidR="00543A67" w:rsidRPr="008E070F">
        <w:rPr>
          <w:rFonts w:ascii="Times New Roman" w:eastAsia="Batang" w:hAnsi="Times New Roman" w:cs="Times New Roman"/>
          <w:b/>
          <w:bCs/>
          <w:color w:val="000000" w:themeColor="text1"/>
          <w:sz w:val="30"/>
          <w:szCs w:val="30"/>
          <w:lang w:eastAsia="ko-KR"/>
        </w:rPr>
        <w:t>and</w:t>
      </w:r>
      <w:r w:rsidR="00543A67" w:rsidRPr="008E070F">
        <w:rPr>
          <w:rFonts w:ascii="Times New Roman" w:hAnsi="Times New Roman" w:cs="Times New Roman"/>
          <w:b/>
          <w:bCs/>
          <w:color w:val="000000" w:themeColor="text1"/>
          <w:sz w:val="30"/>
          <w:szCs w:val="30"/>
        </w:rPr>
        <w:t xml:space="preserve"> </w:t>
      </w:r>
      <w:r w:rsidRPr="008E070F">
        <w:rPr>
          <w:rFonts w:ascii="Times New Roman" w:hAnsi="Times New Roman" w:cs="Times New Roman"/>
          <w:b/>
          <w:bCs/>
          <w:color w:val="000000" w:themeColor="text1"/>
          <w:sz w:val="30"/>
          <w:szCs w:val="30"/>
        </w:rPr>
        <w:t xml:space="preserve">the </w:t>
      </w:r>
      <w:r w:rsidR="00543A67" w:rsidRPr="008E070F">
        <w:rPr>
          <w:rFonts w:ascii="Times New Roman" w:eastAsia="Batang" w:hAnsi="Times New Roman" w:cs="Times New Roman"/>
          <w:b/>
          <w:bCs/>
          <w:color w:val="000000" w:themeColor="text1"/>
          <w:sz w:val="30"/>
          <w:szCs w:val="30"/>
          <w:lang w:eastAsia="ko-KR"/>
        </w:rPr>
        <w:t>E</w:t>
      </w:r>
      <w:r w:rsidRPr="008E070F">
        <w:rPr>
          <w:rFonts w:ascii="Times New Roman" w:hAnsi="Times New Roman" w:cs="Times New Roman"/>
          <w:b/>
          <w:bCs/>
          <w:color w:val="000000" w:themeColor="text1"/>
          <w:sz w:val="30"/>
          <w:szCs w:val="30"/>
        </w:rPr>
        <w:t>lectronic</w:t>
      </w:r>
      <w:r w:rsidRPr="008E070F">
        <w:rPr>
          <w:rFonts w:ascii="Times New Roman" w:eastAsia="Batang" w:hAnsi="Times New Roman" w:cs="Times New Roman"/>
          <w:b/>
          <w:bCs/>
          <w:color w:val="000000" w:themeColor="text1"/>
          <w:sz w:val="30"/>
          <w:szCs w:val="30"/>
          <w:lang w:eastAsia="ko-KR"/>
        </w:rPr>
        <w:t>s</w:t>
      </w:r>
      <w:r w:rsidRPr="008E070F">
        <w:rPr>
          <w:rFonts w:ascii="Times New Roman" w:hAnsi="Times New Roman" w:cs="Times New Roman"/>
          <w:b/>
          <w:bCs/>
          <w:color w:val="000000" w:themeColor="text1"/>
          <w:sz w:val="30"/>
          <w:szCs w:val="30"/>
        </w:rPr>
        <w:t xml:space="preserve"> </w:t>
      </w:r>
      <w:r w:rsidR="00543A67" w:rsidRPr="008E070F">
        <w:rPr>
          <w:rFonts w:ascii="Times New Roman" w:eastAsia="Batang" w:hAnsi="Times New Roman" w:cs="Times New Roman"/>
          <w:b/>
          <w:bCs/>
          <w:color w:val="000000" w:themeColor="text1"/>
          <w:sz w:val="30"/>
          <w:szCs w:val="30"/>
          <w:lang w:eastAsia="ko-KR"/>
        </w:rPr>
        <w:t>I</w:t>
      </w:r>
      <w:r w:rsidRPr="008E070F">
        <w:rPr>
          <w:rFonts w:ascii="Times New Roman" w:hAnsi="Times New Roman" w:cs="Times New Roman"/>
          <w:b/>
          <w:bCs/>
          <w:color w:val="000000" w:themeColor="text1"/>
          <w:sz w:val="30"/>
          <w:szCs w:val="30"/>
        </w:rPr>
        <w:t>ndustry in Viet Nam</w:t>
      </w:r>
    </w:p>
    <w:p w14:paraId="619E4A51" w14:textId="16D281F4" w:rsidR="00375F01" w:rsidRPr="008E070F" w:rsidRDefault="00375F01" w:rsidP="008E070F">
      <w:pPr>
        <w:jc w:val="both"/>
        <w:rPr>
          <w:lang w:eastAsia="ko-KR"/>
        </w:rPr>
      </w:pPr>
      <w:r w:rsidRPr="008E070F">
        <w:rPr>
          <w:lang w:eastAsia="ko-KR"/>
        </w:rPr>
        <w:t>March 2024</w:t>
      </w:r>
    </w:p>
    <w:p w14:paraId="11D38A93" w14:textId="712B8060" w:rsidR="009E79AB" w:rsidRPr="008E070F" w:rsidRDefault="00000000" w:rsidP="008E070F">
      <w:pPr>
        <w:pStyle w:val="Heading1"/>
        <w:spacing w:before="0"/>
        <w:jc w:val="both"/>
        <w:rPr>
          <w:rFonts w:ascii="Times New Roman" w:eastAsia="Helvetica" w:hAnsi="Times New Roman" w:cs="Times New Roman"/>
          <w:sz w:val="24"/>
          <w:szCs w:val="24"/>
        </w:rPr>
      </w:pPr>
      <w:r w:rsidRPr="008E070F">
        <w:rPr>
          <w:rFonts w:ascii="Times New Roman" w:hAnsi="Times New Roman" w:cs="Times New Roman"/>
          <w:sz w:val="24"/>
          <w:szCs w:val="24"/>
        </w:rPr>
        <w:t>The Research Cent</w:t>
      </w:r>
      <w:r w:rsidR="008E070F">
        <w:rPr>
          <w:rFonts w:ascii="Times New Roman" w:hAnsi="Times New Roman" w:cs="Times New Roman"/>
          <w:sz w:val="24"/>
          <w:szCs w:val="24"/>
        </w:rPr>
        <w:t>re</w:t>
      </w:r>
      <w:r w:rsidRPr="008E070F">
        <w:rPr>
          <w:rFonts w:ascii="Times New Roman" w:hAnsi="Times New Roman" w:cs="Times New Roman"/>
          <w:sz w:val="24"/>
          <w:szCs w:val="24"/>
        </w:rPr>
        <w:t xml:space="preserve"> for Gender, Family and Environment in Development (CGFED)</w:t>
      </w:r>
    </w:p>
    <w:p w14:paraId="481D61FA" w14:textId="77777777" w:rsidR="00375F01" w:rsidRPr="008E070F" w:rsidRDefault="00375F01" w:rsidP="008E070F">
      <w:pPr>
        <w:pStyle w:val="Default"/>
        <w:spacing w:before="0" w:line="240" w:lineRule="auto"/>
        <w:jc w:val="both"/>
        <w:rPr>
          <w:rFonts w:ascii="Times New Roman" w:eastAsia="Batang" w:hAnsi="Times New Roman" w:cs="Times New Roman"/>
          <w:b/>
          <w:bCs/>
          <w:sz w:val="30"/>
          <w:szCs w:val="30"/>
        </w:rPr>
      </w:pPr>
    </w:p>
    <w:p w14:paraId="5B72FA4C" w14:textId="77777777" w:rsidR="00375F01" w:rsidRPr="008E070F" w:rsidRDefault="00375F01" w:rsidP="008E070F">
      <w:pPr>
        <w:pStyle w:val="Default"/>
        <w:spacing w:before="0" w:line="240" w:lineRule="auto"/>
        <w:jc w:val="both"/>
        <w:rPr>
          <w:rFonts w:ascii="Times New Roman" w:eastAsia="Batang" w:hAnsi="Times New Roman" w:cs="Times New Roman"/>
          <w:b/>
          <w:bCs/>
          <w:sz w:val="30"/>
          <w:szCs w:val="30"/>
        </w:rPr>
      </w:pPr>
    </w:p>
    <w:p w14:paraId="4304F705" w14:textId="77777777" w:rsidR="009E79AB" w:rsidRPr="008E070F" w:rsidRDefault="00000000" w:rsidP="008E070F">
      <w:pPr>
        <w:pStyle w:val="Default"/>
        <w:spacing w:before="0" w:line="240" w:lineRule="auto"/>
        <w:jc w:val="both"/>
        <w:rPr>
          <w:rFonts w:ascii="Times New Roman" w:eastAsia="Helvetica" w:hAnsi="Times New Roman" w:cs="Times New Roman"/>
          <w:b/>
          <w:bCs/>
        </w:rPr>
      </w:pPr>
      <w:r w:rsidRPr="008E070F">
        <w:rPr>
          <w:rFonts w:ascii="Times New Roman" w:hAnsi="Times New Roman" w:cs="Times New Roman"/>
          <w:b/>
          <w:bCs/>
        </w:rPr>
        <w:t>Context</w:t>
      </w:r>
    </w:p>
    <w:p w14:paraId="38E68D98" w14:textId="68E8CCDC" w:rsidR="007600C4" w:rsidRPr="008E070F" w:rsidRDefault="007600C4" w:rsidP="008E070F">
      <w:pPr>
        <w:pStyle w:val="Default"/>
        <w:numPr>
          <w:ilvl w:val="0"/>
          <w:numId w:val="2"/>
        </w:numPr>
        <w:spacing w:before="0" w:line="240" w:lineRule="auto"/>
        <w:ind w:left="317" w:hanging="317"/>
        <w:jc w:val="both"/>
        <w:rPr>
          <w:rFonts w:ascii="Times New Roman" w:hAnsi="Times New Roman" w:cs="Times New Roman"/>
        </w:rPr>
      </w:pPr>
      <w:r w:rsidRPr="008E070F">
        <w:rPr>
          <w:rFonts w:ascii="Times New Roman" w:eastAsia="Batang" w:hAnsi="Times New Roman" w:cs="Times New Roman"/>
        </w:rPr>
        <w:t>Like many developing countries, Viet</w:t>
      </w:r>
      <w:r w:rsidR="00430123" w:rsidRPr="008E070F">
        <w:rPr>
          <w:rFonts w:ascii="Times New Roman" w:eastAsia="Batang" w:hAnsi="Times New Roman" w:cs="Times New Roman"/>
        </w:rPr>
        <w:t xml:space="preserve"> N</w:t>
      </w:r>
      <w:r w:rsidRPr="008E070F">
        <w:rPr>
          <w:rFonts w:ascii="Times New Roman" w:eastAsia="Batang" w:hAnsi="Times New Roman" w:cs="Times New Roman"/>
        </w:rPr>
        <w:t xml:space="preserve">am does not have a functioning pollutant release and transfer registry (PRTR) system that obligates companies to report chemical emissions and transfers and makes this data publicly available.  </w:t>
      </w:r>
    </w:p>
    <w:p w14:paraId="5926234D" w14:textId="4486C9E5" w:rsidR="007600C4" w:rsidRPr="008E070F" w:rsidRDefault="007600C4" w:rsidP="008E070F">
      <w:pPr>
        <w:pStyle w:val="Default"/>
        <w:numPr>
          <w:ilvl w:val="0"/>
          <w:numId w:val="2"/>
        </w:numPr>
        <w:spacing w:before="0" w:line="240" w:lineRule="auto"/>
        <w:ind w:left="317" w:hanging="317"/>
        <w:jc w:val="both"/>
        <w:rPr>
          <w:rFonts w:ascii="Times New Roman" w:hAnsi="Times New Roman" w:cs="Times New Roman"/>
        </w:rPr>
      </w:pPr>
      <w:r w:rsidRPr="008E070F">
        <w:rPr>
          <w:rFonts w:ascii="Times New Roman" w:hAnsi="Times New Roman" w:cs="Times New Roman"/>
        </w:rPr>
        <w:t xml:space="preserve">Viet Nam is </w:t>
      </w:r>
      <w:r w:rsidRPr="008E070F">
        <w:rPr>
          <w:rFonts w:ascii="Times New Roman" w:eastAsia="Batang" w:hAnsi="Times New Roman" w:cs="Times New Roman"/>
        </w:rPr>
        <w:t>an</w:t>
      </w:r>
      <w:r w:rsidRPr="008E070F">
        <w:rPr>
          <w:rFonts w:ascii="Times New Roman" w:hAnsi="Times New Roman" w:cs="Times New Roman"/>
        </w:rPr>
        <w:t xml:space="preserve"> attractive destination </w:t>
      </w:r>
      <w:r w:rsidRPr="008E070F">
        <w:rPr>
          <w:rFonts w:ascii="Times New Roman" w:eastAsia="Batang" w:hAnsi="Times New Roman" w:cs="Times New Roman"/>
        </w:rPr>
        <w:t>for</w:t>
      </w:r>
      <w:r w:rsidRPr="008E070F">
        <w:rPr>
          <w:rFonts w:ascii="Times New Roman" w:hAnsi="Times New Roman" w:cs="Times New Roman"/>
        </w:rPr>
        <w:t xml:space="preserve"> Foreign Direct Investment </w:t>
      </w:r>
      <w:r w:rsidRPr="008E070F">
        <w:rPr>
          <w:rFonts w:ascii="Times New Roman" w:eastAsia="Batang" w:hAnsi="Times New Roman" w:cs="Times New Roman"/>
        </w:rPr>
        <w:t xml:space="preserve">(FDI) </w:t>
      </w:r>
      <w:r w:rsidRPr="008E070F">
        <w:rPr>
          <w:rFonts w:ascii="Times New Roman" w:hAnsi="Times New Roman" w:cs="Times New Roman"/>
        </w:rPr>
        <w:t xml:space="preserve">from </w:t>
      </w:r>
      <w:r w:rsidRPr="008E070F">
        <w:rPr>
          <w:rFonts w:ascii="Times New Roman" w:eastAsia="Batang" w:hAnsi="Times New Roman" w:cs="Times New Roman"/>
        </w:rPr>
        <w:t xml:space="preserve">companies in EU, </w:t>
      </w:r>
      <w:r w:rsidRPr="008E070F">
        <w:rPr>
          <w:rFonts w:ascii="Times New Roman" w:hAnsi="Times New Roman" w:cs="Times New Roman"/>
        </w:rPr>
        <w:t>Japan</w:t>
      </w:r>
      <w:r w:rsidRPr="008E070F">
        <w:rPr>
          <w:rFonts w:ascii="Times New Roman" w:eastAsia="Batang" w:hAnsi="Times New Roman" w:cs="Times New Roman"/>
        </w:rPr>
        <w:t xml:space="preserve">, </w:t>
      </w:r>
      <w:r w:rsidRPr="008E070F">
        <w:rPr>
          <w:rFonts w:ascii="Times New Roman" w:hAnsi="Times New Roman" w:cs="Times New Roman"/>
        </w:rPr>
        <w:t>Singapore, S</w:t>
      </w:r>
      <w:r w:rsidRPr="008E070F">
        <w:rPr>
          <w:rFonts w:ascii="Times New Roman" w:eastAsia="Batang" w:hAnsi="Times New Roman" w:cs="Times New Roman"/>
        </w:rPr>
        <w:t xml:space="preserve">outh </w:t>
      </w:r>
      <w:r w:rsidRPr="008E070F">
        <w:rPr>
          <w:rFonts w:ascii="Times New Roman" w:hAnsi="Times New Roman" w:cs="Times New Roman"/>
        </w:rPr>
        <w:t xml:space="preserve">Korea, </w:t>
      </w:r>
      <w:r w:rsidRPr="008E070F">
        <w:rPr>
          <w:rFonts w:ascii="Times New Roman" w:eastAsia="Batang" w:hAnsi="Times New Roman" w:cs="Times New Roman"/>
        </w:rPr>
        <w:t>USA, and others</w:t>
      </w:r>
      <w:r w:rsidRPr="008E070F">
        <w:rPr>
          <w:rFonts w:ascii="Times New Roman" w:hAnsi="Times New Roman" w:cs="Times New Roman"/>
        </w:rPr>
        <w:t>.</w:t>
      </w:r>
      <w:r w:rsidRPr="008E070F">
        <w:rPr>
          <w:rFonts w:ascii="Times New Roman" w:eastAsia="Batang" w:hAnsi="Times New Roman" w:cs="Times New Roman"/>
        </w:rPr>
        <w:t xml:space="preserve"> Most of these FDI companies have mandatory obligations for reporting chemical releases to PRTR systems at home. This makes data about chemical releases available to the public in the countries where FDI companies are headquartered. Despite routinely reporting under PRTR obligations at home, none of these companies </w:t>
      </w:r>
      <w:r w:rsidR="00A2430A" w:rsidRPr="008E070F">
        <w:rPr>
          <w:rFonts w:ascii="Times New Roman" w:eastAsia="Batang" w:hAnsi="Times New Roman" w:cs="Times New Roman"/>
        </w:rPr>
        <w:t xml:space="preserve">publicly </w:t>
      </w:r>
      <w:r w:rsidRPr="008E070F">
        <w:rPr>
          <w:rFonts w:ascii="Times New Roman" w:eastAsia="Batang" w:hAnsi="Times New Roman" w:cs="Times New Roman"/>
        </w:rPr>
        <w:t>report chemical releases and transfers in Viet</w:t>
      </w:r>
      <w:r w:rsidR="00430123" w:rsidRPr="008E070F">
        <w:rPr>
          <w:rFonts w:ascii="Times New Roman" w:eastAsia="Batang" w:hAnsi="Times New Roman" w:cs="Times New Roman"/>
        </w:rPr>
        <w:t xml:space="preserve"> N</w:t>
      </w:r>
      <w:r w:rsidRPr="008E070F">
        <w:rPr>
          <w:rFonts w:ascii="Times New Roman" w:eastAsia="Batang" w:hAnsi="Times New Roman" w:cs="Times New Roman"/>
        </w:rPr>
        <w:t>am. This is likely to be true in almost all developing countries.</w:t>
      </w:r>
    </w:p>
    <w:p w14:paraId="6D50D874" w14:textId="329CC152" w:rsidR="006A700C" w:rsidRPr="008E070F" w:rsidRDefault="007600C4" w:rsidP="008E070F">
      <w:pPr>
        <w:pStyle w:val="Default"/>
        <w:numPr>
          <w:ilvl w:val="0"/>
          <w:numId w:val="2"/>
        </w:numPr>
        <w:spacing w:before="0" w:line="240" w:lineRule="auto"/>
        <w:ind w:left="317" w:hanging="317"/>
        <w:jc w:val="both"/>
        <w:rPr>
          <w:rFonts w:ascii="Times New Roman" w:hAnsi="Times New Roman" w:cs="Times New Roman"/>
        </w:rPr>
      </w:pPr>
      <w:r w:rsidRPr="008E070F">
        <w:rPr>
          <w:rFonts w:ascii="Times New Roman" w:eastAsia="Batang" w:hAnsi="Times New Roman" w:cs="Times New Roman"/>
        </w:rPr>
        <w:t>FDI companies routinely proclaim that their behavior is responsible because they comply with all national laws – even when there is no law. However, a</w:t>
      </w:r>
      <w:r w:rsidR="006A700C" w:rsidRPr="008E070F">
        <w:rPr>
          <w:rFonts w:ascii="Times New Roman" w:eastAsia="Batang" w:hAnsi="Times New Roman" w:cs="Times New Roman"/>
        </w:rPr>
        <w:t xml:space="preserve"> key human rights principle is that, </w:t>
      </w:r>
      <w:r w:rsidR="006A700C" w:rsidRPr="008E070F">
        <w:rPr>
          <w:rFonts w:ascii="Times New Roman" w:eastAsia="Batang" w:hAnsi="Times New Roman" w:cs="Times New Roman"/>
          <w:i/>
          <w:iCs/>
        </w:rPr>
        <w:t>“All businesses, regardless of size or sector, have a responsibility to respect all internationally recognized human rights, including the right to a clean, health and sustainable environment, throughout their value chains. This responsibility exists over and above compliance with national laws and regulations protecting human rights and the environment.”</w:t>
      </w:r>
      <w:r w:rsidRPr="008E070F">
        <w:rPr>
          <w:rStyle w:val="EndnoteReference"/>
          <w:rFonts w:ascii="Times New Roman" w:eastAsia="Batang" w:hAnsi="Times New Roman" w:cs="Times New Roman"/>
        </w:rPr>
        <w:endnoteReference w:id="1"/>
      </w:r>
    </w:p>
    <w:p w14:paraId="594E181A" w14:textId="168DD164" w:rsidR="007600C4" w:rsidRPr="008E070F" w:rsidRDefault="007600C4" w:rsidP="008E070F">
      <w:pPr>
        <w:pStyle w:val="Default"/>
        <w:numPr>
          <w:ilvl w:val="0"/>
          <w:numId w:val="2"/>
        </w:numPr>
        <w:spacing w:before="0" w:line="240" w:lineRule="auto"/>
        <w:ind w:left="317" w:hanging="317"/>
        <w:jc w:val="both"/>
        <w:rPr>
          <w:rFonts w:ascii="Times New Roman" w:hAnsi="Times New Roman" w:cs="Times New Roman"/>
        </w:rPr>
      </w:pPr>
      <w:r w:rsidRPr="008E070F">
        <w:rPr>
          <w:rFonts w:ascii="Times New Roman" w:eastAsia="Batang" w:hAnsi="Times New Roman" w:cs="Times New Roman"/>
        </w:rPr>
        <w:t>PRTR is a key element for implementing the human right to a clean, healthy, and sustainable environment.</w:t>
      </w:r>
      <w:r w:rsidRPr="008E070F">
        <w:rPr>
          <w:rFonts w:ascii="Times New Roman" w:hAnsi="Times New Roman" w:cs="Times New Roman"/>
          <w:vertAlign w:val="superscript"/>
        </w:rPr>
        <w:endnoteReference w:id="2"/>
      </w:r>
      <w:r w:rsidRPr="008E070F">
        <w:rPr>
          <w:rFonts w:ascii="Times New Roman" w:hAnsi="Times New Roman" w:cs="Times New Roman"/>
        </w:rPr>
        <w:t xml:space="preserve"> </w:t>
      </w:r>
      <w:r w:rsidRPr="008E070F">
        <w:rPr>
          <w:rFonts w:ascii="Times New Roman" w:eastAsia="Batang" w:hAnsi="Times New Roman" w:cs="Times New Roman"/>
        </w:rPr>
        <w:t xml:space="preserve">The framework principles on human rights and the environment note that, </w:t>
      </w:r>
      <w:r w:rsidRPr="008E070F">
        <w:rPr>
          <w:rFonts w:ascii="Times New Roman" w:eastAsia="Batang" w:hAnsi="Times New Roman" w:cs="Times New Roman"/>
          <w:i/>
          <w:iCs/>
        </w:rPr>
        <w:t>“States should provide public access to environmental information by collecting and disseminating information and by providing affordable, effective and timely access to information to any person upon request.”</w:t>
      </w:r>
      <w:r w:rsidRPr="008E070F">
        <w:rPr>
          <w:rFonts w:ascii="Times New Roman" w:eastAsia="Batang" w:hAnsi="Times New Roman" w:cs="Times New Roman"/>
        </w:rPr>
        <w:t xml:space="preserve"> </w:t>
      </w:r>
      <w:bookmarkStart w:id="0" w:name="_Hlk158151132"/>
      <w:r w:rsidRPr="008E070F">
        <w:rPr>
          <w:rStyle w:val="EndnoteReference"/>
          <w:rFonts w:ascii="Times New Roman" w:hAnsi="Times New Roman" w:cs="Times New Roman"/>
        </w:rPr>
        <w:endnoteReference w:id="3"/>
      </w:r>
      <w:bookmarkEnd w:id="0"/>
      <w:r w:rsidRPr="008E070F">
        <w:rPr>
          <w:rFonts w:ascii="Times New Roman" w:eastAsia="Batang" w:hAnsi="Times New Roman" w:cs="Times New Roman"/>
        </w:rPr>
        <w:t xml:space="preserve"> The right to information clearly states that, </w:t>
      </w:r>
      <w:r w:rsidRPr="008E070F">
        <w:rPr>
          <w:rFonts w:ascii="Times New Roman" w:eastAsia="Batang" w:hAnsi="Times New Roman" w:cs="Times New Roman"/>
          <w:i/>
          <w:iCs/>
        </w:rPr>
        <w:t>“States should ensure that individuals and communities, especially those at risk of disproportionate impacts, have information about hazardous substances in their environment, bodies, food and consumer products, including the adverse effects that may result from exposure.”</w:t>
      </w:r>
      <w:bookmarkStart w:id="1" w:name="_Hlk158151050"/>
      <w:r w:rsidRPr="008E070F">
        <w:rPr>
          <w:rStyle w:val="HeaderChar"/>
          <w:rFonts w:ascii="Times New Roman" w:hAnsi="Times New Roman" w:cs="Times New Roman"/>
        </w:rPr>
        <w:t xml:space="preserve"> </w:t>
      </w:r>
      <w:r w:rsidRPr="008E070F">
        <w:rPr>
          <w:rStyle w:val="EndnoteReference"/>
          <w:rFonts w:ascii="Times New Roman" w:hAnsi="Times New Roman" w:cs="Times New Roman"/>
        </w:rPr>
        <w:endnoteReference w:id="4"/>
      </w:r>
      <w:bookmarkEnd w:id="1"/>
      <w:r w:rsidRPr="008E070F">
        <w:rPr>
          <w:rStyle w:val="HeaderChar"/>
          <w:rFonts w:ascii="Times New Roman" w:eastAsia="Batang" w:hAnsi="Times New Roman" w:cs="Times New Roman"/>
          <w:lang w:eastAsia="ko-KR"/>
        </w:rPr>
        <w:t xml:space="preserve"> For these and other reasons, mandatory PRTR systems are a clear, tangible element for realizing the human right to a clean, healthy, and sustainable environment.</w:t>
      </w:r>
    </w:p>
    <w:p w14:paraId="37DBCE95" w14:textId="64BFE241" w:rsidR="00B26764" w:rsidRPr="008E070F" w:rsidRDefault="00B26764" w:rsidP="008E070F">
      <w:pPr>
        <w:pStyle w:val="Default"/>
        <w:spacing w:before="0" w:line="240" w:lineRule="auto"/>
        <w:jc w:val="both"/>
        <w:rPr>
          <w:rFonts w:ascii="Times New Roman" w:eastAsia="Batang" w:hAnsi="Times New Roman" w:cs="Times New Roman"/>
        </w:rPr>
      </w:pPr>
    </w:p>
    <w:p w14:paraId="1BB8FA21" w14:textId="26ECB833" w:rsidR="007600C4" w:rsidRPr="008E070F" w:rsidRDefault="007600C4" w:rsidP="008E070F">
      <w:pPr>
        <w:pStyle w:val="Default"/>
        <w:spacing w:before="0" w:line="240" w:lineRule="auto"/>
        <w:jc w:val="both"/>
        <w:rPr>
          <w:rFonts w:ascii="Times New Roman" w:hAnsi="Times New Roman" w:cs="Times New Roman"/>
          <w:b/>
          <w:bCs/>
        </w:rPr>
      </w:pPr>
      <w:r w:rsidRPr="008E070F">
        <w:rPr>
          <w:rFonts w:ascii="Times New Roman" w:eastAsia="Batang" w:hAnsi="Times New Roman" w:cs="Times New Roman"/>
          <w:b/>
          <w:bCs/>
        </w:rPr>
        <w:t>Viet</w:t>
      </w:r>
      <w:r w:rsidR="00430123" w:rsidRPr="008E070F">
        <w:rPr>
          <w:rFonts w:ascii="Times New Roman" w:eastAsia="Batang" w:hAnsi="Times New Roman" w:cs="Times New Roman"/>
          <w:b/>
          <w:bCs/>
        </w:rPr>
        <w:t xml:space="preserve"> N</w:t>
      </w:r>
      <w:r w:rsidRPr="008E070F">
        <w:rPr>
          <w:rFonts w:ascii="Times New Roman" w:eastAsia="Batang" w:hAnsi="Times New Roman" w:cs="Times New Roman"/>
          <w:b/>
          <w:bCs/>
        </w:rPr>
        <w:t>am and PRTR</w:t>
      </w:r>
    </w:p>
    <w:p w14:paraId="2A872CC1" w14:textId="1C693F53" w:rsidR="007600C4" w:rsidRPr="008E070F" w:rsidRDefault="007600C4" w:rsidP="008E070F">
      <w:pPr>
        <w:jc w:val="both"/>
        <w:rPr>
          <w:lang w:eastAsia="ko-KR"/>
        </w:rPr>
      </w:pPr>
      <w:r w:rsidRPr="008E070F">
        <w:rPr>
          <w:lang w:eastAsia="ko-KR"/>
        </w:rPr>
        <w:t>I</w:t>
      </w:r>
      <w:r w:rsidRPr="008E070F">
        <w:t>n Viet</w:t>
      </w:r>
      <w:r w:rsidR="00430123" w:rsidRPr="008E070F">
        <w:rPr>
          <w:lang w:eastAsia="ko-KR"/>
        </w:rPr>
        <w:t xml:space="preserve"> N</w:t>
      </w:r>
      <w:r w:rsidRPr="008E070F">
        <w:t>am, a draft plan for a PRTR system was released in 2017.</w:t>
      </w:r>
      <w:r w:rsidRPr="008E070F">
        <w:rPr>
          <w:rStyle w:val="EndnoteReference"/>
        </w:rPr>
        <w:endnoteReference w:id="5"/>
      </w:r>
      <w:r w:rsidRPr="008E070F">
        <w:t xml:space="preserve"> </w:t>
      </w:r>
      <w:r w:rsidRPr="008E070F">
        <w:rPr>
          <w:rStyle w:val="EndnoteReference"/>
        </w:rPr>
        <w:endnoteReference w:id="6"/>
      </w:r>
      <w:r w:rsidRPr="008E070F">
        <w:t xml:space="preserve"> Subsequently in 2020, PRTR elements were integrated into the Law on Environmental Protection.</w:t>
      </w:r>
      <w:r w:rsidRPr="008E070F">
        <w:rPr>
          <w:rStyle w:val="EndnoteReference"/>
        </w:rPr>
        <w:endnoteReference w:id="7"/>
      </w:r>
      <w:r w:rsidRPr="008E070F">
        <w:t xml:space="preserve"> Further modifications are described in Government Decree 08/2022/ND-CP which was issued in 2022.</w:t>
      </w:r>
      <w:r w:rsidRPr="008E070F">
        <w:rPr>
          <w:rStyle w:val="EndnoteReference"/>
        </w:rPr>
        <w:endnoteReference w:id="8"/>
      </w:r>
      <w:r w:rsidRPr="008E070F">
        <w:t xml:space="preserve"> </w:t>
      </w:r>
      <w:r w:rsidR="00430123" w:rsidRPr="008E070F">
        <w:t>As a local government</w:t>
      </w:r>
      <w:r w:rsidR="00430123" w:rsidRPr="008E070F">
        <w:rPr>
          <w:rtl/>
        </w:rPr>
        <w:t>’</w:t>
      </w:r>
      <w:r w:rsidR="00430123" w:rsidRPr="008E070F">
        <w:t>s initiative, the Department of Natural Resources and Environment of Binh Duong province worked with a company to develop a pilot PRTR software. The province includes manufacturing from foreign investors such as Adidas, H&amp;M, McDonalds, and Nike. However, there is no current information on the implementation of the software.</w:t>
      </w:r>
      <w:r w:rsidR="00430123" w:rsidRPr="008E070F">
        <w:rPr>
          <w:lang w:eastAsia="ko-KR"/>
        </w:rPr>
        <w:t xml:space="preserve"> The government reporting form for wastewater treatment emissions includes a </w:t>
      </w:r>
      <w:r w:rsidR="00231A6F" w:rsidRPr="008E070F">
        <w:rPr>
          <w:lang w:eastAsia="ko-KR"/>
        </w:rPr>
        <w:t xml:space="preserve">small </w:t>
      </w:r>
      <w:r w:rsidR="00430123" w:rsidRPr="008E070F">
        <w:rPr>
          <w:lang w:eastAsia="ko-KR"/>
        </w:rPr>
        <w:t xml:space="preserve">list of 18 chemicals plus total organic compounds for input wastewater and </w:t>
      </w:r>
      <w:r w:rsidR="00430123" w:rsidRPr="008E070F">
        <w:rPr>
          <w:lang w:eastAsia="ko-KR"/>
        </w:rPr>
        <w:lastRenderedPageBreak/>
        <w:t xml:space="preserve">a </w:t>
      </w:r>
      <w:r w:rsidR="00917FDF" w:rsidRPr="008E070F">
        <w:rPr>
          <w:lang w:eastAsia="ko-KR"/>
        </w:rPr>
        <w:t xml:space="preserve">small </w:t>
      </w:r>
      <w:r w:rsidR="00430123" w:rsidRPr="008E070F">
        <w:rPr>
          <w:lang w:eastAsia="ko-KR"/>
        </w:rPr>
        <w:t>list of 22 chemicals for reporting in post-treatment of wastewater.</w:t>
      </w:r>
      <w:r w:rsidR="00430123" w:rsidRPr="008E070F">
        <w:rPr>
          <w:vertAlign w:val="superscript"/>
          <w:lang w:eastAsia="ko-KR"/>
        </w:rPr>
        <w:endnoteReference w:id="9"/>
      </w:r>
      <w:r w:rsidR="00430123" w:rsidRPr="008E070F">
        <w:rPr>
          <w:lang w:eastAsia="ko-KR"/>
        </w:rPr>
        <w:t xml:space="preserve">  The reporting form for incinerators includes requirements for reporting dioxins / furans and mercury.</w:t>
      </w:r>
      <w:r w:rsidR="00430123" w:rsidRPr="008E070F">
        <w:rPr>
          <w:vertAlign w:val="superscript"/>
          <w:lang w:eastAsia="ko-KR"/>
        </w:rPr>
        <w:endnoteReference w:id="10"/>
      </w:r>
      <w:r w:rsidR="00430123" w:rsidRPr="008E070F">
        <w:rPr>
          <w:lang w:eastAsia="ko-KR"/>
        </w:rPr>
        <w:t xml:space="preserve"> None of this data is publicly available.</w:t>
      </w:r>
    </w:p>
    <w:p w14:paraId="7401DB33" w14:textId="77777777" w:rsidR="00B26764" w:rsidRPr="008E070F" w:rsidRDefault="00B26764" w:rsidP="008E070F">
      <w:pPr>
        <w:pStyle w:val="Default"/>
        <w:spacing w:before="0" w:line="240" w:lineRule="auto"/>
        <w:jc w:val="both"/>
        <w:rPr>
          <w:rFonts w:ascii="Times New Roman" w:eastAsia="Batang" w:hAnsi="Times New Roman" w:cs="Times New Roman"/>
        </w:rPr>
      </w:pPr>
    </w:p>
    <w:p w14:paraId="4DF5CB8D" w14:textId="1244EA33" w:rsidR="00B26764" w:rsidRPr="008E070F" w:rsidRDefault="00B26764" w:rsidP="008E070F">
      <w:pPr>
        <w:pStyle w:val="Default"/>
        <w:spacing w:before="0" w:line="240" w:lineRule="auto"/>
        <w:jc w:val="both"/>
        <w:rPr>
          <w:rFonts w:ascii="Times New Roman" w:hAnsi="Times New Roman" w:cs="Times New Roman"/>
          <w:b/>
          <w:bCs/>
        </w:rPr>
      </w:pPr>
      <w:r w:rsidRPr="008E070F">
        <w:rPr>
          <w:rFonts w:ascii="Times New Roman" w:eastAsia="Batang" w:hAnsi="Times New Roman" w:cs="Times New Roman"/>
          <w:b/>
          <w:bCs/>
        </w:rPr>
        <w:t>The electronics industry in Viet Nam</w:t>
      </w:r>
      <w:r w:rsidR="00430123" w:rsidRPr="008E070F">
        <w:rPr>
          <w:rFonts w:ascii="Times New Roman" w:eastAsia="Batang" w:hAnsi="Times New Roman" w:cs="Times New Roman"/>
          <w:b/>
          <w:bCs/>
        </w:rPr>
        <w:t xml:space="preserve"> as a case study example</w:t>
      </w:r>
    </w:p>
    <w:p w14:paraId="0506A750" w14:textId="3057D724" w:rsidR="00543A67" w:rsidRPr="008E070F" w:rsidRDefault="00375F01" w:rsidP="008E070F">
      <w:pPr>
        <w:pStyle w:val="Default"/>
        <w:spacing w:before="0" w:line="240" w:lineRule="auto"/>
        <w:jc w:val="both"/>
        <w:rPr>
          <w:rFonts w:ascii="Times New Roman" w:eastAsia="Batang" w:hAnsi="Times New Roman" w:cs="Times New Roman"/>
        </w:rPr>
      </w:pPr>
      <w:r w:rsidRPr="008E070F">
        <w:rPr>
          <w:rFonts w:ascii="Times New Roman" w:hAnsi="Times New Roman" w:cs="Times New Roman"/>
        </w:rPr>
        <w:t>The electronics industry is being promoted as an integral part of a major development strategy for Viet</w:t>
      </w:r>
      <w:r w:rsidR="00430123" w:rsidRPr="008E070F">
        <w:rPr>
          <w:rFonts w:ascii="Times New Roman" w:eastAsia="Batang" w:hAnsi="Times New Roman" w:cs="Times New Roman"/>
        </w:rPr>
        <w:t xml:space="preserve"> N</w:t>
      </w:r>
      <w:r w:rsidRPr="008E070F">
        <w:rPr>
          <w:rFonts w:ascii="Times New Roman" w:hAnsi="Times New Roman" w:cs="Times New Roman"/>
        </w:rPr>
        <w:t>am at the country’s highest political level.</w:t>
      </w:r>
      <w:r w:rsidR="00B26764" w:rsidRPr="008E070F">
        <w:rPr>
          <w:rStyle w:val="EndnoteReference"/>
          <w:rFonts w:ascii="Times New Roman" w:hAnsi="Times New Roman" w:cs="Times New Roman"/>
        </w:rPr>
        <w:endnoteReference w:id="11"/>
      </w:r>
      <w:r w:rsidR="009E72F1" w:rsidRPr="008E070F">
        <w:rPr>
          <w:rFonts w:ascii="Times New Roman" w:eastAsia="Batang" w:hAnsi="Times New Roman" w:cs="Times New Roman"/>
        </w:rPr>
        <w:t xml:space="preserve"> </w:t>
      </w:r>
      <w:r w:rsidR="009E72F1" w:rsidRPr="008E070F">
        <w:rPr>
          <w:rStyle w:val="EndnoteReference"/>
          <w:rFonts w:ascii="Times New Roman" w:eastAsia="Batang" w:hAnsi="Times New Roman" w:cs="Times New Roman"/>
        </w:rPr>
        <w:endnoteReference w:id="12"/>
      </w:r>
      <w:r w:rsidR="00430123" w:rsidRPr="008E070F">
        <w:rPr>
          <w:rFonts w:ascii="Times New Roman" w:eastAsia="Batang" w:hAnsi="Times New Roman" w:cs="Times New Roman"/>
        </w:rPr>
        <w:t xml:space="preserve"> </w:t>
      </w:r>
      <w:r w:rsidR="00C72F9A" w:rsidRPr="008E070F">
        <w:rPr>
          <w:rStyle w:val="None"/>
          <w:rFonts w:ascii="Times New Roman" w:hAnsi="Times New Roman" w:cs="Times New Roman"/>
        </w:rPr>
        <w:t>In 2022, despite a decline in global industrial production, the country’s electronics industry recorded a total export turnover of USD$108 billion with its own trade surplus of USD$11.5 billion compared with the country’s trade surplus in 2022 of USD$12.4 billion.</w:t>
      </w:r>
      <w:r w:rsidR="00C72F9A" w:rsidRPr="008E070F">
        <w:rPr>
          <w:rStyle w:val="None"/>
          <w:rFonts w:ascii="Times New Roman" w:hAnsi="Times New Roman" w:cs="Times New Roman"/>
          <w:vertAlign w:val="superscript"/>
        </w:rPr>
        <w:endnoteReference w:id="13"/>
      </w:r>
      <w:r w:rsidR="00C72F9A" w:rsidRPr="008E070F">
        <w:rPr>
          <w:rStyle w:val="None"/>
          <w:rFonts w:ascii="Times New Roman" w:hAnsi="Times New Roman" w:cs="Times New Roman"/>
        </w:rPr>
        <w:t xml:space="preserve"> </w:t>
      </w:r>
      <w:r w:rsidR="00C72F9A" w:rsidRPr="008E070F">
        <w:rPr>
          <w:rStyle w:val="EndnoteReference"/>
          <w:rFonts w:ascii="Times New Roman" w:hAnsi="Times New Roman" w:cs="Times New Roman"/>
        </w:rPr>
        <w:endnoteReference w:id="14"/>
      </w:r>
      <w:r w:rsidR="00C72F9A" w:rsidRPr="008E070F">
        <w:rPr>
          <w:rStyle w:val="None"/>
          <w:rFonts w:ascii="Times New Roman" w:hAnsi="Times New Roman" w:cs="Times New Roman"/>
        </w:rPr>
        <w:t xml:space="preserve"> </w:t>
      </w:r>
      <w:r w:rsidR="00C72F9A" w:rsidRPr="008E070F">
        <w:rPr>
          <w:rFonts w:ascii="Times New Roman" w:hAnsi="Times New Roman" w:cs="Times New Roman"/>
        </w:rPr>
        <w:t>This shows that the electronics industry earned the majority of the trade surplus in the entire Vietnamese industry.</w:t>
      </w:r>
      <w:r w:rsidR="00430123" w:rsidRPr="008E070F">
        <w:rPr>
          <w:rFonts w:ascii="Times New Roman" w:eastAsiaTheme="minorEastAsia" w:hAnsi="Times New Roman" w:cs="Times New Roman"/>
          <w:color w:val="auto"/>
          <w:sz w:val="20"/>
          <w:szCs w:val="20"/>
          <w:u w:color="00A2FF" w:themeColor="accent1"/>
          <w:bdr w:val="none" w:sz="0" w:space="0" w:color="auto"/>
          <w14:textOutline w14:w="0" w14:cap="rnd" w14:cmpd="sng" w14:algn="ctr">
            <w14:noFill/>
            <w14:prstDash w14:val="solid"/>
            <w14:bevel/>
          </w14:textOutline>
        </w:rPr>
        <w:t xml:space="preserve"> </w:t>
      </w:r>
      <w:r w:rsidR="00430123" w:rsidRPr="008E070F">
        <w:rPr>
          <w:rFonts w:ascii="Times New Roman" w:eastAsia="Batang" w:hAnsi="Times New Roman" w:cs="Times New Roman"/>
        </w:rPr>
        <w:t>M</w:t>
      </w:r>
      <w:r w:rsidR="00430123" w:rsidRPr="008E070F">
        <w:rPr>
          <w:rFonts w:ascii="Times New Roman" w:hAnsi="Times New Roman" w:cs="Times New Roman"/>
        </w:rPr>
        <w:t xml:space="preserve">ajor electronics industry investments from big companies </w:t>
      </w:r>
      <w:r w:rsidR="00430123" w:rsidRPr="008E070F">
        <w:rPr>
          <w:rFonts w:ascii="Times New Roman" w:eastAsia="Batang" w:hAnsi="Times New Roman" w:cs="Times New Roman"/>
        </w:rPr>
        <w:t xml:space="preserve">include </w:t>
      </w:r>
      <w:r w:rsidR="00430123" w:rsidRPr="008E070F">
        <w:rPr>
          <w:rFonts w:ascii="Times New Roman" w:hAnsi="Times New Roman" w:cs="Times New Roman"/>
        </w:rPr>
        <w:t xml:space="preserve">Samsung Electronics (South Korea), Intel (USA), Nidec (Japan), Foxconn (Taiwan), </w:t>
      </w:r>
      <w:proofErr w:type="spellStart"/>
      <w:r w:rsidR="00430123" w:rsidRPr="008E070F">
        <w:rPr>
          <w:rFonts w:ascii="Times New Roman" w:hAnsi="Times New Roman" w:cs="Times New Roman"/>
        </w:rPr>
        <w:t>Meikom</w:t>
      </w:r>
      <w:proofErr w:type="spellEnd"/>
      <w:r w:rsidR="00430123" w:rsidRPr="008E070F">
        <w:rPr>
          <w:rFonts w:ascii="Times New Roman" w:hAnsi="Times New Roman" w:cs="Times New Roman"/>
        </w:rPr>
        <w:t xml:space="preserve"> (Japan), and Nokia (Finland). The investment projects by these groups increased the FDI capital in the Vietnamese electronics industry to over USD$10 billion.</w:t>
      </w:r>
      <w:r w:rsidR="00430123" w:rsidRPr="008E070F">
        <w:rPr>
          <w:rFonts w:ascii="Times New Roman" w:eastAsia="Batang" w:hAnsi="Times New Roman" w:cs="Times New Roman"/>
        </w:rPr>
        <w:t xml:space="preserve"> </w:t>
      </w:r>
    </w:p>
    <w:p w14:paraId="2DDD7646" w14:textId="77777777" w:rsidR="00543A67" w:rsidRPr="008E070F" w:rsidRDefault="00543A67" w:rsidP="008E070F">
      <w:pPr>
        <w:pStyle w:val="Default"/>
        <w:spacing w:before="0" w:line="240" w:lineRule="auto"/>
        <w:jc w:val="both"/>
        <w:rPr>
          <w:rFonts w:ascii="Times New Roman" w:eastAsia="Batang" w:hAnsi="Times New Roman" w:cs="Times New Roman"/>
        </w:rPr>
      </w:pPr>
    </w:p>
    <w:p w14:paraId="7D3AF89D" w14:textId="4C74AFAD" w:rsidR="00C72F9A" w:rsidRPr="008E070F" w:rsidRDefault="00543A67" w:rsidP="008E070F">
      <w:pPr>
        <w:pStyle w:val="Default"/>
        <w:spacing w:before="0" w:line="240" w:lineRule="auto"/>
        <w:jc w:val="both"/>
        <w:rPr>
          <w:rFonts w:ascii="Times New Roman" w:eastAsia="Batang" w:hAnsi="Times New Roman" w:cs="Times New Roman"/>
        </w:rPr>
      </w:pPr>
      <w:r w:rsidRPr="008E070F">
        <w:rPr>
          <w:rFonts w:ascii="Times New Roman" w:eastAsia="Batang" w:hAnsi="Times New Roman" w:cs="Times New Roman"/>
        </w:rPr>
        <w:t>Samsung dominates the electronics industry in Viet Nam. In 2022, the company announced plans to increase its investment in Vietnam to USD$20 billion, making the company the country</w:t>
      </w:r>
      <w:r w:rsidRPr="008E070F">
        <w:rPr>
          <w:rFonts w:ascii="Times New Roman" w:eastAsia="Batang" w:hAnsi="Times New Roman" w:cs="Times New Roman"/>
          <w:rtl/>
          <w:lang w:val="ar-SA"/>
        </w:rPr>
        <w:t>’</w:t>
      </w:r>
      <w:r w:rsidRPr="008E070F">
        <w:rPr>
          <w:rFonts w:ascii="Times New Roman" w:eastAsia="Batang" w:hAnsi="Times New Roman" w:cs="Times New Roman"/>
        </w:rPr>
        <w:t>s largest investor.</w:t>
      </w:r>
      <w:r w:rsidRPr="008E070F">
        <w:rPr>
          <w:rFonts w:ascii="Times New Roman" w:eastAsia="Batang" w:hAnsi="Times New Roman" w:cs="Times New Roman"/>
          <w:vertAlign w:val="superscript"/>
        </w:rPr>
        <w:endnoteReference w:id="15"/>
      </w:r>
      <w:r w:rsidRPr="008E070F">
        <w:rPr>
          <w:rFonts w:ascii="Times New Roman" w:eastAsia="Batang" w:hAnsi="Times New Roman" w:cs="Times New Roman"/>
        </w:rPr>
        <w:t xml:space="preserve"> In 2022, the turnover of Samsung Vietnam</w:t>
      </w:r>
      <w:r w:rsidRPr="008E070F">
        <w:rPr>
          <w:rFonts w:ascii="Times New Roman" w:eastAsia="Batang" w:hAnsi="Times New Roman" w:cs="Times New Roman"/>
          <w:rtl/>
          <w:lang w:val="ar-SA"/>
        </w:rPr>
        <w:t>’</w:t>
      </w:r>
      <w:r w:rsidRPr="008E070F">
        <w:rPr>
          <w:rFonts w:ascii="Times New Roman" w:eastAsia="Batang" w:hAnsi="Times New Roman" w:cs="Times New Roman"/>
        </w:rPr>
        <w:t>s subsidiaries totaled USD$71 billion – approximately a 12% increase from the previous year.</w:t>
      </w:r>
      <w:r w:rsidRPr="008E070F">
        <w:rPr>
          <w:rFonts w:ascii="Times New Roman" w:eastAsia="Batang" w:hAnsi="Times New Roman" w:cs="Times New Roman"/>
          <w:vertAlign w:val="superscript"/>
        </w:rPr>
        <w:endnoteReference w:id="16"/>
      </w:r>
      <w:r w:rsidRPr="008E070F">
        <w:rPr>
          <w:rFonts w:ascii="Times New Roman" w:eastAsia="Batang" w:hAnsi="Times New Roman" w:cs="Times New Roman"/>
        </w:rPr>
        <w:t xml:space="preserve"> Samsung has approximately 100,000 employees in Vietnam and in 2022 exported USD$65 billion worth of products, 9% of Vietnam</w:t>
      </w:r>
      <w:r w:rsidRPr="008E070F">
        <w:rPr>
          <w:rFonts w:ascii="Times New Roman" w:eastAsia="Batang" w:hAnsi="Times New Roman" w:cs="Times New Roman"/>
          <w:rtl/>
          <w:lang w:val="ar-SA"/>
        </w:rPr>
        <w:t>’</w:t>
      </w:r>
      <w:r w:rsidRPr="008E070F">
        <w:rPr>
          <w:rFonts w:ascii="Times New Roman" w:eastAsia="Batang" w:hAnsi="Times New Roman" w:cs="Times New Roman"/>
        </w:rPr>
        <w:t>s total trade turnover.</w:t>
      </w:r>
      <w:r w:rsidRPr="008E070F">
        <w:rPr>
          <w:rFonts w:ascii="Times New Roman" w:eastAsia="Batang" w:hAnsi="Times New Roman" w:cs="Times New Roman"/>
          <w:vertAlign w:val="superscript"/>
        </w:rPr>
        <w:endnoteReference w:id="17"/>
      </w:r>
      <w:r w:rsidRPr="008E070F">
        <w:rPr>
          <w:rFonts w:ascii="Times New Roman" w:eastAsia="Batang" w:hAnsi="Times New Roman" w:cs="Times New Roman"/>
        </w:rPr>
        <w:t xml:space="preserve"> </w:t>
      </w:r>
      <w:r w:rsidRPr="008E070F">
        <w:rPr>
          <w:rFonts w:ascii="Times New Roman" w:eastAsia="Batang" w:hAnsi="Times New Roman" w:cs="Times New Roman"/>
          <w:vertAlign w:val="superscript"/>
        </w:rPr>
        <w:endnoteReference w:id="18"/>
      </w:r>
      <w:r w:rsidRPr="008E070F">
        <w:rPr>
          <w:rFonts w:ascii="Times New Roman" w:eastAsia="Batang" w:hAnsi="Times New Roman" w:cs="Times New Roman"/>
        </w:rPr>
        <w:t xml:space="preserve"> The company produces approximately half of its mobile phones globally in Vietnam.</w:t>
      </w:r>
      <w:r w:rsidRPr="008E070F">
        <w:rPr>
          <w:rFonts w:ascii="Times New Roman" w:eastAsia="Batang" w:hAnsi="Times New Roman" w:cs="Times New Roman"/>
          <w:vertAlign w:val="superscript"/>
        </w:rPr>
        <w:endnoteReference w:id="19"/>
      </w:r>
    </w:p>
    <w:p w14:paraId="6A4EEB25" w14:textId="77777777" w:rsidR="007600C4" w:rsidRPr="008E070F" w:rsidRDefault="007600C4" w:rsidP="008E070F">
      <w:pPr>
        <w:pStyle w:val="Default"/>
        <w:spacing w:before="0" w:line="240" w:lineRule="auto"/>
        <w:ind w:left="320"/>
        <w:jc w:val="both"/>
        <w:rPr>
          <w:rFonts w:ascii="Times New Roman" w:eastAsia="Batang" w:hAnsi="Times New Roman" w:cs="Times New Roman"/>
          <w:b/>
          <w:bCs/>
        </w:rPr>
      </w:pPr>
    </w:p>
    <w:p w14:paraId="18621872" w14:textId="20189669" w:rsidR="009E79AB" w:rsidRPr="008E070F" w:rsidRDefault="00000000" w:rsidP="008E070F">
      <w:pPr>
        <w:pStyle w:val="Default"/>
        <w:spacing w:before="0" w:line="240" w:lineRule="auto"/>
        <w:jc w:val="both"/>
        <w:rPr>
          <w:rFonts w:ascii="Times New Roman" w:eastAsia="Helvetica" w:hAnsi="Times New Roman" w:cs="Times New Roman"/>
          <w:b/>
          <w:bCs/>
        </w:rPr>
      </w:pPr>
      <w:r w:rsidRPr="008E070F">
        <w:rPr>
          <w:rFonts w:ascii="Times New Roman" w:hAnsi="Times New Roman" w:cs="Times New Roman"/>
          <w:b/>
          <w:bCs/>
        </w:rPr>
        <w:t>The double standard issue</w:t>
      </w:r>
    </w:p>
    <w:p w14:paraId="06509114" w14:textId="28CDE9C0" w:rsidR="009E79AB" w:rsidRPr="008E070F" w:rsidRDefault="00000000" w:rsidP="008E070F">
      <w:pPr>
        <w:pStyle w:val="Default"/>
        <w:spacing w:before="0" w:line="240" w:lineRule="auto"/>
        <w:jc w:val="both"/>
        <w:rPr>
          <w:rFonts w:ascii="Times New Roman" w:eastAsia="Batang" w:hAnsi="Times New Roman" w:cs="Times New Roman"/>
        </w:rPr>
      </w:pPr>
      <w:r w:rsidRPr="008E070F">
        <w:rPr>
          <w:rFonts w:ascii="Times New Roman" w:hAnsi="Times New Roman" w:cs="Times New Roman"/>
        </w:rPr>
        <w:t xml:space="preserve">There </w:t>
      </w:r>
      <w:r w:rsidR="00543A67" w:rsidRPr="008E070F">
        <w:rPr>
          <w:rFonts w:ascii="Times New Roman" w:eastAsia="Batang" w:hAnsi="Times New Roman" w:cs="Times New Roman"/>
        </w:rPr>
        <w:t>are</w:t>
      </w:r>
      <w:r w:rsidRPr="008E070F">
        <w:rPr>
          <w:rFonts w:ascii="Times New Roman" w:hAnsi="Times New Roman" w:cs="Times New Roman"/>
        </w:rPr>
        <w:t xml:space="preserve"> no regulations </w:t>
      </w:r>
      <w:r w:rsidR="00543A67" w:rsidRPr="008E070F">
        <w:rPr>
          <w:rFonts w:ascii="Times New Roman" w:eastAsia="Batang" w:hAnsi="Times New Roman" w:cs="Times New Roman"/>
        </w:rPr>
        <w:t>that require</w:t>
      </w:r>
      <w:r w:rsidR="00543A67" w:rsidRPr="008E070F">
        <w:rPr>
          <w:rFonts w:ascii="Times New Roman" w:hAnsi="Times New Roman" w:cs="Times New Roman"/>
        </w:rPr>
        <w:t xml:space="preserve"> </w:t>
      </w:r>
      <w:r w:rsidR="00917FDF" w:rsidRPr="008E070F">
        <w:rPr>
          <w:rFonts w:ascii="Times New Roman" w:eastAsia="Batang" w:hAnsi="Times New Roman" w:cs="Times New Roman"/>
        </w:rPr>
        <w:t xml:space="preserve">domestic or FDI </w:t>
      </w:r>
      <w:r w:rsidRPr="008E070F">
        <w:rPr>
          <w:rFonts w:ascii="Times New Roman" w:hAnsi="Times New Roman" w:cs="Times New Roman"/>
        </w:rPr>
        <w:t xml:space="preserve">companies to publicly report </w:t>
      </w:r>
      <w:r w:rsidR="00543A67" w:rsidRPr="008E070F">
        <w:rPr>
          <w:rFonts w:ascii="Times New Roman" w:eastAsia="Batang" w:hAnsi="Times New Roman" w:cs="Times New Roman"/>
        </w:rPr>
        <w:t xml:space="preserve">chemical </w:t>
      </w:r>
      <w:r w:rsidRPr="008E070F">
        <w:rPr>
          <w:rFonts w:ascii="Times New Roman" w:hAnsi="Times New Roman" w:cs="Times New Roman"/>
        </w:rPr>
        <w:t xml:space="preserve">releases </w:t>
      </w:r>
      <w:r w:rsidR="00543A67" w:rsidRPr="008E070F">
        <w:rPr>
          <w:rFonts w:ascii="Times New Roman" w:eastAsia="Batang" w:hAnsi="Times New Roman" w:cs="Times New Roman"/>
        </w:rPr>
        <w:t>and transfers</w:t>
      </w:r>
      <w:r w:rsidRPr="008E070F">
        <w:rPr>
          <w:rFonts w:ascii="Times New Roman" w:hAnsi="Times New Roman" w:cs="Times New Roman"/>
        </w:rPr>
        <w:t xml:space="preserve"> through</w:t>
      </w:r>
      <w:r w:rsidR="00543A67" w:rsidRPr="008E070F">
        <w:rPr>
          <w:rFonts w:ascii="Times New Roman" w:eastAsia="Batang" w:hAnsi="Times New Roman" w:cs="Times New Roman"/>
        </w:rPr>
        <w:t xml:space="preserve"> a</w:t>
      </w:r>
      <w:r w:rsidRPr="008E070F">
        <w:rPr>
          <w:rFonts w:ascii="Times New Roman" w:hAnsi="Times New Roman" w:cs="Times New Roman"/>
        </w:rPr>
        <w:t xml:space="preserve"> PRTR</w:t>
      </w:r>
      <w:r w:rsidR="00543A67" w:rsidRPr="008E070F">
        <w:rPr>
          <w:rFonts w:ascii="Times New Roman" w:eastAsia="Batang" w:hAnsi="Times New Roman" w:cs="Times New Roman"/>
        </w:rPr>
        <w:t xml:space="preserve"> system</w:t>
      </w:r>
      <w:r w:rsidRPr="008E070F">
        <w:rPr>
          <w:rFonts w:ascii="Times New Roman" w:hAnsi="Times New Roman" w:cs="Times New Roman"/>
        </w:rPr>
        <w:t xml:space="preserve"> in Viet</w:t>
      </w:r>
      <w:r w:rsidR="00430123" w:rsidRPr="008E070F">
        <w:rPr>
          <w:rFonts w:ascii="Times New Roman" w:eastAsia="Batang" w:hAnsi="Times New Roman" w:cs="Times New Roman"/>
        </w:rPr>
        <w:t xml:space="preserve"> N</w:t>
      </w:r>
      <w:r w:rsidRPr="008E070F">
        <w:rPr>
          <w:rFonts w:ascii="Times New Roman" w:hAnsi="Times New Roman" w:cs="Times New Roman"/>
        </w:rPr>
        <w:t>am</w:t>
      </w:r>
      <w:r w:rsidR="00543A67" w:rsidRPr="008E070F">
        <w:rPr>
          <w:rFonts w:ascii="Times New Roman" w:eastAsia="Batang" w:hAnsi="Times New Roman" w:cs="Times New Roman"/>
        </w:rPr>
        <w:t>. However, most FDI companies operating in Vietnam routinely fulfill mandatory PRTR reporting in the countries where they are headquartered. The electronics industry provides good examples.</w:t>
      </w:r>
    </w:p>
    <w:p w14:paraId="40C3AEFD" w14:textId="77777777" w:rsidR="00543A67" w:rsidRPr="008E070F" w:rsidRDefault="00543A67" w:rsidP="008E070F">
      <w:pPr>
        <w:pStyle w:val="Default"/>
        <w:spacing w:before="0" w:line="240" w:lineRule="auto"/>
        <w:jc w:val="both"/>
        <w:rPr>
          <w:rFonts w:ascii="Times New Roman" w:eastAsia="Batang" w:hAnsi="Times New Roman" w:cs="Times New Roman"/>
        </w:rPr>
      </w:pPr>
    </w:p>
    <w:p w14:paraId="229D8790" w14:textId="33A8F413" w:rsidR="00543A67" w:rsidRPr="008E070F" w:rsidRDefault="00000000" w:rsidP="008E070F">
      <w:pPr>
        <w:pStyle w:val="Default"/>
        <w:spacing w:before="0" w:line="240" w:lineRule="auto"/>
        <w:jc w:val="both"/>
        <w:rPr>
          <w:rFonts w:ascii="Times New Roman" w:eastAsia="Batang" w:hAnsi="Times New Roman" w:cs="Times New Roman"/>
          <w:i/>
          <w:iCs/>
        </w:rPr>
      </w:pPr>
      <w:r w:rsidRPr="008E070F">
        <w:rPr>
          <w:rFonts w:ascii="Times New Roman" w:hAnsi="Times New Roman" w:cs="Times New Roman"/>
        </w:rPr>
        <w:t>For example</w:t>
      </w:r>
      <w:r w:rsidR="00543A67" w:rsidRPr="008E070F">
        <w:rPr>
          <w:rFonts w:ascii="Times New Roman" w:eastAsia="Batang" w:hAnsi="Times New Roman" w:cs="Times New Roman"/>
        </w:rPr>
        <w:t xml:space="preserve">, </w:t>
      </w:r>
      <w:bookmarkStart w:id="2" w:name="_Hlk148432220"/>
      <w:r w:rsidR="00543A67" w:rsidRPr="008E070F">
        <w:rPr>
          <w:rFonts w:ascii="Times New Roman" w:eastAsia="Batang" w:hAnsi="Times New Roman" w:cs="Times New Roman"/>
        </w:rPr>
        <w:t>a</w:t>
      </w:r>
      <w:r w:rsidR="00543A67" w:rsidRPr="008E070F">
        <w:rPr>
          <w:rFonts w:ascii="Times New Roman" w:hAnsi="Times New Roman" w:cs="Times New Roman"/>
        </w:rPr>
        <w:t>t its factories in South Korea, Samsung Electronics is required to report emissions and transfers of more than 400 substances to air, land, water, and wastes through the country’s PRTR system, which makes the data publicly available.</w:t>
      </w:r>
      <w:bookmarkStart w:id="3" w:name="_Hlk148432346"/>
      <w:r w:rsidR="00543A67" w:rsidRPr="008E070F">
        <w:rPr>
          <w:rFonts w:ascii="Times New Roman" w:hAnsi="Times New Roman" w:cs="Times New Roman"/>
          <w:vertAlign w:val="superscript"/>
        </w:rPr>
        <w:endnoteReference w:id="20"/>
      </w:r>
      <w:bookmarkEnd w:id="2"/>
      <w:bookmarkEnd w:id="3"/>
      <w:r w:rsidR="00543A67" w:rsidRPr="008E070F">
        <w:rPr>
          <w:rFonts w:ascii="Times New Roman" w:hAnsi="Times New Roman" w:cs="Times New Roman"/>
        </w:rPr>
        <w:t xml:space="preserve"> </w:t>
      </w:r>
      <w:r w:rsidR="00543A67" w:rsidRPr="008E070F">
        <w:rPr>
          <w:rFonts w:ascii="Times New Roman" w:eastAsia="Batang" w:hAnsi="Times New Roman" w:cs="Times New Roman"/>
        </w:rPr>
        <w:t>In contrast, the company provides no public release of information about its releases and transfers in Vietnam. This indicates that t</w:t>
      </w:r>
      <w:r w:rsidRPr="008E070F">
        <w:rPr>
          <w:rFonts w:ascii="Times New Roman" w:hAnsi="Times New Roman" w:cs="Times New Roman"/>
        </w:rPr>
        <w:t xml:space="preserve">he company has the capacity to do </w:t>
      </w:r>
      <w:r w:rsidR="00543A67" w:rsidRPr="008E070F">
        <w:rPr>
          <w:rFonts w:ascii="Times New Roman" w:eastAsia="Batang" w:hAnsi="Times New Roman" w:cs="Times New Roman"/>
        </w:rPr>
        <w:t xml:space="preserve">PRTR reporting but simply chooses not to do it in Viet Nam. This is not consistent with the right to information or the right to the clean, healthy, and sustainable environment. </w:t>
      </w:r>
      <w:r w:rsidR="00B448C9" w:rsidRPr="008E070F">
        <w:rPr>
          <w:rFonts w:ascii="Times New Roman" w:eastAsia="Batang" w:hAnsi="Times New Roman" w:cs="Times New Roman"/>
        </w:rPr>
        <w:t>As noted by UNSR Human Rights and the Environment, the human rights obligations of b</w:t>
      </w:r>
      <w:r w:rsidR="00543A67" w:rsidRPr="008E070F">
        <w:rPr>
          <w:rFonts w:ascii="Times New Roman" w:eastAsia="Batang" w:hAnsi="Times New Roman" w:cs="Times New Roman"/>
        </w:rPr>
        <w:t>usinesses</w:t>
      </w:r>
      <w:r w:rsidR="00B448C9" w:rsidRPr="008E070F">
        <w:rPr>
          <w:rFonts w:ascii="Times New Roman" w:eastAsia="Batang" w:hAnsi="Times New Roman" w:cs="Times New Roman"/>
        </w:rPr>
        <w:t>,</w:t>
      </w:r>
      <w:r w:rsidR="00543A67" w:rsidRPr="008E070F">
        <w:rPr>
          <w:rFonts w:ascii="Times New Roman" w:eastAsia="Batang" w:hAnsi="Times New Roman" w:cs="Times New Roman"/>
        </w:rPr>
        <w:t xml:space="preserve"> </w:t>
      </w:r>
      <w:r w:rsidR="00B448C9" w:rsidRPr="008E070F">
        <w:rPr>
          <w:rFonts w:ascii="Times New Roman" w:eastAsia="Batang" w:hAnsi="Times New Roman" w:cs="Times New Roman"/>
        </w:rPr>
        <w:t>“</w:t>
      </w:r>
      <w:r w:rsidR="00543A67" w:rsidRPr="008E070F">
        <w:rPr>
          <w:rFonts w:ascii="Times New Roman" w:eastAsia="Batang" w:hAnsi="Times New Roman" w:cs="Times New Roman"/>
          <w:i/>
          <w:iCs/>
        </w:rPr>
        <w:t>exists over and above compliance with national laws and regulations protecting human rights and the environment.”</w:t>
      </w:r>
      <w:r w:rsidR="00543A67" w:rsidRPr="008E070F">
        <w:rPr>
          <w:rStyle w:val="EndnoteReference"/>
          <w:rFonts w:ascii="Times New Roman" w:eastAsia="Batang" w:hAnsi="Times New Roman" w:cs="Times New Roman"/>
        </w:rPr>
        <w:endnoteReference w:id="21"/>
      </w:r>
    </w:p>
    <w:p w14:paraId="6D923619" w14:textId="49969E96" w:rsidR="00A2430A" w:rsidRPr="008E070F" w:rsidRDefault="00A2430A" w:rsidP="008E070F">
      <w:pPr>
        <w:pStyle w:val="Default"/>
        <w:spacing w:before="0" w:line="240" w:lineRule="auto"/>
        <w:jc w:val="both"/>
        <w:rPr>
          <w:rFonts w:ascii="Times New Roman" w:eastAsia="Batang" w:hAnsi="Times New Roman" w:cs="Times New Roman"/>
        </w:rPr>
      </w:pPr>
    </w:p>
    <w:p w14:paraId="5D6E73C8" w14:textId="374B037E" w:rsidR="00A2430A" w:rsidRPr="008E070F" w:rsidRDefault="00A2430A" w:rsidP="008E070F">
      <w:pPr>
        <w:pStyle w:val="Default"/>
        <w:spacing w:before="0" w:line="240" w:lineRule="auto"/>
        <w:jc w:val="both"/>
        <w:rPr>
          <w:rFonts w:ascii="Times New Roman" w:eastAsia="Batang" w:hAnsi="Times New Roman" w:cs="Times New Roman"/>
        </w:rPr>
      </w:pPr>
      <w:r w:rsidRPr="008E070F">
        <w:rPr>
          <w:rFonts w:ascii="Times New Roman" w:eastAsia="Batang" w:hAnsi="Times New Roman" w:cs="Times New Roman"/>
        </w:rPr>
        <w:t xml:space="preserve">The double standard issue in PRTR reporting </w:t>
      </w:r>
      <w:r w:rsidR="00242F67" w:rsidRPr="008E070F">
        <w:rPr>
          <w:rFonts w:ascii="Times New Roman" w:eastAsia="Batang" w:hAnsi="Times New Roman" w:cs="Times New Roman"/>
        </w:rPr>
        <w:t xml:space="preserve">among foreign companies operating in developing countries </w:t>
      </w:r>
      <w:r w:rsidRPr="008E070F">
        <w:rPr>
          <w:rFonts w:ascii="Times New Roman" w:eastAsia="Batang" w:hAnsi="Times New Roman" w:cs="Times New Roman"/>
        </w:rPr>
        <w:t xml:space="preserve">likely occurs in all developing countries. A map of active </w:t>
      </w:r>
      <w:r w:rsidR="00917FDF" w:rsidRPr="008E070F">
        <w:rPr>
          <w:rFonts w:ascii="Times New Roman" w:eastAsia="Batang" w:hAnsi="Times New Roman" w:cs="Times New Roman"/>
        </w:rPr>
        <w:t xml:space="preserve">mandatory </w:t>
      </w:r>
      <w:r w:rsidRPr="008E070F">
        <w:rPr>
          <w:rFonts w:ascii="Times New Roman" w:eastAsia="Batang" w:hAnsi="Times New Roman" w:cs="Times New Roman"/>
        </w:rPr>
        <w:t>PRTR systems by US EPA shows that they are operating predominantly in North America and Europe.</w:t>
      </w:r>
      <w:r w:rsidRPr="008E070F">
        <w:rPr>
          <w:rStyle w:val="EndnoteReference"/>
          <w:rFonts w:ascii="Times New Roman" w:eastAsia="Batang" w:hAnsi="Times New Roman" w:cs="Times New Roman"/>
        </w:rPr>
        <w:endnoteReference w:id="22"/>
      </w:r>
    </w:p>
    <w:p w14:paraId="01264DFE" w14:textId="77777777" w:rsidR="00A2430A" w:rsidRPr="008E070F" w:rsidRDefault="00A2430A" w:rsidP="008E070F">
      <w:pPr>
        <w:pStyle w:val="Default"/>
        <w:spacing w:before="0" w:line="240" w:lineRule="auto"/>
        <w:jc w:val="both"/>
        <w:rPr>
          <w:rFonts w:ascii="Times New Roman" w:eastAsia="Batang" w:hAnsi="Times New Roman" w:cs="Times New Roman"/>
        </w:rPr>
      </w:pPr>
    </w:p>
    <w:p w14:paraId="6E250FFA" w14:textId="1038D99A" w:rsidR="00A2430A" w:rsidRPr="008E070F" w:rsidRDefault="00A2430A" w:rsidP="008E070F">
      <w:pPr>
        <w:pStyle w:val="Default"/>
        <w:spacing w:before="0" w:line="240" w:lineRule="auto"/>
        <w:jc w:val="both"/>
        <w:rPr>
          <w:rFonts w:ascii="Times New Roman" w:eastAsia="Batang" w:hAnsi="Times New Roman" w:cs="Times New Roman"/>
        </w:rPr>
      </w:pPr>
      <w:r w:rsidRPr="008E070F">
        <w:rPr>
          <w:rFonts w:ascii="Times New Roman" w:eastAsia="Batang" w:hAnsi="Times New Roman" w:cs="Times New Roman"/>
        </w:rPr>
        <w:t>Publicly available PRTR information is consistent with the framework principles on human rights and the environment and the right to information.</w:t>
      </w:r>
      <w:r w:rsidRPr="008E070F">
        <w:rPr>
          <w:rStyle w:val="EndnoteReference"/>
          <w:rFonts w:ascii="Times New Roman" w:hAnsi="Times New Roman" w:cs="Times New Roman"/>
        </w:rPr>
        <w:endnoteReference w:id="23"/>
      </w:r>
      <w:r w:rsidRPr="008E070F">
        <w:rPr>
          <w:rFonts w:ascii="Times New Roman" w:eastAsia="Batang" w:hAnsi="Times New Roman" w:cs="Times New Roman"/>
        </w:rPr>
        <w:t xml:space="preserve"> </w:t>
      </w:r>
      <w:r w:rsidRPr="008E070F">
        <w:rPr>
          <w:rStyle w:val="EndnoteReference"/>
          <w:rFonts w:ascii="Times New Roman" w:hAnsi="Times New Roman" w:cs="Times New Roman"/>
        </w:rPr>
        <w:endnoteReference w:id="24"/>
      </w:r>
      <w:r w:rsidRPr="008E070F">
        <w:rPr>
          <w:rStyle w:val="HeaderChar"/>
          <w:rFonts w:ascii="Times New Roman" w:eastAsia="Batang" w:hAnsi="Times New Roman" w:cs="Times New Roman"/>
          <w:lang w:eastAsia="ko-KR"/>
        </w:rPr>
        <w:t xml:space="preserve"> Finally, mandatory PRTR systems that provide publicly available information about </w:t>
      </w:r>
      <w:r w:rsidR="00917FDF" w:rsidRPr="008E070F">
        <w:rPr>
          <w:rStyle w:val="HeaderChar"/>
          <w:rFonts w:ascii="Times New Roman" w:eastAsia="Batang" w:hAnsi="Times New Roman" w:cs="Times New Roman"/>
          <w:lang w:eastAsia="ko-KR"/>
        </w:rPr>
        <w:t xml:space="preserve">chemical </w:t>
      </w:r>
      <w:r w:rsidRPr="008E070F">
        <w:rPr>
          <w:rStyle w:val="HeaderChar"/>
          <w:rFonts w:ascii="Times New Roman" w:eastAsia="Batang" w:hAnsi="Times New Roman" w:cs="Times New Roman"/>
          <w:lang w:eastAsia="ko-KR"/>
        </w:rPr>
        <w:t>releases and transfers are a clear, tangible element for realizing the human right to a clean, healthy, and sustainable environment.</w:t>
      </w:r>
    </w:p>
    <w:p w14:paraId="02FC9916" w14:textId="1C2B87AA" w:rsidR="00B448C9" w:rsidRPr="008E070F" w:rsidRDefault="00543A67" w:rsidP="008E070F">
      <w:pPr>
        <w:pStyle w:val="Default"/>
        <w:spacing w:before="0" w:line="240" w:lineRule="auto"/>
        <w:jc w:val="both"/>
        <w:rPr>
          <w:rFonts w:ascii="Times New Roman" w:eastAsia="Batang" w:hAnsi="Times New Roman" w:cs="Times New Roman"/>
        </w:rPr>
      </w:pPr>
      <w:r w:rsidRPr="008E070F">
        <w:rPr>
          <w:rFonts w:ascii="Times New Roman" w:eastAsia="Batang" w:hAnsi="Times New Roman" w:cs="Times New Roman"/>
        </w:rPr>
        <w:lastRenderedPageBreak/>
        <w:t xml:space="preserve"> </w:t>
      </w:r>
    </w:p>
    <w:p w14:paraId="0EC18BDB" w14:textId="09228B3E" w:rsidR="009E79AB" w:rsidRPr="008E070F" w:rsidRDefault="00B448C9" w:rsidP="008E070F">
      <w:pPr>
        <w:pStyle w:val="Default"/>
        <w:spacing w:before="0" w:line="240" w:lineRule="auto"/>
        <w:jc w:val="both"/>
        <w:rPr>
          <w:rFonts w:ascii="Times New Roman" w:eastAsia="Helvetica" w:hAnsi="Times New Roman" w:cs="Times New Roman"/>
          <w:b/>
          <w:bCs/>
          <w:u w:color="0000ED"/>
        </w:rPr>
      </w:pPr>
      <w:r w:rsidRPr="008E070F">
        <w:rPr>
          <w:rFonts w:ascii="Times New Roman" w:eastAsia="Batang" w:hAnsi="Times New Roman" w:cs="Times New Roman"/>
          <w:b/>
          <w:bCs/>
        </w:rPr>
        <w:t>Re</w:t>
      </w:r>
      <w:r w:rsidRPr="008E070F">
        <w:rPr>
          <w:rFonts w:ascii="Times New Roman" w:hAnsi="Times New Roman" w:cs="Times New Roman"/>
          <w:b/>
          <w:bCs/>
          <w:u w:color="0000ED"/>
        </w:rPr>
        <w:t xml:space="preserve">commendations </w:t>
      </w:r>
    </w:p>
    <w:p w14:paraId="321EFC8B" w14:textId="6A15C262" w:rsidR="009E79AB" w:rsidRPr="008E070F" w:rsidRDefault="00000000" w:rsidP="008E070F">
      <w:pPr>
        <w:pStyle w:val="Default"/>
        <w:numPr>
          <w:ilvl w:val="0"/>
          <w:numId w:val="5"/>
        </w:numPr>
        <w:spacing w:before="0" w:line="240" w:lineRule="auto"/>
        <w:jc w:val="both"/>
        <w:rPr>
          <w:rFonts w:ascii="Times New Roman" w:hAnsi="Times New Roman" w:cs="Times New Roman"/>
          <w:u w:color="0000ED"/>
        </w:rPr>
      </w:pPr>
      <w:r w:rsidRPr="008E070F">
        <w:rPr>
          <w:rFonts w:ascii="Times New Roman" w:hAnsi="Times New Roman" w:cs="Times New Roman"/>
          <w:u w:color="0000ED"/>
        </w:rPr>
        <w:t>The government of Viet</w:t>
      </w:r>
      <w:r w:rsidR="00430123" w:rsidRPr="008E070F">
        <w:rPr>
          <w:rFonts w:ascii="Times New Roman" w:eastAsia="Batang" w:hAnsi="Times New Roman" w:cs="Times New Roman"/>
          <w:u w:color="0000ED"/>
        </w:rPr>
        <w:t xml:space="preserve"> N</w:t>
      </w:r>
      <w:r w:rsidRPr="008E070F">
        <w:rPr>
          <w:rFonts w:ascii="Times New Roman" w:hAnsi="Times New Roman" w:cs="Times New Roman"/>
          <w:u w:color="0000ED"/>
        </w:rPr>
        <w:t xml:space="preserve">am </w:t>
      </w:r>
      <w:r w:rsidR="00242F67" w:rsidRPr="008E070F">
        <w:rPr>
          <w:rFonts w:ascii="Times New Roman" w:eastAsia="Batang" w:hAnsi="Times New Roman" w:cs="Times New Roman"/>
          <w:u w:color="0000ED"/>
        </w:rPr>
        <w:t xml:space="preserve">should </w:t>
      </w:r>
      <w:r w:rsidRPr="008E070F">
        <w:rPr>
          <w:rFonts w:ascii="Times New Roman" w:hAnsi="Times New Roman" w:cs="Times New Roman"/>
          <w:u w:color="0000ED"/>
        </w:rPr>
        <w:t xml:space="preserve">develop </w:t>
      </w:r>
      <w:r w:rsidR="00B448C9" w:rsidRPr="008E070F">
        <w:rPr>
          <w:rFonts w:ascii="Times New Roman" w:eastAsia="Batang" w:hAnsi="Times New Roman" w:cs="Times New Roman"/>
          <w:u w:color="0000ED"/>
        </w:rPr>
        <w:t>a</w:t>
      </w:r>
      <w:r w:rsidR="00242F67" w:rsidRPr="008E070F">
        <w:rPr>
          <w:rFonts w:ascii="Times New Roman" w:eastAsia="Batang" w:hAnsi="Times New Roman" w:cs="Times New Roman"/>
          <w:u w:color="0000ED"/>
        </w:rPr>
        <w:t>nd implement a</w:t>
      </w:r>
      <w:r w:rsidR="00B448C9" w:rsidRPr="008E070F">
        <w:rPr>
          <w:rFonts w:ascii="Times New Roman" w:eastAsia="Batang" w:hAnsi="Times New Roman" w:cs="Times New Roman"/>
          <w:u w:color="0000ED"/>
        </w:rPr>
        <w:t xml:space="preserve"> mandatory</w:t>
      </w:r>
      <w:r w:rsidRPr="008E070F">
        <w:rPr>
          <w:rFonts w:ascii="Times New Roman" w:hAnsi="Times New Roman" w:cs="Times New Roman"/>
          <w:u w:color="0000ED"/>
        </w:rPr>
        <w:t xml:space="preserve"> PRTR system </w:t>
      </w:r>
      <w:r w:rsidR="00B448C9" w:rsidRPr="008E070F">
        <w:rPr>
          <w:rFonts w:ascii="Times New Roman" w:eastAsia="Batang" w:hAnsi="Times New Roman" w:cs="Times New Roman"/>
          <w:u w:color="0000ED"/>
        </w:rPr>
        <w:t>that includes public access to information with rigorous</w:t>
      </w:r>
      <w:r w:rsidRPr="008E070F">
        <w:rPr>
          <w:rFonts w:ascii="Times New Roman" w:hAnsi="Times New Roman" w:cs="Times New Roman"/>
          <w:u w:color="0000ED"/>
        </w:rPr>
        <w:t xml:space="preserve"> enforce</w:t>
      </w:r>
      <w:r w:rsidR="00B448C9" w:rsidRPr="008E070F">
        <w:rPr>
          <w:rFonts w:ascii="Times New Roman" w:eastAsia="Batang" w:hAnsi="Times New Roman" w:cs="Times New Roman"/>
          <w:u w:color="0000ED"/>
        </w:rPr>
        <w:t>ment provisions.</w:t>
      </w:r>
    </w:p>
    <w:p w14:paraId="69CB2BDF" w14:textId="4E0ACF44" w:rsidR="009E79AB" w:rsidRPr="008E070F" w:rsidRDefault="00000000" w:rsidP="008E070F">
      <w:pPr>
        <w:pStyle w:val="Default"/>
        <w:numPr>
          <w:ilvl w:val="0"/>
          <w:numId w:val="5"/>
        </w:numPr>
        <w:spacing w:before="0" w:line="240" w:lineRule="auto"/>
        <w:jc w:val="both"/>
        <w:rPr>
          <w:rFonts w:ascii="Times New Roman" w:hAnsi="Times New Roman" w:cs="Times New Roman"/>
          <w:u w:color="0000ED"/>
        </w:rPr>
      </w:pPr>
      <w:r w:rsidRPr="008E070F">
        <w:rPr>
          <w:rFonts w:ascii="Times New Roman" w:hAnsi="Times New Roman" w:cs="Times New Roman"/>
          <w:u w:color="0000ED"/>
        </w:rPr>
        <w:t xml:space="preserve">The </w:t>
      </w:r>
      <w:r w:rsidR="00B448C9" w:rsidRPr="008E070F">
        <w:rPr>
          <w:rFonts w:ascii="Times New Roman" w:eastAsia="Batang" w:hAnsi="Times New Roman" w:cs="Times New Roman"/>
          <w:u w:color="0000ED"/>
        </w:rPr>
        <w:t xml:space="preserve">current </w:t>
      </w:r>
      <w:r w:rsidRPr="008E070F">
        <w:rPr>
          <w:rFonts w:ascii="Times New Roman" w:hAnsi="Times New Roman" w:cs="Times New Roman"/>
          <w:u w:color="0000ED"/>
        </w:rPr>
        <w:t>revis</w:t>
      </w:r>
      <w:r w:rsidR="00B448C9" w:rsidRPr="008E070F">
        <w:rPr>
          <w:rFonts w:ascii="Times New Roman" w:eastAsia="Batang" w:hAnsi="Times New Roman" w:cs="Times New Roman"/>
          <w:u w:color="0000ED"/>
        </w:rPr>
        <w:t>ion</w:t>
      </w:r>
      <w:r w:rsidRPr="008E070F">
        <w:rPr>
          <w:rFonts w:ascii="Times New Roman" w:hAnsi="Times New Roman" w:cs="Times New Roman"/>
          <w:u w:color="0000ED"/>
        </w:rPr>
        <w:t xml:space="preserve"> process of </w:t>
      </w:r>
      <w:r w:rsidR="00B448C9" w:rsidRPr="008E070F">
        <w:rPr>
          <w:rFonts w:ascii="Times New Roman" w:eastAsia="Batang" w:hAnsi="Times New Roman" w:cs="Times New Roman"/>
          <w:u w:color="0000ED"/>
        </w:rPr>
        <w:t xml:space="preserve">the </w:t>
      </w:r>
      <w:r w:rsidRPr="008E070F">
        <w:rPr>
          <w:rFonts w:ascii="Times New Roman" w:hAnsi="Times New Roman" w:cs="Times New Roman"/>
          <w:u w:color="0000ED"/>
        </w:rPr>
        <w:t>Law on Chemicals is a chance for the government of Viet</w:t>
      </w:r>
      <w:r w:rsidR="00430123" w:rsidRPr="008E070F">
        <w:rPr>
          <w:rFonts w:ascii="Times New Roman" w:eastAsia="Batang" w:hAnsi="Times New Roman" w:cs="Times New Roman"/>
          <w:u w:color="0000ED"/>
        </w:rPr>
        <w:t xml:space="preserve"> N</w:t>
      </w:r>
      <w:r w:rsidRPr="008E070F">
        <w:rPr>
          <w:rFonts w:ascii="Times New Roman" w:hAnsi="Times New Roman" w:cs="Times New Roman"/>
          <w:u w:color="0000ED"/>
        </w:rPr>
        <w:t xml:space="preserve">am to require Samsung and other companies </w:t>
      </w:r>
      <w:r w:rsidR="00B448C9" w:rsidRPr="008E070F">
        <w:rPr>
          <w:rFonts w:ascii="Times New Roman" w:eastAsia="Batang" w:hAnsi="Times New Roman" w:cs="Times New Roman"/>
          <w:u w:color="0000ED"/>
        </w:rPr>
        <w:t xml:space="preserve">to fulfill their human rights obligations for </w:t>
      </w:r>
      <w:r w:rsidRPr="008E070F">
        <w:rPr>
          <w:rFonts w:ascii="Times New Roman" w:hAnsi="Times New Roman" w:cs="Times New Roman"/>
          <w:u w:color="0000ED"/>
        </w:rPr>
        <w:t>transparency</w:t>
      </w:r>
      <w:r w:rsidR="00B448C9" w:rsidRPr="008E070F">
        <w:rPr>
          <w:rFonts w:ascii="Times New Roman" w:eastAsia="Batang" w:hAnsi="Times New Roman" w:cs="Times New Roman"/>
          <w:u w:color="0000ED"/>
        </w:rPr>
        <w:t xml:space="preserve"> and </w:t>
      </w:r>
      <w:r w:rsidRPr="008E070F">
        <w:rPr>
          <w:rFonts w:ascii="Times New Roman" w:hAnsi="Times New Roman" w:cs="Times New Roman"/>
          <w:u w:color="0000ED"/>
        </w:rPr>
        <w:t>accountability</w:t>
      </w:r>
      <w:r w:rsidR="00B448C9" w:rsidRPr="008E070F">
        <w:rPr>
          <w:rFonts w:ascii="Times New Roman" w:eastAsia="Batang" w:hAnsi="Times New Roman" w:cs="Times New Roman"/>
          <w:u w:color="0000ED"/>
        </w:rPr>
        <w:t xml:space="preserve"> through PRTR reporting</w:t>
      </w:r>
      <w:r w:rsidRPr="008E070F">
        <w:rPr>
          <w:rFonts w:ascii="Times New Roman" w:hAnsi="Times New Roman" w:cs="Times New Roman"/>
          <w:u w:color="0000ED"/>
        </w:rPr>
        <w:t>.</w:t>
      </w:r>
    </w:p>
    <w:p w14:paraId="018B0381" w14:textId="23C534B0" w:rsidR="009E79AB" w:rsidRPr="008E070F" w:rsidRDefault="00B448C9" w:rsidP="008E070F">
      <w:pPr>
        <w:pStyle w:val="Default"/>
        <w:numPr>
          <w:ilvl w:val="0"/>
          <w:numId w:val="5"/>
        </w:numPr>
        <w:spacing w:before="0" w:line="240" w:lineRule="auto"/>
        <w:jc w:val="both"/>
        <w:rPr>
          <w:rFonts w:ascii="Times New Roman" w:eastAsia="Helvetica" w:hAnsi="Times New Roman" w:cs="Times New Roman"/>
          <w:u w:color="0000ED"/>
        </w:rPr>
      </w:pPr>
      <w:r w:rsidRPr="008E070F">
        <w:rPr>
          <w:rFonts w:ascii="Times New Roman" w:eastAsia="Batang" w:hAnsi="Times New Roman" w:cs="Times New Roman"/>
          <w:u w:color="0000ED"/>
        </w:rPr>
        <w:t xml:space="preserve">Regardless of national laws, </w:t>
      </w:r>
      <w:r w:rsidRPr="008E070F">
        <w:rPr>
          <w:rFonts w:ascii="Times New Roman" w:hAnsi="Times New Roman" w:cs="Times New Roman"/>
          <w:u w:color="0000ED"/>
        </w:rPr>
        <w:t xml:space="preserve">FDI companies should avoid </w:t>
      </w:r>
      <w:r w:rsidRPr="008E070F">
        <w:rPr>
          <w:rFonts w:ascii="Times New Roman" w:eastAsia="Batang" w:hAnsi="Times New Roman" w:cs="Times New Roman"/>
          <w:u w:color="0000ED"/>
        </w:rPr>
        <w:t xml:space="preserve">the </w:t>
      </w:r>
      <w:r w:rsidRPr="008E070F">
        <w:rPr>
          <w:rFonts w:ascii="Times New Roman" w:hAnsi="Times New Roman" w:cs="Times New Roman"/>
          <w:u w:color="0000ED"/>
        </w:rPr>
        <w:t xml:space="preserve">double standard in reporting and ensure right to know </w:t>
      </w:r>
      <w:r w:rsidRPr="008E070F">
        <w:rPr>
          <w:rFonts w:ascii="Times New Roman" w:eastAsia="Batang" w:hAnsi="Times New Roman" w:cs="Times New Roman"/>
          <w:u w:color="0000ED"/>
        </w:rPr>
        <w:t xml:space="preserve">and the right to a clean, healthy, and sustainable environment </w:t>
      </w:r>
      <w:r w:rsidR="00D16039" w:rsidRPr="008E070F">
        <w:rPr>
          <w:rFonts w:ascii="Times New Roman" w:eastAsia="Batang" w:hAnsi="Times New Roman" w:cs="Times New Roman"/>
          <w:u w:color="0000ED"/>
        </w:rPr>
        <w:t>by implementing publicly available PRTR reporting in Viet Nam, including by their suppliers.</w:t>
      </w:r>
    </w:p>
    <w:p w14:paraId="74B3B924" w14:textId="754C6D65" w:rsidR="009E79AB" w:rsidRPr="008E070F" w:rsidRDefault="00000000" w:rsidP="008E070F">
      <w:pPr>
        <w:pStyle w:val="Default"/>
        <w:spacing w:before="0" w:line="240" w:lineRule="auto"/>
        <w:jc w:val="both"/>
        <w:rPr>
          <w:rFonts w:ascii="Times New Roman" w:hAnsi="Times New Roman" w:cs="Times New Roman"/>
        </w:rPr>
      </w:pPr>
      <w:r w:rsidRPr="008E070F">
        <w:rPr>
          <w:rFonts w:ascii="Times New Roman" w:hAnsi="Times New Roman" w:cs="Times New Roman"/>
          <w:sz w:val="30"/>
          <w:szCs w:val="30"/>
          <w:u w:color="0000ED"/>
        </w:rPr>
        <w:t xml:space="preserve"> </w:t>
      </w:r>
    </w:p>
    <w:sectPr w:rsidR="009E79AB" w:rsidRPr="008E070F" w:rsidSect="0069202D">
      <w:footerReference w:type="default" r:id="rId8"/>
      <w:endnotePr>
        <w:numFmt w:val="decimal"/>
      </w:endnotePr>
      <w:pgSz w:w="12240" w:h="15840"/>
      <w:pgMar w:top="1418" w:right="1134" w:bottom="1418" w:left="1418"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D70D" w14:textId="77777777" w:rsidR="00197D3F" w:rsidRDefault="00197D3F">
      <w:r>
        <w:separator/>
      </w:r>
    </w:p>
  </w:endnote>
  <w:endnote w:type="continuationSeparator" w:id="0">
    <w:p w14:paraId="2FA767DC" w14:textId="77777777" w:rsidR="00197D3F" w:rsidRDefault="00197D3F">
      <w:r>
        <w:continuationSeparator/>
      </w:r>
    </w:p>
  </w:endnote>
  <w:endnote w:id="1">
    <w:p w14:paraId="08AD5570" w14:textId="3DBA5DD4" w:rsidR="007600C4" w:rsidRPr="008E070F" w:rsidRDefault="007600C4" w:rsidP="007600C4">
      <w:pPr>
        <w:pStyle w:val="EndnoteText"/>
        <w:rPr>
          <w:rFonts w:eastAsia="Batang"/>
        </w:rPr>
      </w:pPr>
      <w:r>
        <w:rPr>
          <w:rStyle w:val="EndnoteReference"/>
        </w:rPr>
        <w:endnoteRef/>
      </w:r>
      <w:r>
        <w:t xml:space="preserve"> </w:t>
      </w:r>
      <w:r>
        <w:rPr>
          <w:rFonts w:eastAsia="Batang" w:hint="eastAsia"/>
        </w:rPr>
        <w:t xml:space="preserve">Boyd D (2024) </w:t>
      </w:r>
      <w:r w:rsidRPr="007600C4">
        <w:rPr>
          <w:rFonts w:eastAsia="Batang"/>
        </w:rPr>
        <w:t>Business, planetary boundaries, and the right to a clean, healthy and sustainable environment</w:t>
      </w:r>
      <w:r>
        <w:rPr>
          <w:rFonts w:eastAsia="Batang" w:hint="eastAsia"/>
        </w:rPr>
        <w:t xml:space="preserve">, Human Rights Council, Fifty-fifth session, </w:t>
      </w:r>
      <w:r w:rsidRPr="007600C4">
        <w:rPr>
          <w:rFonts w:eastAsia="Batang"/>
        </w:rPr>
        <w:t>26 February–5 April 2024</w:t>
      </w:r>
      <w:r>
        <w:rPr>
          <w:rFonts w:eastAsia="Batang" w:hint="eastAsia"/>
        </w:rPr>
        <w:t xml:space="preserve">, </w:t>
      </w:r>
      <w:r w:rsidRPr="007600C4">
        <w:rPr>
          <w:rFonts w:eastAsia="Batang"/>
        </w:rPr>
        <w:t>A/HRC/55/43</w:t>
      </w:r>
    </w:p>
  </w:endnote>
  <w:endnote w:id="2">
    <w:p w14:paraId="58E46A23" w14:textId="77777777" w:rsidR="007600C4" w:rsidRPr="00B56F52" w:rsidRDefault="007600C4" w:rsidP="007600C4">
      <w:pPr>
        <w:pStyle w:val="EndnoteText"/>
      </w:pPr>
      <w:r>
        <w:rPr>
          <w:rStyle w:val="EndnoteReference"/>
        </w:rPr>
        <w:endnoteRef/>
      </w:r>
      <w:r w:rsidRPr="00B56F52">
        <w:t xml:space="preserve"> U</w:t>
      </w:r>
      <w:r>
        <w:t>nited Nations</w:t>
      </w:r>
      <w:r w:rsidRPr="00B56F52">
        <w:t xml:space="preserve"> (2022) UN General Assembly declares access to clean and healthy environment a universal human right</w:t>
      </w:r>
      <w:r>
        <w:t xml:space="preserve">, </w:t>
      </w:r>
      <w:r w:rsidRPr="00B56F52">
        <w:t xml:space="preserve">General Assembly </w:t>
      </w:r>
      <w:hyperlink r:id="rId1" w:history="1">
        <w:r w:rsidRPr="00B56F52">
          <w:rPr>
            <w:rStyle w:val="Hyperlink"/>
          </w:rPr>
          <w:t>https://news.un.org/en/story/2022/07/1123482</w:t>
        </w:r>
      </w:hyperlink>
      <w:r w:rsidRPr="00B56F52">
        <w:t xml:space="preserve"> </w:t>
      </w:r>
    </w:p>
  </w:endnote>
  <w:endnote w:id="3">
    <w:p w14:paraId="2C72866F" w14:textId="77777777" w:rsidR="007600C4" w:rsidRDefault="007600C4" w:rsidP="007600C4">
      <w:pPr>
        <w:pStyle w:val="EndnoteText"/>
      </w:pPr>
      <w:r>
        <w:rPr>
          <w:rStyle w:val="EndnoteReference"/>
        </w:rPr>
        <w:endnoteRef/>
      </w:r>
      <w:r>
        <w:t xml:space="preserve"> United Nations (2018) Report of the Special Rapporteur on the issue of human rights obligations relating to the enjoyment of a safe, clean, </w:t>
      </w:r>
      <w:r>
        <w:t>healthy and sustainable environment, UN General Assembly A/HRC/37/59</w:t>
      </w:r>
    </w:p>
    <w:p w14:paraId="409C0D77" w14:textId="77777777" w:rsidR="007600C4" w:rsidRPr="00CC04E1" w:rsidRDefault="00000000" w:rsidP="007600C4">
      <w:pPr>
        <w:pStyle w:val="EndnoteText"/>
      </w:pPr>
      <w:hyperlink r:id="rId2" w:history="1">
        <w:r w:rsidR="007600C4" w:rsidRPr="005015DF">
          <w:rPr>
            <w:rStyle w:val="Hyperlink"/>
          </w:rPr>
          <w:t>https://digitallibrary.un.org/record/1474985</w:t>
        </w:r>
      </w:hyperlink>
      <w:r w:rsidR="007600C4">
        <w:t xml:space="preserve"> </w:t>
      </w:r>
    </w:p>
  </w:endnote>
  <w:endnote w:id="4">
    <w:p w14:paraId="4B6F9E2E" w14:textId="77777777" w:rsidR="007600C4" w:rsidRPr="007D0267" w:rsidRDefault="007600C4" w:rsidP="007600C4">
      <w:pPr>
        <w:pStyle w:val="EndnoteText"/>
      </w:pPr>
      <w:r>
        <w:rPr>
          <w:rStyle w:val="EndnoteReference"/>
        </w:rPr>
        <w:endnoteRef/>
      </w:r>
      <w:r>
        <w:t xml:space="preserve"> United Nations (2015) </w:t>
      </w:r>
      <w:r w:rsidRPr="007D0267">
        <w:t xml:space="preserve">Report of the Special Rapporteur on the implications for human rights of the environmentally sound management and disposal of hazardous substances and wastes, </w:t>
      </w:r>
      <w:r w:rsidRPr="007D0267">
        <w:t>Başkut Tuncak</w:t>
      </w:r>
      <w:r>
        <w:t xml:space="preserve">, A/HRC/30/40 </w:t>
      </w:r>
      <w:hyperlink r:id="rId3" w:history="1">
        <w:r w:rsidRPr="00EA4C80">
          <w:rPr>
            <w:rStyle w:val="Hyperlink"/>
          </w:rPr>
          <w:t>https://digitallibrary.un.org/record/800897?ln=en</w:t>
        </w:r>
      </w:hyperlink>
      <w:r>
        <w:t xml:space="preserve"> </w:t>
      </w:r>
    </w:p>
  </w:endnote>
  <w:endnote w:id="5">
    <w:p w14:paraId="1ECCB272" w14:textId="77777777" w:rsidR="007600C4" w:rsidRPr="00A10C06" w:rsidRDefault="007600C4" w:rsidP="007600C4">
      <w:pPr>
        <w:pStyle w:val="EndnoteText"/>
      </w:pPr>
      <w:r>
        <w:rPr>
          <w:rStyle w:val="EndnoteReference"/>
        </w:rPr>
        <w:endnoteRef/>
      </w:r>
      <w:r>
        <w:t xml:space="preserve"> Government of Vietnam (2017) </w:t>
      </w:r>
      <w:r w:rsidRPr="00EC5F3F">
        <w:t>QUY ĐỊNH VỀ BẢO VỆ MÔI TRƯỜNG ĐỐI VỚI HÓA CHẤT, THUỐC BẢO VỆ THỰC VẬT, THUỐC THÚ Y</w:t>
      </w:r>
      <w:r>
        <w:t xml:space="preserve">, </w:t>
      </w:r>
      <w:r w:rsidRPr="00EC5F3F">
        <w:t>BỘ TÀI NGUYÊN VÀ MÔI TRƯỜNG</w:t>
      </w:r>
      <w:r>
        <w:t>, Ministry of Environment and Natural Resources, T</w:t>
      </w:r>
      <w:r w:rsidRPr="00EC5F3F">
        <w:t>hu</w:t>
      </w:r>
      <w:r>
        <w:t xml:space="preserve"> </w:t>
      </w:r>
      <w:r>
        <w:t>V</w:t>
      </w:r>
      <w:r w:rsidRPr="00EC5F3F">
        <w:t>ien</w:t>
      </w:r>
      <w:r>
        <w:t xml:space="preserve"> P</w:t>
      </w:r>
      <w:r w:rsidRPr="00EC5F3F">
        <w:t xml:space="preserve">hapluat </w:t>
      </w:r>
      <w:hyperlink r:id="rId4" w:history="1">
        <w:r w:rsidRPr="00EA4C80">
          <w:rPr>
            <w:rStyle w:val="Hyperlink"/>
          </w:rPr>
          <w:t>https://thuvienphapluat.vn/van-ban/Tai-nguyen-Moi-truong/Thong-tu-bao-ve-moi-truong-hoa-chat-thuoc-bao-ve-thuc-vat-thuoc-thu-y-2017-343698.aspx</w:t>
        </w:r>
      </w:hyperlink>
      <w:r>
        <w:t xml:space="preserve"> </w:t>
      </w:r>
    </w:p>
  </w:endnote>
  <w:endnote w:id="6">
    <w:p w14:paraId="2DE67A16" w14:textId="77777777" w:rsidR="007600C4" w:rsidRDefault="007600C4" w:rsidP="007600C4">
      <w:pPr>
        <w:pStyle w:val="EndnoteText"/>
      </w:pPr>
      <w:r>
        <w:rPr>
          <w:rStyle w:val="EndnoteReference"/>
        </w:rPr>
        <w:endnoteRef/>
      </w:r>
      <w:r>
        <w:t xml:space="preserve"> Aoki J (2017) Vietnam discloses draft circular for introducing PRTR: 15 industries covered, such as chemicals and batteries, </w:t>
      </w:r>
      <w:r>
        <w:t>EnvilianceAsia</w:t>
      </w:r>
    </w:p>
    <w:p w14:paraId="7DE65A15" w14:textId="77777777" w:rsidR="007600C4" w:rsidRPr="00907FA4" w:rsidRDefault="00000000" w:rsidP="007600C4">
      <w:pPr>
        <w:pStyle w:val="EndnoteText"/>
      </w:pPr>
      <w:hyperlink r:id="rId5" w:history="1">
        <w:r w:rsidR="007600C4" w:rsidRPr="00BA476B">
          <w:rPr>
            <w:rStyle w:val="Hyperlink"/>
          </w:rPr>
          <w:t>https://enviliance.com/regions/southeast-asia/vn/report_516</w:t>
        </w:r>
      </w:hyperlink>
      <w:r w:rsidR="007600C4">
        <w:t xml:space="preserve"> </w:t>
      </w:r>
    </w:p>
  </w:endnote>
  <w:endnote w:id="7">
    <w:p w14:paraId="091ACB66" w14:textId="77777777" w:rsidR="007600C4" w:rsidRDefault="007600C4" w:rsidP="007600C4">
      <w:pPr>
        <w:pStyle w:val="EndnoteText"/>
      </w:pPr>
      <w:r>
        <w:rPr>
          <w:rStyle w:val="EndnoteReference"/>
        </w:rPr>
        <w:endnoteRef/>
      </w:r>
      <w:r>
        <w:t xml:space="preserve"> </w:t>
      </w:r>
      <w:r w:rsidRPr="0038627C">
        <w:t>Government of Vietnam (2020) Law on environmental protection, Chapter VI – Waste management and control of pollutants,</w:t>
      </w:r>
      <w:r>
        <w:t xml:space="preserve"> </w:t>
      </w:r>
      <w:hyperlink r:id="rId6" w:anchor="Chapter_VI_%E2%80%93_WASTE_MANAGEMENT_AND_CONTROL_OF_OTHER_POLLUTANTS" w:history="1">
        <w:r w:rsidRPr="00EA4C80">
          <w:rPr>
            <w:rStyle w:val="Hyperlink"/>
          </w:rPr>
          <w:t>https://warrenb.vn/law-on-environmental-protection-2020/#Chapter_VI_%E2%80%93_WASTE_MANAGEMENT_AND_CONTROL_OF_OTHER_POLLUTANTS</w:t>
        </w:r>
      </w:hyperlink>
      <w:r>
        <w:t xml:space="preserve"> </w:t>
      </w:r>
    </w:p>
  </w:endnote>
  <w:endnote w:id="8">
    <w:p w14:paraId="63F9AD98" w14:textId="77777777" w:rsidR="007600C4" w:rsidRDefault="007600C4" w:rsidP="007600C4">
      <w:pPr>
        <w:pStyle w:val="EndnoteText"/>
      </w:pPr>
      <w:r>
        <w:rPr>
          <w:rStyle w:val="EndnoteReference"/>
        </w:rPr>
        <w:endnoteRef/>
      </w:r>
      <w:r>
        <w:t xml:space="preserve"> Government of Vietnam (2022) </w:t>
      </w:r>
      <w:r w:rsidRPr="0038627C">
        <w:t>Decree No. 08/2022/ND-CP</w:t>
      </w:r>
      <w:r>
        <w:t>, A Chau</w:t>
      </w:r>
    </w:p>
    <w:p w14:paraId="7C857A21" w14:textId="77777777" w:rsidR="007600C4" w:rsidRDefault="00000000" w:rsidP="007600C4">
      <w:pPr>
        <w:pStyle w:val="EndnoteText"/>
      </w:pPr>
      <w:hyperlink r:id="rId7" w:history="1">
        <w:r w:rsidR="007600C4" w:rsidRPr="0038627C">
          <w:rPr>
            <w:rStyle w:val="Hyperlink"/>
          </w:rPr>
          <w:t>https://moitruongachau.com/en/decree-no-08-2022-nd-cp.html</w:t>
        </w:r>
      </w:hyperlink>
      <w:r w:rsidR="007600C4">
        <w:t xml:space="preserve"> </w:t>
      </w:r>
    </w:p>
  </w:endnote>
  <w:endnote w:id="9">
    <w:p w14:paraId="0C6EEC4F" w14:textId="77777777" w:rsidR="00430123" w:rsidRPr="002D46D0" w:rsidRDefault="00430123" w:rsidP="00430123">
      <w:pPr>
        <w:pStyle w:val="EndnoteText"/>
        <w:rPr>
          <w:lang w:val="es-MX"/>
        </w:rPr>
      </w:pPr>
      <w:r>
        <w:rPr>
          <w:rStyle w:val="EndnoteReference"/>
        </w:rPr>
        <w:endnoteRef/>
      </w:r>
      <w:r w:rsidRPr="002D46D0">
        <w:rPr>
          <w:lang w:val="es-MX"/>
        </w:rPr>
        <w:t xml:space="preserve"> Mecie (2024) PRTR, PRTR.vn </w:t>
      </w:r>
      <w:hyperlink r:id="rId8" w:history="1">
        <w:r w:rsidRPr="002D46D0">
          <w:rPr>
            <w:rStyle w:val="Hyperlink"/>
            <w:lang w:val="es-MX"/>
          </w:rPr>
          <w:t>https://www.prtr.vn/index</w:t>
        </w:r>
      </w:hyperlink>
      <w:r w:rsidRPr="002D46D0">
        <w:rPr>
          <w:lang w:val="es-MX"/>
        </w:rPr>
        <w:t xml:space="preserve"> </w:t>
      </w:r>
    </w:p>
  </w:endnote>
  <w:endnote w:id="10">
    <w:p w14:paraId="166C5BE8" w14:textId="77777777" w:rsidR="00430123" w:rsidRPr="002D46D0" w:rsidRDefault="00430123" w:rsidP="00430123">
      <w:pPr>
        <w:pStyle w:val="EndnoteText"/>
        <w:rPr>
          <w:lang w:val="es-MX"/>
        </w:rPr>
      </w:pPr>
      <w:r>
        <w:rPr>
          <w:rStyle w:val="EndnoteReference"/>
        </w:rPr>
        <w:endnoteRef/>
      </w:r>
      <w:r w:rsidRPr="002D46D0">
        <w:rPr>
          <w:lang w:val="es-MX"/>
        </w:rPr>
        <w:t xml:space="preserve"> Mecie (2024) PRTR, PRTR.vn  </w:t>
      </w:r>
      <w:hyperlink r:id="rId9" w:history="1">
        <w:r w:rsidRPr="002D46D0">
          <w:rPr>
            <w:rStyle w:val="Hyperlink"/>
            <w:lang w:val="es-MX"/>
          </w:rPr>
          <w:t>https://www.prtr.vn/index</w:t>
        </w:r>
      </w:hyperlink>
      <w:r w:rsidRPr="002D46D0">
        <w:rPr>
          <w:lang w:val="es-MX"/>
        </w:rPr>
        <w:t xml:space="preserve"> </w:t>
      </w:r>
    </w:p>
  </w:endnote>
  <w:endnote w:id="11">
    <w:p w14:paraId="23969AB2" w14:textId="419CB446" w:rsidR="00B26764" w:rsidRPr="008E070F" w:rsidRDefault="00B26764">
      <w:pPr>
        <w:pStyle w:val="EndnoteText"/>
        <w:rPr>
          <w:rFonts w:eastAsia="Batang"/>
        </w:rPr>
      </w:pPr>
      <w:r>
        <w:rPr>
          <w:rStyle w:val="EndnoteReference"/>
        </w:rPr>
        <w:endnoteRef/>
      </w:r>
      <w:r>
        <w:t xml:space="preserve"> </w:t>
      </w:r>
      <w:r>
        <w:rPr>
          <w:rFonts w:eastAsia="Batang" w:hint="eastAsia"/>
        </w:rPr>
        <w:t>D</w:t>
      </w:r>
      <w:r w:rsidRPr="00B26764">
        <w:rPr>
          <w:rFonts w:eastAsia="Batang"/>
        </w:rPr>
        <w:t xml:space="preserve">ecision of the Prime Minister No. 55/2007/QĐ - </w:t>
      </w:r>
      <w:r w:rsidRPr="00B26764">
        <w:rPr>
          <w:rFonts w:eastAsia="Batang"/>
        </w:rPr>
        <w:t>TTg dated 23 April 2007</w:t>
      </w:r>
    </w:p>
  </w:endnote>
  <w:endnote w:id="12">
    <w:p w14:paraId="2BE384B9" w14:textId="37BC5ECB" w:rsidR="009E72F1" w:rsidRPr="008E070F" w:rsidRDefault="009E72F1">
      <w:pPr>
        <w:pStyle w:val="EndnoteText"/>
        <w:rPr>
          <w:rFonts w:eastAsia="Batang"/>
        </w:rPr>
      </w:pPr>
      <w:r>
        <w:rPr>
          <w:rStyle w:val="EndnoteReference"/>
        </w:rPr>
        <w:endnoteRef/>
      </w:r>
      <w:r>
        <w:t xml:space="preserve"> </w:t>
      </w:r>
      <w:r w:rsidRPr="009E72F1">
        <w:t xml:space="preserve">Resolution No. 23-NQ/TW dated March 22, </w:t>
      </w:r>
      <w:r w:rsidRPr="009E72F1">
        <w:t>2018 of the Central Committee, the supreme body of the Communist Party of Vietnam on Orientation Towards Formulation of National Industrial Development Policy by 2030 with a Vision to 2045</w:t>
      </w:r>
      <w:r w:rsidRPr="009E72F1">
        <w:rPr>
          <w:rFonts w:hint="eastAsia"/>
        </w:rPr>
        <w:t>,</w:t>
      </w:r>
    </w:p>
  </w:endnote>
  <w:endnote w:id="13">
    <w:p w14:paraId="5B085CD0" w14:textId="77777777" w:rsidR="00C72F9A" w:rsidRDefault="00C72F9A" w:rsidP="00C72F9A">
      <w:pPr>
        <w:pStyle w:val="EndnoteText"/>
      </w:pPr>
      <w:r>
        <w:rPr>
          <w:rStyle w:val="EndnoteReference"/>
        </w:rPr>
        <w:endnoteRef/>
      </w:r>
      <w:r>
        <w:rPr>
          <w:rStyle w:val="NoneA"/>
          <w:rFonts w:eastAsia="Arial Unicode MS" w:cs="Arial Unicode MS"/>
        </w:rPr>
        <w:t xml:space="preserve"> Y </w:t>
      </w:r>
      <w:r>
        <w:rPr>
          <w:rStyle w:val="NoneA"/>
          <w:rFonts w:eastAsia="Arial Unicode MS" w:cs="Arial Unicode MS"/>
        </w:rPr>
        <w:t xml:space="preserve">Nhuỵ (2023) Vietnam's electronics industry still maintains a positive growth rate, Vietnamnet, </w:t>
      </w:r>
      <w:hyperlink r:id="rId10" w:history="1">
        <w:r>
          <w:rPr>
            <w:rStyle w:val="Hyperlink1"/>
            <w:rFonts w:eastAsia="Arial Unicode MS" w:cs="Arial Unicode MS"/>
          </w:rPr>
          <w:t>https://vietnamnet.vn/cong-nghiep-dien-tu-viet-nam-van-duy-tri-toc-do-tang-truong-kha-quan-2098103.html</w:t>
        </w:r>
      </w:hyperlink>
      <w:r>
        <w:rPr>
          <w:rStyle w:val="Hyperlink1"/>
          <w:rFonts w:eastAsia="Arial Unicode MS" w:cs="Arial Unicode MS"/>
        </w:rPr>
        <w:t xml:space="preserve"> </w:t>
      </w:r>
    </w:p>
  </w:endnote>
  <w:endnote w:id="14">
    <w:p w14:paraId="6ADD8E79" w14:textId="77777777" w:rsidR="00C72F9A" w:rsidRDefault="00C72F9A" w:rsidP="00C72F9A">
      <w:pPr>
        <w:pStyle w:val="EndnoteText"/>
        <w:rPr>
          <w:rFonts w:eastAsia="Batang"/>
        </w:rPr>
      </w:pPr>
      <w:r>
        <w:rPr>
          <w:rStyle w:val="EndnoteReference"/>
        </w:rPr>
        <w:endnoteRef/>
      </w:r>
      <w:r>
        <w:t xml:space="preserve"> </w:t>
      </w:r>
      <w:r>
        <w:rPr>
          <w:rFonts w:eastAsia="Batang" w:hint="eastAsia"/>
        </w:rPr>
        <w:t>GSO (2022) Statistical Yearbook of Vietnam, GSO</w:t>
      </w:r>
    </w:p>
    <w:p w14:paraId="50AF9BE9" w14:textId="77777777" w:rsidR="00C72F9A" w:rsidRPr="002F69C9" w:rsidRDefault="00000000" w:rsidP="00C72F9A">
      <w:pPr>
        <w:pStyle w:val="EndnoteText"/>
        <w:rPr>
          <w:rStyle w:val="Hyperlink0"/>
          <w:rFonts w:eastAsia="Batang"/>
        </w:rPr>
      </w:pPr>
      <w:hyperlink r:id="rId11" w:history="1">
        <w:r w:rsidR="00C72F9A" w:rsidRPr="002F69C9">
          <w:rPr>
            <w:rStyle w:val="Hyperlink0"/>
            <w:rFonts w:eastAsia="Malgun Gothic"/>
          </w:rPr>
          <w:t>https://www.gso.gov.vn/wp-content/uploads/2023/06/Sach-Nien-giam-TK-2022-update-21.7_file-nen-Water.pdf</w:t>
        </w:r>
      </w:hyperlink>
      <w:r w:rsidR="00C72F9A" w:rsidRPr="002F69C9">
        <w:rPr>
          <w:rStyle w:val="Hyperlink0"/>
          <w:rFonts w:eastAsia="Malgun Gothic" w:hint="eastAsia"/>
        </w:rPr>
        <w:t xml:space="preserve"> </w:t>
      </w:r>
      <w:r w:rsidR="00C72F9A" w:rsidRPr="002F69C9">
        <w:rPr>
          <w:rStyle w:val="Hyperlink0"/>
        </w:rPr>
        <w:t xml:space="preserve"> </w:t>
      </w:r>
    </w:p>
  </w:endnote>
  <w:endnote w:id="15">
    <w:p w14:paraId="7D2D9588" w14:textId="77777777" w:rsidR="00543A67" w:rsidRDefault="00543A67" w:rsidP="00543A67">
      <w:pPr>
        <w:pStyle w:val="EndnoteText"/>
      </w:pPr>
      <w:r>
        <w:rPr>
          <w:rStyle w:val="EndnoteReference"/>
        </w:rPr>
        <w:endnoteRef/>
      </w:r>
      <w:r>
        <w:rPr>
          <w:rFonts w:eastAsia="Arial Unicode MS" w:cs="Arial Unicode MS"/>
        </w:rPr>
        <w:t xml:space="preserve"> </w:t>
      </w:r>
      <w:r>
        <w:rPr>
          <w:rFonts w:eastAsia="Arial Unicode MS" w:cs="Arial Unicode MS"/>
        </w:rPr>
        <w:t xml:space="preserve">Hoai T (2022) Samsung to increase Vietnam investment to $20B, VN Express, December 6, 2022 </w:t>
      </w:r>
      <w:hyperlink r:id="rId12" w:history="1">
        <w:r>
          <w:rPr>
            <w:rFonts w:eastAsia="Arial Unicode MS" w:cs="Arial Unicode MS"/>
          </w:rPr>
          <w:t>https://e.vnexpress.net/news/companies/samsung-to-increase-vietnam-investment-to-20b-4544922.html</w:t>
        </w:r>
      </w:hyperlink>
      <w:r>
        <w:rPr>
          <w:rFonts w:eastAsia="Arial Unicode MS" w:cs="Arial Unicode MS"/>
        </w:rPr>
        <w:t xml:space="preserve"> </w:t>
      </w:r>
    </w:p>
  </w:endnote>
  <w:endnote w:id="16">
    <w:p w14:paraId="58CE7F03" w14:textId="77777777" w:rsidR="00543A67" w:rsidRDefault="00543A67" w:rsidP="00543A67">
      <w:pPr>
        <w:pStyle w:val="EndnoteText"/>
      </w:pPr>
      <w:r>
        <w:rPr>
          <w:rStyle w:val="EndnoteReference"/>
        </w:rPr>
        <w:endnoteRef/>
      </w:r>
      <w:r>
        <w:rPr>
          <w:rFonts w:eastAsia="Arial Unicode MS" w:cs="Arial Unicode MS"/>
        </w:rPr>
        <w:t xml:space="preserve"> Tri D (2022) Samsung's Vietnam subsidiaries reap $4.67 </w:t>
      </w:r>
      <w:r>
        <w:rPr>
          <w:rFonts w:eastAsia="Arial Unicode MS" w:cs="Arial Unicode MS"/>
        </w:rPr>
        <w:t>bln profit in 2022, The Investor,</w:t>
      </w:r>
      <w:r>
        <w:rPr>
          <w:rFonts w:eastAsia="Arial Unicode MS" w:cs="Arial Unicode MS"/>
          <w:b/>
          <w:bCs/>
        </w:rPr>
        <w:t xml:space="preserve"> </w:t>
      </w:r>
      <w:r>
        <w:rPr>
          <w:rFonts w:eastAsia="Arial Unicode MS" w:cs="Arial Unicode MS"/>
        </w:rPr>
        <w:t xml:space="preserve">February 18, 2023 </w:t>
      </w:r>
      <w:hyperlink r:id="rId13" w:history="1">
        <w:r>
          <w:rPr>
            <w:rFonts w:eastAsia="Arial Unicode MS" w:cs="Arial Unicode MS"/>
          </w:rPr>
          <w:t>https://theinvestor.vn/samsungs-vietnam-subsidiaries-reap-467-bln-profit-in-2022-d3767.html</w:t>
        </w:r>
      </w:hyperlink>
      <w:r>
        <w:rPr>
          <w:rFonts w:eastAsia="Arial Unicode MS" w:cs="Arial Unicode MS"/>
        </w:rPr>
        <w:t xml:space="preserve"> </w:t>
      </w:r>
    </w:p>
  </w:endnote>
  <w:endnote w:id="17">
    <w:p w14:paraId="04EB72A1" w14:textId="77777777" w:rsidR="00543A67" w:rsidRDefault="00543A67" w:rsidP="00543A67">
      <w:pPr>
        <w:pStyle w:val="EndnoteText"/>
      </w:pPr>
      <w:r>
        <w:rPr>
          <w:rStyle w:val="EndnoteReference"/>
        </w:rPr>
        <w:endnoteRef/>
      </w:r>
      <w:r>
        <w:rPr>
          <w:rFonts w:eastAsia="Arial Unicode MS" w:cs="Arial Unicode MS"/>
        </w:rPr>
        <w:t xml:space="preserve"> Nguyen MH (2022) Number of Samsung employees Vietnam 2022, by branch, Statista </w:t>
      </w:r>
      <w:hyperlink r:id="rId14" w:history="1">
        <w:r>
          <w:rPr>
            <w:rFonts w:eastAsia="Arial Unicode MS" w:cs="Arial Unicode MS"/>
          </w:rPr>
          <w:t>https://www.statista.com/statistics/1262440/samsung-number-of-employees-vietnam-by-branch/</w:t>
        </w:r>
      </w:hyperlink>
      <w:r>
        <w:rPr>
          <w:rFonts w:eastAsia="Arial Unicode MS" w:cs="Arial Unicode MS"/>
        </w:rPr>
        <w:t xml:space="preserve"> </w:t>
      </w:r>
    </w:p>
  </w:endnote>
  <w:endnote w:id="18">
    <w:p w14:paraId="57994A7A" w14:textId="77777777" w:rsidR="00543A67" w:rsidRDefault="00543A67" w:rsidP="00543A67">
      <w:pPr>
        <w:pStyle w:val="EndnoteText"/>
      </w:pPr>
      <w:r>
        <w:rPr>
          <w:rStyle w:val="EndnoteReference"/>
        </w:rPr>
        <w:endnoteRef/>
      </w:r>
      <w:r>
        <w:rPr>
          <w:rFonts w:eastAsia="Arial Unicode MS" w:cs="Arial Unicode MS"/>
        </w:rPr>
        <w:t xml:space="preserve"> Nguyen D (2023) Samsung Vietnam exports $65B in 2022,</w:t>
      </w:r>
      <w:r>
        <w:rPr>
          <w:rFonts w:eastAsia="Arial Unicode MS" w:cs="Arial Unicode MS"/>
          <w:b/>
          <w:bCs/>
        </w:rPr>
        <w:t xml:space="preserve"> </w:t>
      </w:r>
      <w:r>
        <w:rPr>
          <w:rFonts w:eastAsia="Arial Unicode MS" w:cs="Arial Unicode MS"/>
        </w:rPr>
        <w:t xml:space="preserve">VN Express, January 17, 2023 </w:t>
      </w:r>
      <w:hyperlink r:id="rId15" w:history="1">
        <w:r>
          <w:rPr>
            <w:rFonts w:eastAsia="Arial Unicode MS" w:cs="Arial Unicode MS"/>
          </w:rPr>
          <w:t>https://e.vnexpress.net/news/companies/samsung-vietnam-exports-65b-in-2022-4561127.html</w:t>
        </w:r>
      </w:hyperlink>
      <w:r>
        <w:rPr>
          <w:rFonts w:eastAsia="Arial Unicode MS" w:cs="Arial Unicode MS"/>
        </w:rPr>
        <w:t xml:space="preserve"> </w:t>
      </w:r>
    </w:p>
  </w:endnote>
  <w:endnote w:id="19">
    <w:p w14:paraId="2ECB08CE" w14:textId="77777777" w:rsidR="00543A67" w:rsidRDefault="00543A67" w:rsidP="00543A67">
      <w:pPr>
        <w:pStyle w:val="EndnoteText"/>
      </w:pPr>
      <w:r>
        <w:rPr>
          <w:rStyle w:val="EndnoteReference"/>
        </w:rPr>
        <w:endnoteRef/>
      </w:r>
      <w:r>
        <w:rPr>
          <w:rFonts w:eastAsia="Arial Unicode MS" w:cs="Arial Unicode MS"/>
        </w:rPr>
        <w:t xml:space="preserve"> Vu K, Nguyen P (2022) Vietnam smartphone exports fall ahead of Christmas as Samsung cuts output,</w:t>
      </w:r>
      <w:r>
        <w:rPr>
          <w:rFonts w:eastAsia="Arial Unicode MS" w:cs="Arial Unicode MS"/>
          <w:b/>
          <w:bCs/>
        </w:rPr>
        <w:t xml:space="preserve"> </w:t>
      </w:r>
      <w:r>
        <w:rPr>
          <w:rFonts w:eastAsia="Arial Unicode MS" w:cs="Arial Unicode MS"/>
        </w:rPr>
        <w:t xml:space="preserve"> Reuters, November 29, 2022 </w:t>
      </w:r>
      <w:hyperlink r:id="rId16" w:history="1">
        <w:r>
          <w:rPr>
            <w:rFonts w:eastAsia="Arial Unicode MS" w:cs="Arial Unicode MS"/>
          </w:rPr>
          <w:t>https://www.reuters.com/technology/vietnam-smartphone-exports-fall-ahead-christmas-samsung-cuts-output-2022-11-29/</w:t>
        </w:r>
      </w:hyperlink>
      <w:r>
        <w:rPr>
          <w:rFonts w:eastAsia="Arial Unicode MS" w:cs="Arial Unicode MS"/>
        </w:rPr>
        <w:t xml:space="preserve"> </w:t>
      </w:r>
    </w:p>
  </w:endnote>
  <w:endnote w:id="20">
    <w:p w14:paraId="5A67EFC7" w14:textId="77777777" w:rsidR="00543A67" w:rsidRDefault="00543A67" w:rsidP="00543A67">
      <w:pPr>
        <w:pStyle w:val="EndnoteText"/>
      </w:pPr>
      <w:r>
        <w:rPr>
          <w:rStyle w:val="EndnoteReference"/>
        </w:rPr>
        <w:endnoteRef/>
      </w:r>
      <w:r>
        <w:t xml:space="preserve"> </w:t>
      </w:r>
      <w:r w:rsidRPr="008F2B30">
        <w:rPr>
          <w:rFonts w:hint="eastAsia"/>
        </w:rPr>
        <w:t xml:space="preserve">환경부 </w:t>
      </w:r>
      <w:r w:rsidRPr="008F2B30">
        <w:t xml:space="preserve">(2023) </w:t>
      </w:r>
      <w:r w:rsidRPr="008F2B30">
        <w:rPr>
          <w:rFonts w:hint="eastAsia"/>
        </w:rPr>
        <w:t>화학물질</w:t>
      </w:r>
      <w:r w:rsidRPr="008F2B30">
        <w:t xml:space="preserve"> </w:t>
      </w:r>
      <w:r w:rsidRPr="008F2B30">
        <w:rPr>
          <w:rFonts w:hint="eastAsia"/>
        </w:rPr>
        <w:t>배출</w:t>
      </w:r>
      <w:r w:rsidRPr="008F2B30">
        <w:t>·</w:t>
      </w:r>
      <w:r w:rsidRPr="008F2B30">
        <w:rPr>
          <w:rFonts w:hint="eastAsia"/>
        </w:rPr>
        <w:t>이동량정보공개</w:t>
      </w:r>
      <w:r>
        <w:rPr>
          <w:rFonts w:hint="eastAsia"/>
        </w:rPr>
        <w:t xml:space="preserve"> </w:t>
      </w:r>
      <w:hyperlink r:id="rId17" w:history="1">
        <w:r w:rsidRPr="008F2B30">
          <w:rPr>
            <w:rStyle w:val="Hyperlink"/>
          </w:rPr>
          <w:t>https://icis.me.go.kr/prtr/main.do</w:t>
        </w:r>
      </w:hyperlink>
      <w:r>
        <w:t xml:space="preserve"> </w:t>
      </w:r>
    </w:p>
  </w:endnote>
  <w:endnote w:id="21">
    <w:p w14:paraId="41CD722F" w14:textId="77777777" w:rsidR="00543A67" w:rsidRPr="002C43C5" w:rsidRDefault="00543A67" w:rsidP="00543A67">
      <w:pPr>
        <w:pStyle w:val="EndnoteText"/>
        <w:rPr>
          <w:rFonts w:eastAsia="Batang"/>
        </w:rPr>
      </w:pPr>
      <w:r>
        <w:rPr>
          <w:rStyle w:val="EndnoteReference"/>
        </w:rPr>
        <w:endnoteRef/>
      </w:r>
      <w:r>
        <w:t xml:space="preserve"> </w:t>
      </w:r>
      <w:r>
        <w:rPr>
          <w:rFonts w:eastAsia="Batang" w:hint="eastAsia"/>
        </w:rPr>
        <w:t xml:space="preserve">Boyd D (2024) </w:t>
      </w:r>
      <w:r w:rsidRPr="007600C4">
        <w:rPr>
          <w:rFonts w:eastAsia="Batang"/>
        </w:rPr>
        <w:t xml:space="preserve">Business, planetary boundaries, and the right to a clean, </w:t>
      </w:r>
      <w:r w:rsidRPr="007600C4">
        <w:rPr>
          <w:rFonts w:eastAsia="Batang"/>
        </w:rPr>
        <w:t>healthy and sustainable environment</w:t>
      </w:r>
      <w:r>
        <w:rPr>
          <w:rFonts w:eastAsia="Batang" w:hint="eastAsia"/>
        </w:rPr>
        <w:t xml:space="preserve">, Human Rights Council, Fifty-fifth session, </w:t>
      </w:r>
      <w:r w:rsidRPr="007600C4">
        <w:rPr>
          <w:rFonts w:eastAsia="Batang"/>
        </w:rPr>
        <w:t>26 February–5 April 2024</w:t>
      </w:r>
      <w:r>
        <w:rPr>
          <w:rFonts w:eastAsia="Batang" w:hint="eastAsia"/>
        </w:rPr>
        <w:t xml:space="preserve">, </w:t>
      </w:r>
      <w:r w:rsidRPr="007600C4">
        <w:rPr>
          <w:rFonts w:eastAsia="Batang"/>
        </w:rPr>
        <w:t>A/HRC/55/43</w:t>
      </w:r>
    </w:p>
  </w:endnote>
  <w:endnote w:id="22">
    <w:p w14:paraId="715CAFD2" w14:textId="77777777" w:rsidR="00A2430A" w:rsidRPr="00E94B2F" w:rsidRDefault="00A2430A" w:rsidP="00A2430A">
      <w:pPr>
        <w:pStyle w:val="EndnoteText"/>
        <w:rPr>
          <w:rFonts w:eastAsia="Batang"/>
        </w:rPr>
      </w:pPr>
      <w:r>
        <w:rPr>
          <w:rStyle w:val="EndnoteReference"/>
        </w:rPr>
        <w:endnoteRef/>
      </w:r>
      <w:r>
        <w:t xml:space="preserve"> </w:t>
      </w:r>
      <w:r>
        <w:rPr>
          <w:rFonts w:eastAsia="Batang" w:hint="eastAsia"/>
        </w:rPr>
        <w:t xml:space="preserve">US EPA (2024) TRI around the world, US EPA </w:t>
      </w:r>
      <w:hyperlink r:id="rId18" w:history="1">
        <w:r w:rsidRPr="00F54901">
          <w:rPr>
            <w:rStyle w:val="Hyperlink"/>
            <w:rFonts w:eastAsia="Batang"/>
          </w:rPr>
          <w:t>https://www.epa.gov/toxics-release-inventory-tri-program/tri-around-world</w:t>
        </w:r>
      </w:hyperlink>
      <w:r>
        <w:rPr>
          <w:rFonts w:eastAsia="Batang" w:hint="eastAsia"/>
        </w:rPr>
        <w:t xml:space="preserve"> </w:t>
      </w:r>
    </w:p>
  </w:endnote>
  <w:endnote w:id="23">
    <w:p w14:paraId="6A125C3E" w14:textId="77777777" w:rsidR="00A2430A" w:rsidRDefault="00A2430A" w:rsidP="00A2430A">
      <w:pPr>
        <w:pStyle w:val="EndnoteText"/>
      </w:pPr>
      <w:r>
        <w:rPr>
          <w:rStyle w:val="EndnoteReference"/>
        </w:rPr>
        <w:endnoteRef/>
      </w:r>
      <w:r>
        <w:t xml:space="preserve"> United Nations (2018) Report of the Special Rapporteur on the issue of human rights obligations relating to the enjoyment of a safe, clean, </w:t>
      </w:r>
      <w:r>
        <w:t>healthy and sustainable environment, UN General Assembly A/HRC/37/59</w:t>
      </w:r>
    </w:p>
    <w:p w14:paraId="5D69B53A" w14:textId="77777777" w:rsidR="00A2430A" w:rsidRPr="00CC04E1" w:rsidRDefault="00000000" w:rsidP="00A2430A">
      <w:pPr>
        <w:pStyle w:val="EndnoteText"/>
      </w:pPr>
      <w:hyperlink r:id="rId19" w:history="1">
        <w:r w:rsidR="00A2430A" w:rsidRPr="005015DF">
          <w:rPr>
            <w:rStyle w:val="Hyperlink"/>
          </w:rPr>
          <w:t>https://digitallibrary.un.org/record/1474985</w:t>
        </w:r>
      </w:hyperlink>
      <w:r w:rsidR="00A2430A">
        <w:t xml:space="preserve"> </w:t>
      </w:r>
    </w:p>
  </w:endnote>
  <w:endnote w:id="24">
    <w:p w14:paraId="3B5A51D4" w14:textId="77777777" w:rsidR="00A2430A" w:rsidRPr="007D0267" w:rsidRDefault="00A2430A" w:rsidP="00A2430A">
      <w:pPr>
        <w:pStyle w:val="EndnoteText"/>
      </w:pPr>
      <w:r>
        <w:rPr>
          <w:rStyle w:val="EndnoteReference"/>
        </w:rPr>
        <w:endnoteRef/>
      </w:r>
      <w:r>
        <w:t xml:space="preserve"> United Nations (2015) </w:t>
      </w:r>
      <w:r w:rsidRPr="007D0267">
        <w:t>Report of the Special Rapporteur on the implications for human rights of the environmentally sound management and disposal of hazardous substances and wastes, Başkut Tuncak</w:t>
      </w:r>
      <w:r>
        <w:t xml:space="preserve">, A/HRC/30/40 </w:t>
      </w:r>
      <w:hyperlink r:id="rId20" w:history="1">
        <w:r w:rsidRPr="00EA4C80">
          <w:rPr>
            <w:rStyle w:val="Hyperlink"/>
          </w:rPr>
          <w:t>https://digitallibrary.un.org/record/800897?ln=en</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0679"/>
      <w:docPartObj>
        <w:docPartGallery w:val="Page Numbers (Bottom of Page)"/>
        <w:docPartUnique/>
      </w:docPartObj>
    </w:sdtPr>
    <w:sdtEndPr>
      <w:rPr>
        <w:noProof/>
      </w:rPr>
    </w:sdtEndPr>
    <w:sdtContent>
      <w:p w14:paraId="5AA2CC56" w14:textId="44225F0F" w:rsidR="00375F01" w:rsidRDefault="00375F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0ECB4" w14:textId="5D2E7747" w:rsidR="009E79AB" w:rsidRDefault="009E79AB">
    <w:pPr>
      <w:pStyle w:val="HeaderFooter"/>
      <w:tabs>
        <w:tab w:val="clear" w:pos="902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557E" w14:textId="77777777" w:rsidR="00197D3F" w:rsidRDefault="00197D3F">
      <w:r>
        <w:separator/>
      </w:r>
    </w:p>
  </w:footnote>
  <w:footnote w:type="continuationSeparator" w:id="0">
    <w:p w14:paraId="4B09EABA" w14:textId="77777777" w:rsidR="00197D3F" w:rsidRDefault="0019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2774"/>
    <w:multiLevelType w:val="hybridMultilevel"/>
    <w:tmpl w:val="838046CC"/>
    <w:lvl w:ilvl="0" w:tplc="5B564A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3C9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A0978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1A99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2CC7F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12981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048E1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7AEA4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46818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115371"/>
    <w:multiLevelType w:val="hybridMultilevel"/>
    <w:tmpl w:val="9D3A57C6"/>
    <w:numStyleLink w:val="Bullet"/>
  </w:abstractNum>
  <w:abstractNum w:abstractNumId="2" w15:restartNumberingAfterBreak="0">
    <w:nsid w:val="57E378ED"/>
    <w:multiLevelType w:val="hybridMultilevel"/>
    <w:tmpl w:val="8828FFAA"/>
    <w:numStyleLink w:val="Dash"/>
  </w:abstractNum>
  <w:abstractNum w:abstractNumId="3" w15:restartNumberingAfterBreak="0">
    <w:nsid w:val="68AE37CF"/>
    <w:multiLevelType w:val="hybridMultilevel"/>
    <w:tmpl w:val="9D3A57C6"/>
    <w:styleLink w:val="Bullet"/>
    <w:lvl w:ilvl="0" w:tplc="CD2EFE20">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 w:ilvl="1" w:tplc="D66EFAC8">
      <w:start w:val="1"/>
      <w:numFmt w:val="bullet"/>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tplc="8DAA42A8">
      <w:start w:val="1"/>
      <w:numFmt w:val="bullet"/>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tplc="86AE246C">
      <w:start w:val="1"/>
      <w:numFmt w:val="bullet"/>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tplc="BCD602E2">
      <w:start w:val="1"/>
      <w:numFmt w:val="bullet"/>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tplc="EC260CD6">
      <w:start w:val="1"/>
      <w:numFmt w:val="bullet"/>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tplc="AE6034DE">
      <w:start w:val="1"/>
      <w:numFmt w:val="bullet"/>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tplc="92D8CF48">
      <w:start w:val="1"/>
      <w:numFmt w:val="bullet"/>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tplc="994ED0B2">
      <w:start w:val="1"/>
      <w:numFmt w:val="bullet"/>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7EF1339D"/>
    <w:multiLevelType w:val="hybridMultilevel"/>
    <w:tmpl w:val="8828FFAA"/>
    <w:styleLink w:val="Dash"/>
    <w:lvl w:ilvl="0" w:tplc="B352C830">
      <w:start w:val="1"/>
      <w:numFmt w:val="bullet"/>
      <w:lvlText w:val="-"/>
      <w:lvlJc w:val="left"/>
      <w:pPr>
        <w:ind w:left="320" w:hanging="320"/>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tplc="84EA7C96">
      <w:start w:val="1"/>
      <w:numFmt w:val="bullet"/>
      <w:lvlText w:val="-"/>
      <w:lvlJc w:val="left"/>
      <w:pPr>
        <w:ind w:left="5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2" w:tplc="15AE13E6">
      <w:start w:val="1"/>
      <w:numFmt w:val="bullet"/>
      <w:lvlText w:val="-"/>
      <w:lvlJc w:val="left"/>
      <w:pPr>
        <w:ind w:left="8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tplc="A9F6BE50">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4" w:tplc="8FA66AC4">
      <w:start w:val="1"/>
      <w:numFmt w:val="bullet"/>
      <w:lvlText w:val="-"/>
      <w:lvlJc w:val="left"/>
      <w:pPr>
        <w:ind w:left="128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tplc="7976176E">
      <w:start w:val="1"/>
      <w:numFmt w:val="bullet"/>
      <w:lvlText w:val="-"/>
      <w:lvlJc w:val="left"/>
      <w:pPr>
        <w:ind w:left="15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6" w:tplc="1C6A606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tplc="D4AC4218">
      <w:start w:val="1"/>
      <w:numFmt w:val="bullet"/>
      <w:lvlText w:val="-"/>
      <w:lvlJc w:val="left"/>
      <w:pPr>
        <w:ind w:left="20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8" w:tplc="F648B422">
      <w:start w:val="1"/>
      <w:numFmt w:val="bullet"/>
      <w:lvlText w:val="-"/>
      <w:lvlJc w:val="left"/>
      <w:pPr>
        <w:ind w:left="22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num w:numId="1" w16cid:durableId="1304853048">
    <w:abstractNumId w:val="4"/>
  </w:num>
  <w:num w:numId="2" w16cid:durableId="1866673521">
    <w:abstractNumId w:val="2"/>
  </w:num>
  <w:num w:numId="3" w16cid:durableId="1629631050">
    <w:abstractNumId w:val="0"/>
  </w:num>
  <w:num w:numId="4" w16cid:durableId="1424377860">
    <w:abstractNumId w:val="3"/>
  </w:num>
  <w:num w:numId="5" w16cid:durableId="134967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AB"/>
    <w:rsid w:val="00197D3F"/>
    <w:rsid w:val="00231A6F"/>
    <w:rsid w:val="00242F67"/>
    <w:rsid w:val="00375F01"/>
    <w:rsid w:val="00430123"/>
    <w:rsid w:val="004A3358"/>
    <w:rsid w:val="00543A67"/>
    <w:rsid w:val="0069202D"/>
    <w:rsid w:val="006A700C"/>
    <w:rsid w:val="007600C4"/>
    <w:rsid w:val="00816DD6"/>
    <w:rsid w:val="008B2B6F"/>
    <w:rsid w:val="008B3828"/>
    <w:rsid w:val="008E070F"/>
    <w:rsid w:val="00917FDF"/>
    <w:rsid w:val="009E72F1"/>
    <w:rsid w:val="009E79AB"/>
    <w:rsid w:val="00A2430A"/>
    <w:rsid w:val="00B26764"/>
    <w:rsid w:val="00B448C9"/>
    <w:rsid w:val="00C72F9A"/>
    <w:rsid w:val="00D16039"/>
    <w:rsid w:val="00D50FBE"/>
    <w:rsid w:val="00D960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4A3358"/>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numbering" w:customStyle="1" w:styleId="Dash">
    <w:name w:val="Dash"/>
    <w:pPr>
      <w:numPr>
        <w:numId w:val="1"/>
      </w:numPr>
    </w:pPr>
  </w:style>
  <w:style w:type="numbering" w:customStyle="1" w:styleId="Bullet">
    <w:name w:val="Bullet"/>
    <w:pPr>
      <w:numPr>
        <w:numId w:val="4"/>
      </w:numPr>
    </w:pPr>
  </w:style>
  <w:style w:type="character" w:customStyle="1" w:styleId="Hyperlink0">
    <w:name w:val="Hyperlink.0"/>
    <w:basedOn w:val="Hyperlink"/>
    <w:qFormat/>
    <w:rPr>
      <w:u w:val="single"/>
    </w:rPr>
  </w:style>
  <w:style w:type="character" w:customStyle="1" w:styleId="Heading1Char">
    <w:name w:val="Heading 1 Char"/>
    <w:basedOn w:val="DefaultParagraphFont"/>
    <w:link w:val="Heading1"/>
    <w:uiPriority w:val="9"/>
    <w:rsid w:val="004A3358"/>
    <w:rPr>
      <w:rFonts w:asciiTheme="majorHAnsi" w:eastAsiaTheme="majorEastAsia" w:hAnsiTheme="majorHAnsi" w:cstheme="majorBidi"/>
      <w:color w:val="0079BF" w:themeColor="accent1" w:themeShade="BF"/>
      <w:sz w:val="32"/>
      <w:szCs w:val="32"/>
      <w:lang w:eastAsia="en-US"/>
    </w:rPr>
  </w:style>
  <w:style w:type="character" w:styleId="UnresolvedMention">
    <w:name w:val="Unresolved Mention"/>
    <w:basedOn w:val="DefaultParagraphFont"/>
    <w:uiPriority w:val="99"/>
    <w:semiHidden/>
    <w:unhideWhenUsed/>
    <w:rsid w:val="00375F01"/>
    <w:rPr>
      <w:color w:val="605E5C"/>
      <w:shd w:val="clear" w:color="auto" w:fill="E1DFDD"/>
    </w:rPr>
  </w:style>
  <w:style w:type="paragraph" w:styleId="Revision">
    <w:name w:val="Revision"/>
    <w:hidden/>
    <w:uiPriority w:val="99"/>
    <w:semiHidden/>
    <w:rsid w:val="00375F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unhideWhenUsed/>
    <w:rsid w:val="00375F01"/>
    <w:pPr>
      <w:tabs>
        <w:tab w:val="center" w:pos="4680"/>
        <w:tab w:val="right" w:pos="9360"/>
      </w:tabs>
    </w:pPr>
  </w:style>
  <w:style w:type="character" w:customStyle="1" w:styleId="HeaderChar">
    <w:name w:val="Header Char"/>
    <w:basedOn w:val="DefaultParagraphFont"/>
    <w:link w:val="Header"/>
    <w:uiPriority w:val="99"/>
    <w:rsid w:val="00375F01"/>
    <w:rPr>
      <w:sz w:val="24"/>
      <w:szCs w:val="24"/>
      <w:lang w:eastAsia="en-US"/>
    </w:rPr>
  </w:style>
  <w:style w:type="paragraph" w:styleId="Footer">
    <w:name w:val="footer"/>
    <w:basedOn w:val="Normal"/>
    <w:link w:val="FooterChar"/>
    <w:uiPriority w:val="99"/>
    <w:unhideWhenUsed/>
    <w:rsid w:val="00375F01"/>
    <w:pPr>
      <w:tabs>
        <w:tab w:val="center" w:pos="4680"/>
        <w:tab w:val="right" w:pos="9360"/>
      </w:tabs>
    </w:pPr>
  </w:style>
  <w:style w:type="character" w:customStyle="1" w:styleId="FooterChar">
    <w:name w:val="Footer Char"/>
    <w:basedOn w:val="DefaultParagraphFont"/>
    <w:link w:val="Footer"/>
    <w:uiPriority w:val="99"/>
    <w:rsid w:val="00375F01"/>
    <w:rPr>
      <w:sz w:val="24"/>
      <w:szCs w:val="24"/>
      <w:lang w:eastAsia="en-US"/>
    </w:rPr>
  </w:style>
  <w:style w:type="character" w:customStyle="1" w:styleId="NoneA">
    <w:name w:val="None A"/>
    <w:rsid w:val="00C72F9A"/>
    <w:rPr>
      <w:lang w:val="en-US"/>
    </w:rPr>
  </w:style>
  <w:style w:type="character" w:customStyle="1" w:styleId="None">
    <w:name w:val="None"/>
    <w:rsid w:val="00C72F9A"/>
  </w:style>
  <w:style w:type="paragraph" w:styleId="EndnoteText">
    <w:name w:val="endnote text"/>
    <w:link w:val="EndnoteTextChar"/>
    <w:rsid w:val="00C72F9A"/>
    <w:rPr>
      <w:rFonts w:eastAsia="Times New Roman"/>
      <w:color w:val="000000"/>
      <w:u w:color="000000"/>
    </w:rPr>
  </w:style>
  <w:style w:type="character" w:customStyle="1" w:styleId="EndnoteTextChar">
    <w:name w:val="Endnote Text Char"/>
    <w:basedOn w:val="DefaultParagraphFont"/>
    <w:link w:val="EndnoteText"/>
    <w:uiPriority w:val="99"/>
    <w:rsid w:val="00C72F9A"/>
    <w:rPr>
      <w:rFonts w:eastAsia="Times New Roman"/>
      <w:color w:val="000000"/>
      <w:u w:color="000000"/>
    </w:rPr>
  </w:style>
  <w:style w:type="character" w:styleId="EndnoteReference">
    <w:name w:val="endnote reference"/>
    <w:uiPriority w:val="99"/>
    <w:rsid w:val="00C72F9A"/>
    <w:rPr>
      <w:vertAlign w:val="superscript"/>
    </w:rPr>
  </w:style>
  <w:style w:type="character" w:customStyle="1" w:styleId="Hyperlink1">
    <w:name w:val="Hyperlink.1"/>
    <w:basedOn w:val="None"/>
    <w:rsid w:val="00C72F9A"/>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prtr.vn/index" TargetMode="External"/><Relationship Id="rId13" Type="http://schemas.openxmlformats.org/officeDocument/2006/relationships/hyperlink" Target="https://theinvestor.vn/samsungs-vietnam-subsidiaries-reap-467-bln-profit-in-2022-d3767.html" TargetMode="External"/><Relationship Id="rId18" Type="http://schemas.openxmlformats.org/officeDocument/2006/relationships/hyperlink" Target="https://www.epa.gov/toxics-release-inventory-tri-program/tri-around-world" TargetMode="External"/><Relationship Id="rId3" Type="http://schemas.openxmlformats.org/officeDocument/2006/relationships/hyperlink" Target="https://digitallibrary.un.org/record/800897?ln=en" TargetMode="External"/><Relationship Id="rId7" Type="http://schemas.openxmlformats.org/officeDocument/2006/relationships/hyperlink" Target="https://moitruongachau.com/en/decree-no-08-2022-nd-cp.html" TargetMode="External"/><Relationship Id="rId12" Type="http://schemas.openxmlformats.org/officeDocument/2006/relationships/hyperlink" Target="https://e.vnexpress.net/news/companies/samsung-to-increase-vietnam-investment-to-20b-4544922.html" TargetMode="External"/><Relationship Id="rId17" Type="http://schemas.openxmlformats.org/officeDocument/2006/relationships/hyperlink" Target="https://icis.me.go.kr/prtr/main.do" TargetMode="External"/><Relationship Id="rId2" Type="http://schemas.openxmlformats.org/officeDocument/2006/relationships/hyperlink" Target="https://digitallibrary.un.org/record/1474985" TargetMode="External"/><Relationship Id="rId16" Type="http://schemas.openxmlformats.org/officeDocument/2006/relationships/hyperlink" Target="https://www.reuters.com/technology/vietnam-smartphone-exports-fall-ahead-christmas-samsung-cuts-output-2022-11-29/" TargetMode="External"/><Relationship Id="rId20" Type="http://schemas.openxmlformats.org/officeDocument/2006/relationships/hyperlink" Target="https://digitallibrary.un.org/record/800897?ln=en" TargetMode="External"/><Relationship Id="rId1" Type="http://schemas.openxmlformats.org/officeDocument/2006/relationships/hyperlink" Target="https://news.un.org/en/story/2022/07/1123482" TargetMode="External"/><Relationship Id="rId6" Type="http://schemas.openxmlformats.org/officeDocument/2006/relationships/hyperlink" Target="https://warrenb.vn/law-on-environmental-protection-2020/" TargetMode="External"/><Relationship Id="rId11" Type="http://schemas.openxmlformats.org/officeDocument/2006/relationships/hyperlink" Target="https://www.gso.gov.vn/wp-content/uploads/2023/06/Sach-Nien-giam-TK-2022-update-21.7_file-nen-Water.pdf" TargetMode="External"/><Relationship Id="rId5" Type="http://schemas.openxmlformats.org/officeDocument/2006/relationships/hyperlink" Target="https://enviliance.com/regions/southeast-asia/vn/report_516" TargetMode="External"/><Relationship Id="rId15" Type="http://schemas.openxmlformats.org/officeDocument/2006/relationships/hyperlink" Target="https://e.vnexpress.net/news/companies/samsung-vietnam-exports-65b-in-2022-4561127.html" TargetMode="External"/><Relationship Id="rId10" Type="http://schemas.openxmlformats.org/officeDocument/2006/relationships/hyperlink" Target="https://vietnamnet.vn/cong-nghiep-dien-tu-viet-nam-van-duy-tri-toc-do-tang-truong-kha-quan-2098103.html" TargetMode="External"/><Relationship Id="rId19" Type="http://schemas.openxmlformats.org/officeDocument/2006/relationships/hyperlink" Target="https://digitallibrary.un.org/record/1474985" TargetMode="External"/><Relationship Id="rId4" Type="http://schemas.openxmlformats.org/officeDocument/2006/relationships/hyperlink" Target="https://thuvienphapluat.vn/van-ban/Tai-nguyen-Moi-truong/Thong-tu-bao-ve-moi-truong-hoa-chat-thuoc-bao-ve-thuc-vat-thuoc-thu-y-2017-343698.aspx" TargetMode="External"/><Relationship Id="rId9" Type="http://schemas.openxmlformats.org/officeDocument/2006/relationships/hyperlink" Target="https://www.prtr.vn/index" TargetMode="External"/><Relationship Id="rId14" Type="http://schemas.openxmlformats.org/officeDocument/2006/relationships/hyperlink" Target="https://www.statista.com/statistics/1262440/samsung-number-of-employees-vietnam-by-branch/"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The Research Centre for Gender, Family and Environment in Development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2AE2282-E611-4C2B-B460-0574B28B4FD0}">
  <ds:schemaRefs>
    <ds:schemaRef ds:uri="http://schemas.openxmlformats.org/officeDocument/2006/bibliography"/>
  </ds:schemaRefs>
</ds:datastoreItem>
</file>

<file path=customXml/itemProps2.xml><?xml version="1.0" encoding="utf-8"?>
<ds:datastoreItem xmlns:ds="http://schemas.openxmlformats.org/officeDocument/2006/customXml" ds:itemID="{FE11DCA9-274F-4FB8-A8A0-9A698FC9BD83}"/>
</file>

<file path=customXml/itemProps3.xml><?xml version="1.0" encoding="utf-8"?>
<ds:datastoreItem xmlns:ds="http://schemas.openxmlformats.org/officeDocument/2006/customXml" ds:itemID="{B451F4DC-1360-469A-B601-6E1CF81104B7}"/>
</file>

<file path=customXml/itemProps4.xml><?xml version="1.0" encoding="utf-8"?>
<ds:datastoreItem xmlns:ds="http://schemas.openxmlformats.org/officeDocument/2006/customXml" ds:itemID="{8305B4F1-4E64-4780-B1B0-9C814F4BFDE2}"/>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2024-04-26T09:01:00Z</dcterms:created>
  <dcterms:modified xsi:type="dcterms:W3CDTF">2024-04-26T09:01:00Z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