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C53C7" w14:textId="2997FA28" w:rsidR="005F5584" w:rsidRPr="00A07B04" w:rsidRDefault="005F5584" w:rsidP="005F5584">
      <w:pPr>
        <w:pStyle w:val="Titre"/>
        <w:spacing w:line="276" w:lineRule="auto"/>
        <w:jc w:val="left"/>
        <w:rPr>
          <w:sz w:val="24"/>
          <w:u w:val="none"/>
        </w:rPr>
      </w:pPr>
      <w:r w:rsidRPr="00A07B04">
        <w:rPr>
          <w:sz w:val="24"/>
          <w:u w:val="none"/>
        </w:rPr>
        <w:t>MINISTERE DE L’ENVIRONNEMENT</w:t>
      </w:r>
      <w:r w:rsidRPr="00A07B04">
        <w:rPr>
          <w:sz w:val="24"/>
          <w:u w:val="none"/>
          <w:lang w:val="fr-FR"/>
        </w:rPr>
        <w:t xml:space="preserve">, </w:t>
      </w:r>
      <w:r w:rsidRPr="00A07B04">
        <w:rPr>
          <w:sz w:val="24"/>
          <w:u w:val="none"/>
        </w:rPr>
        <w:t xml:space="preserve">      </w:t>
      </w:r>
      <w:r w:rsidRPr="00A07B04">
        <w:rPr>
          <w:sz w:val="24"/>
          <w:u w:val="none"/>
          <w:lang w:val="fr-FR"/>
        </w:rPr>
        <w:t xml:space="preserve"> </w:t>
      </w:r>
      <w:r w:rsidR="005B71B2">
        <w:rPr>
          <w:sz w:val="24"/>
          <w:u w:val="none"/>
          <w:lang w:val="fr-FR"/>
        </w:rPr>
        <w:t xml:space="preserve">                         </w:t>
      </w:r>
      <w:r w:rsidRPr="00A07B04">
        <w:rPr>
          <w:sz w:val="24"/>
          <w:u w:val="none"/>
        </w:rPr>
        <w:t>REPUBLIQUE DU MALI</w:t>
      </w:r>
    </w:p>
    <w:p w14:paraId="7FB6FC7D" w14:textId="1FDFE348" w:rsidR="005F5584" w:rsidRPr="00A07B04" w:rsidRDefault="005F5584" w:rsidP="005F5584">
      <w:pPr>
        <w:pStyle w:val="Titre"/>
        <w:spacing w:line="276" w:lineRule="auto"/>
        <w:jc w:val="left"/>
        <w:rPr>
          <w:iCs/>
          <w:sz w:val="24"/>
          <w:u w:val="none"/>
          <w:lang w:val="fr-FR"/>
        </w:rPr>
      </w:pPr>
      <w:r w:rsidRPr="00A07B04">
        <w:rPr>
          <w:sz w:val="24"/>
          <w:u w:val="none"/>
        </w:rPr>
        <w:t xml:space="preserve">DE </w:t>
      </w:r>
      <w:r w:rsidRPr="00A07B04">
        <w:rPr>
          <w:sz w:val="24"/>
          <w:u w:val="none"/>
          <w:lang w:val="fr-FR"/>
        </w:rPr>
        <w:t xml:space="preserve">L’ASSAINISSEMENT ET DU </w:t>
      </w:r>
      <w:r w:rsidRPr="00A07B04">
        <w:rPr>
          <w:i/>
          <w:iCs/>
          <w:sz w:val="24"/>
          <w:u w:val="none"/>
        </w:rPr>
        <w:t xml:space="preserve">    </w:t>
      </w:r>
      <w:r w:rsidRPr="00A07B04">
        <w:rPr>
          <w:i/>
          <w:iCs/>
          <w:sz w:val="24"/>
          <w:u w:val="none"/>
          <w:lang w:val="fr-FR"/>
        </w:rPr>
        <w:t xml:space="preserve">                </w:t>
      </w:r>
      <w:r w:rsidRPr="00A07B04">
        <w:rPr>
          <w:i/>
          <w:iCs/>
          <w:sz w:val="24"/>
          <w:u w:val="none"/>
        </w:rPr>
        <w:t xml:space="preserve">     </w:t>
      </w:r>
      <w:r w:rsidR="005B71B2">
        <w:rPr>
          <w:i/>
          <w:iCs/>
          <w:sz w:val="24"/>
          <w:u w:val="none"/>
          <w:lang w:val="fr-FR"/>
        </w:rPr>
        <w:t xml:space="preserve">              </w:t>
      </w:r>
      <w:r w:rsidRPr="00A07B04">
        <w:rPr>
          <w:i/>
          <w:iCs/>
          <w:sz w:val="24"/>
          <w:u w:val="none"/>
          <w:lang w:val="fr-FR"/>
        </w:rPr>
        <w:t xml:space="preserve">  </w:t>
      </w:r>
      <w:r w:rsidRPr="00A07B04">
        <w:rPr>
          <w:iCs/>
          <w:sz w:val="24"/>
          <w:u w:val="none"/>
        </w:rPr>
        <w:t>Un</w:t>
      </w:r>
      <w:r w:rsidRPr="00A07B04">
        <w:rPr>
          <w:i/>
          <w:iCs/>
          <w:sz w:val="24"/>
          <w:u w:val="none"/>
        </w:rPr>
        <w:t xml:space="preserve"> </w:t>
      </w:r>
      <w:r w:rsidRPr="00A07B04">
        <w:rPr>
          <w:iCs/>
          <w:sz w:val="24"/>
          <w:u w:val="none"/>
        </w:rPr>
        <w:t>Peuple - Un But - Une Foi</w:t>
      </w:r>
    </w:p>
    <w:p w14:paraId="2A0149B6" w14:textId="0F7E3BA2" w:rsidR="005F5584" w:rsidRPr="00A07B04" w:rsidRDefault="005F5584" w:rsidP="005F5584">
      <w:pPr>
        <w:pStyle w:val="Titre"/>
        <w:spacing w:line="276" w:lineRule="auto"/>
        <w:jc w:val="left"/>
        <w:rPr>
          <w:sz w:val="24"/>
          <w:u w:val="none"/>
          <w:lang w:val="fr-FR"/>
        </w:rPr>
      </w:pPr>
      <w:r w:rsidRPr="00A07B04">
        <w:rPr>
          <w:iCs/>
          <w:sz w:val="24"/>
          <w:u w:val="none"/>
          <w:lang w:val="fr-FR"/>
        </w:rPr>
        <w:t xml:space="preserve">DEVELOPPEMENT DURABLE </w:t>
      </w:r>
      <w:r w:rsidR="005B71B2">
        <w:rPr>
          <w:iCs/>
          <w:sz w:val="24"/>
          <w:u w:val="none"/>
          <w:lang w:val="fr-FR"/>
        </w:rPr>
        <w:t xml:space="preserve">        </w:t>
      </w:r>
      <w:r w:rsidR="005B71B2">
        <w:rPr>
          <w:iCs/>
          <w:sz w:val="24"/>
          <w:u w:val="none"/>
          <w:lang w:val="fr-FR"/>
        </w:rPr>
        <w:tab/>
      </w:r>
      <w:r w:rsidR="005B71B2">
        <w:rPr>
          <w:iCs/>
          <w:sz w:val="24"/>
          <w:u w:val="none"/>
          <w:lang w:val="fr-FR"/>
        </w:rPr>
        <w:tab/>
      </w:r>
      <w:r w:rsidR="005B71B2">
        <w:rPr>
          <w:iCs/>
          <w:sz w:val="24"/>
          <w:u w:val="none"/>
          <w:lang w:val="fr-FR"/>
        </w:rPr>
        <w:tab/>
      </w:r>
      <w:r w:rsidR="005B71B2">
        <w:rPr>
          <w:iCs/>
          <w:sz w:val="24"/>
          <w:u w:val="none"/>
          <w:lang w:val="fr-FR"/>
        </w:rPr>
        <w:tab/>
      </w:r>
      <w:r w:rsidR="005B71B2">
        <w:rPr>
          <w:iCs/>
          <w:sz w:val="24"/>
          <w:u w:val="none"/>
          <w:lang w:val="fr-FR"/>
        </w:rPr>
        <w:tab/>
      </w:r>
      <w:r w:rsidR="005B71B2">
        <w:rPr>
          <w:iCs/>
          <w:sz w:val="24"/>
          <w:u w:val="none"/>
          <w:lang w:val="fr-FR"/>
        </w:rPr>
        <w:tab/>
        <w:t>-------------</w:t>
      </w:r>
    </w:p>
    <w:p w14:paraId="0E75A02A" w14:textId="77777777" w:rsidR="005F5584" w:rsidRPr="00A07B04" w:rsidRDefault="005F5584" w:rsidP="005F5584">
      <w:pPr>
        <w:pStyle w:val="Titre"/>
        <w:spacing w:line="276" w:lineRule="auto"/>
        <w:jc w:val="left"/>
        <w:rPr>
          <w:sz w:val="24"/>
          <w:u w:val="none"/>
          <w:lang w:val="fr-FR"/>
        </w:rPr>
      </w:pPr>
      <w:r w:rsidRPr="00A07B04">
        <w:rPr>
          <w:sz w:val="24"/>
          <w:u w:val="none"/>
        </w:rPr>
        <w:tab/>
      </w:r>
      <w:r w:rsidRPr="00A07B04">
        <w:rPr>
          <w:sz w:val="24"/>
          <w:u w:val="none"/>
          <w:lang w:val="fr-FR"/>
        </w:rPr>
        <w:t>-</w:t>
      </w:r>
      <w:r w:rsidRPr="00A07B04">
        <w:rPr>
          <w:sz w:val="24"/>
          <w:u w:val="none"/>
        </w:rPr>
        <w:t xml:space="preserve">------------- </w:t>
      </w:r>
      <w:r w:rsidRPr="00A07B04">
        <w:rPr>
          <w:sz w:val="24"/>
          <w:u w:val="none"/>
        </w:rPr>
        <w:tab/>
      </w:r>
      <w:r w:rsidRPr="00A07B04">
        <w:rPr>
          <w:sz w:val="24"/>
          <w:u w:val="none"/>
        </w:rPr>
        <w:tab/>
      </w:r>
      <w:r w:rsidRPr="00A07B04">
        <w:rPr>
          <w:sz w:val="24"/>
          <w:u w:val="none"/>
        </w:rPr>
        <w:tab/>
      </w:r>
      <w:r w:rsidRPr="00A07B04">
        <w:rPr>
          <w:sz w:val="24"/>
          <w:u w:val="none"/>
        </w:rPr>
        <w:tab/>
        <w:t xml:space="preserve">                    </w:t>
      </w:r>
    </w:p>
    <w:p w14:paraId="7F5573E0" w14:textId="77777777" w:rsidR="00E748AE" w:rsidRPr="00E748AE" w:rsidRDefault="00E748AE" w:rsidP="00A07B04">
      <w:pPr>
        <w:spacing w:after="160" w:line="259" w:lineRule="auto"/>
        <w:rPr>
          <w:rFonts w:ascii="Times New Roman" w:eastAsia="Times New Roman" w:hAnsi="Times New Roman" w:cs="Times New Roman"/>
          <w:b/>
          <w:sz w:val="24"/>
          <w:szCs w:val="24"/>
        </w:rPr>
      </w:pPr>
      <w:r w:rsidRPr="00E748AE">
        <w:rPr>
          <w:rFonts w:ascii="Times New Roman" w:eastAsia="Times New Roman" w:hAnsi="Times New Roman" w:cs="Times New Roman"/>
          <w:b/>
          <w:sz w:val="24"/>
          <w:szCs w:val="24"/>
        </w:rPr>
        <w:t>SECRETARIAT GENERAL</w:t>
      </w:r>
    </w:p>
    <w:p w14:paraId="59204944" w14:textId="25DB91ED" w:rsidR="00E748AE" w:rsidRDefault="00E748AE" w:rsidP="00E748AE">
      <w:pPr>
        <w:spacing w:after="160" w:line="259" w:lineRule="auto"/>
        <w:ind w:firstLine="708"/>
        <w:rPr>
          <w:sz w:val="24"/>
        </w:rPr>
      </w:pPr>
      <w:r>
        <w:rPr>
          <w:sz w:val="24"/>
        </w:rPr>
        <w:t xml:space="preserve"> </w:t>
      </w:r>
      <w:r w:rsidRPr="00A07B04">
        <w:rPr>
          <w:sz w:val="24"/>
        </w:rPr>
        <w:t>--------------</w:t>
      </w:r>
    </w:p>
    <w:p w14:paraId="6BF088D7" w14:textId="77777777" w:rsidR="00E748AE" w:rsidRDefault="00E748AE" w:rsidP="00E748AE">
      <w:pPr>
        <w:spacing w:after="160" w:line="259" w:lineRule="auto"/>
        <w:ind w:firstLine="708"/>
        <w:rPr>
          <w:sz w:val="24"/>
        </w:rPr>
      </w:pPr>
    </w:p>
    <w:p w14:paraId="05BE8F74" w14:textId="77777777" w:rsidR="00E748AE" w:rsidRDefault="00E748AE" w:rsidP="00E748AE">
      <w:pPr>
        <w:spacing w:after="160" w:line="259" w:lineRule="auto"/>
        <w:ind w:firstLine="708"/>
        <w:rPr>
          <w:sz w:val="24"/>
        </w:rPr>
      </w:pPr>
    </w:p>
    <w:p w14:paraId="7A92059E" w14:textId="77777777" w:rsidR="00E748AE" w:rsidRDefault="00E748AE" w:rsidP="00E748AE">
      <w:pPr>
        <w:spacing w:after="160" w:line="259" w:lineRule="auto"/>
        <w:ind w:firstLine="708"/>
        <w:rPr>
          <w:sz w:val="24"/>
        </w:rPr>
      </w:pPr>
    </w:p>
    <w:p w14:paraId="4EEE6C3E" w14:textId="77777777" w:rsidR="00E748AE" w:rsidRDefault="00E748AE" w:rsidP="00E748AE">
      <w:pPr>
        <w:spacing w:after="160" w:line="259" w:lineRule="auto"/>
        <w:ind w:firstLine="708"/>
        <w:rPr>
          <w:sz w:val="24"/>
        </w:rPr>
      </w:pPr>
    </w:p>
    <w:p w14:paraId="2BBB6B74" w14:textId="77777777" w:rsidR="00E748AE" w:rsidRDefault="00E748AE" w:rsidP="00E748AE">
      <w:pPr>
        <w:spacing w:after="160" w:line="259" w:lineRule="auto"/>
        <w:ind w:firstLine="708"/>
        <w:rPr>
          <w:sz w:val="24"/>
        </w:rPr>
      </w:pPr>
    </w:p>
    <w:p w14:paraId="6F030EC0" w14:textId="77777777" w:rsidR="00E748AE" w:rsidRDefault="00E748AE" w:rsidP="00E748AE">
      <w:pPr>
        <w:spacing w:after="160" w:line="259" w:lineRule="auto"/>
        <w:ind w:firstLine="708"/>
        <w:rPr>
          <w:sz w:val="24"/>
        </w:rPr>
      </w:pPr>
    </w:p>
    <w:p w14:paraId="6359CCE4" w14:textId="77777777" w:rsidR="00E748AE" w:rsidRDefault="00E748AE" w:rsidP="00E748AE">
      <w:pPr>
        <w:spacing w:after="160" w:line="259" w:lineRule="auto"/>
        <w:ind w:firstLine="708"/>
        <w:rPr>
          <w:sz w:val="24"/>
        </w:rPr>
      </w:pPr>
    </w:p>
    <w:p w14:paraId="07162B76" w14:textId="77777777" w:rsidR="00E748AE" w:rsidRDefault="00E748AE" w:rsidP="00E748AE">
      <w:pPr>
        <w:spacing w:after="160" w:line="259" w:lineRule="auto"/>
        <w:ind w:firstLine="708"/>
        <w:rPr>
          <w:sz w:val="24"/>
        </w:rPr>
      </w:pPr>
    </w:p>
    <w:p w14:paraId="50160E51" w14:textId="77777777" w:rsidR="00E748AE" w:rsidRDefault="00E748AE" w:rsidP="00E748AE">
      <w:pPr>
        <w:spacing w:after="160" w:line="259" w:lineRule="auto"/>
        <w:ind w:firstLine="708"/>
        <w:rPr>
          <w:sz w:val="24"/>
        </w:rPr>
      </w:pPr>
    </w:p>
    <w:p w14:paraId="793016B5" w14:textId="77777777" w:rsidR="00E748AE" w:rsidRDefault="00E748AE" w:rsidP="00E748AE">
      <w:pPr>
        <w:spacing w:after="160" w:line="259" w:lineRule="auto"/>
        <w:ind w:firstLine="708"/>
        <w:rPr>
          <w:sz w:val="24"/>
        </w:rPr>
      </w:pPr>
    </w:p>
    <w:p w14:paraId="44E4236D" w14:textId="77777777" w:rsidR="00E748AE" w:rsidRDefault="00E748AE" w:rsidP="00E748AE">
      <w:pPr>
        <w:spacing w:after="160" w:line="259" w:lineRule="auto"/>
        <w:ind w:firstLine="708"/>
        <w:rPr>
          <w:sz w:val="24"/>
        </w:rPr>
      </w:pPr>
    </w:p>
    <w:p w14:paraId="7F2FE83B" w14:textId="22E61011" w:rsidR="00E748AE" w:rsidRDefault="00E748AE" w:rsidP="00E748AE">
      <w:pPr>
        <w:spacing w:after="160" w:line="259" w:lineRule="auto"/>
        <w:ind w:firstLine="708"/>
        <w:jc w:val="both"/>
        <w:rPr>
          <w:sz w:val="24"/>
        </w:rPr>
      </w:pPr>
      <w:r w:rsidRPr="00E748AE">
        <w:rPr>
          <w:rFonts w:ascii="Times New Roman" w:hAnsi="Times New Roman" w:cs="Times New Roman"/>
          <w:b/>
          <w:sz w:val="24"/>
        </w:rPr>
        <w:t>CONTRIBUTION DU GOUVERNEMENT DU MALI DANS LE CADRE DE L’APPEL A CONTRIBUTION DU RAPPORTEUR SPECIAL, SUR LES INCIDENCES SUR LES DROITS DE L’HOMME DE LA GESTION ET DE L’ELIMINATION ECOLOGIQUEMENT RATIONNELLES DESS PRODUITS ET DECHETS DANGEREUX</w:t>
      </w:r>
      <w:r>
        <w:rPr>
          <w:sz w:val="24"/>
        </w:rPr>
        <w:t>.</w:t>
      </w:r>
    </w:p>
    <w:p w14:paraId="4B16863B" w14:textId="77777777" w:rsidR="00E748AE" w:rsidRDefault="00E748AE" w:rsidP="00E748AE">
      <w:pPr>
        <w:spacing w:after="160" w:line="259" w:lineRule="auto"/>
        <w:ind w:firstLine="708"/>
        <w:rPr>
          <w:sz w:val="24"/>
        </w:rPr>
      </w:pPr>
    </w:p>
    <w:p w14:paraId="3A2867AA" w14:textId="77777777" w:rsidR="00E748AE" w:rsidRDefault="00E748AE" w:rsidP="00E748AE">
      <w:pPr>
        <w:spacing w:after="160" w:line="259" w:lineRule="auto"/>
        <w:ind w:firstLine="708"/>
        <w:rPr>
          <w:sz w:val="24"/>
        </w:rPr>
      </w:pPr>
    </w:p>
    <w:p w14:paraId="3B1DC39E" w14:textId="77777777" w:rsidR="00E748AE" w:rsidRDefault="00E748AE" w:rsidP="00E748AE">
      <w:pPr>
        <w:spacing w:after="160" w:line="259" w:lineRule="auto"/>
        <w:ind w:firstLine="708"/>
        <w:rPr>
          <w:sz w:val="24"/>
        </w:rPr>
      </w:pPr>
    </w:p>
    <w:p w14:paraId="7FE65C96" w14:textId="77777777" w:rsidR="00E748AE" w:rsidRDefault="00E748AE" w:rsidP="00E748AE">
      <w:pPr>
        <w:spacing w:after="160" w:line="259" w:lineRule="auto"/>
        <w:ind w:firstLine="708"/>
        <w:rPr>
          <w:sz w:val="24"/>
        </w:rPr>
      </w:pPr>
    </w:p>
    <w:p w14:paraId="437ADEAD" w14:textId="77777777" w:rsidR="00E748AE" w:rsidRDefault="00E748AE" w:rsidP="00E748AE">
      <w:pPr>
        <w:spacing w:after="160" w:line="259" w:lineRule="auto"/>
        <w:ind w:firstLine="708"/>
        <w:rPr>
          <w:sz w:val="24"/>
        </w:rPr>
      </w:pPr>
    </w:p>
    <w:p w14:paraId="5BBD7A2C" w14:textId="77777777" w:rsidR="00E748AE" w:rsidRDefault="00E748AE" w:rsidP="00E748AE">
      <w:pPr>
        <w:spacing w:after="160" w:line="259" w:lineRule="auto"/>
        <w:ind w:firstLine="708"/>
        <w:rPr>
          <w:sz w:val="24"/>
        </w:rPr>
      </w:pPr>
    </w:p>
    <w:p w14:paraId="0F04D656" w14:textId="77777777" w:rsidR="00E748AE" w:rsidRDefault="00E748AE" w:rsidP="00E748AE">
      <w:pPr>
        <w:spacing w:after="160" w:line="259" w:lineRule="auto"/>
        <w:ind w:firstLine="708"/>
        <w:rPr>
          <w:sz w:val="24"/>
        </w:rPr>
      </w:pPr>
    </w:p>
    <w:p w14:paraId="479F4761" w14:textId="77777777" w:rsidR="00E748AE" w:rsidRDefault="00E748AE" w:rsidP="00E748AE">
      <w:pPr>
        <w:spacing w:after="160" w:line="259" w:lineRule="auto"/>
        <w:ind w:firstLine="708"/>
        <w:rPr>
          <w:sz w:val="24"/>
        </w:rPr>
      </w:pPr>
    </w:p>
    <w:p w14:paraId="44823F89" w14:textId="77777777" w:rsidR="00E748AE" w:rsidRDefault="00E748AE" w:rsidP="00E748AE">
      <w:pPr>
        <w:spacing w:after="160" w:line="259" w:lineRule="auto"/>
        <w:ind w:firstLine="708"/>
        <w:rPr>
          <w:sz w:val="24"/>
        </w:rPr>
      </w:pPr>
    </w:p>
    <w:p w14:paraId="53CC48CE" w14:textId="77777777" w:rsidR="00E748AE" w:rsidRDefault="00E748AE" w:rsidP="00E748AE">
      <w:pPr>
        <w:spacing w:after="160" w:line="259" w:lineRule="auto"/>
        <w:ind w:firstLine="708"/>
        <w:rPr>
          <w:sz w:val="24"/>
        </w:rPr>
      </w:pPr>
    </w:p>
    <w:p w14:paraId="5F11DF1A" w14:textId="77777777" w:rsidR="00E748AE" w:rsidRDefault="00E748AE" w:rsidP="00E748AE">
      <w:pPr>
        <w:spacing w:after="160" w:line="259" w:lineRule="auto"/>
        <w:ind w:firstLine="708"/>
        <w:rPr>
          <w:sz w:val="24"/>
        </w:rPr>
      </w:pPr>
    </w:p>
    <w:p w14:paraId="2E6232B9" w14:textId="60591624" w:rsidR="00E748AE" w:rsidRPr="00E748AE" w:rsidRDefault="00E748AE" w:rsidP="00E748AE">
      <w:pPr>
        <w:spacing w:after="160" w:line="259" w:lineRule="auto"/>
        <w:ind w:firstLine="708"/>
        <w:jc w:val="right"/>
        <w:rPr>
          <w:rFonts w:ascii="Times New Roman" w:eastAsia="Times New Roman" w:hAnsi="Times New Roman" w:cs="Times New Roman"/>
          <w:sz w:val="24"/>
          <w:szCs w:val="24"/>
        </w:rPr>
      </w:pPr>
      <w:r w:rsidRPr="00E748AE">
        <w:rPr>
          <w:rFonts w:ascii="Times New Roman" w:hAnsi="Times New Roman" w:cs="Times New Roman"/>
          <w:sz w:val="24"/>
        </w:rPr>
        <w:t>MARS 2024</w:t>
      </w:r>
    </w:p>
    <w:p w14:paraId="747E9B41" w14:textId="73DEB399" w:rsidR="00E50C06" w:rsidRPr="00A07B04" w:rsidRDefault="00A07B04" w:rsidP="00E748AE">
      <w:pPr>
        <w:spacing w:after="160" w:line="259" w:lineRule="auto"/>
        <w:rPr>
          <w:rFonts w:ascii="Times New Roman" w:hAnsi="Times New Roman" w:cs="Times New Roman"/>
          <w:b/>
          <w:bCs/>
          <w:color w:val="000000" w:themeColor="text1"/>
          <w:sz w:val="24"/>
          <w:szCs w:val="24"/>
          <w:u w:val="single"/>
        </w:rPr>
      </w:pPr>
      <w:r>
        <w:rPr>
          <w:rFonts w:ascii="Times New Roman" w:eastAsia="Times New Roman" w:hAnsi="Times New Roman" w:cs="Times New Roman"/>
          <w:sz w:val="24"/>
          <w:szCs w:val="24"/>
        </w:rPr>
        <w:br w:type="page"/>
      </w:r>
      <w:r w:rsidR="00ED2438">
        <w:rPr>
          <w:rFonts w:ascii="Times New Roman" w:hAnsi="Times New Roman" w:cs="Times New Roman"/>
          <w:b/>
          <w:bCs/>
          <w:color w:val="000000" w:themeColor="text1"/>
          <w:sz w:val="24"/>
          <w:szCs w:val="24"/>
          <w:u w:val="single"/>
        </w:rPr>
        <w:lastRenderedPageBreak/>
        <w:t xml:space="preserve">COMMENTAIRES ET </w:t>
      </w:r>
      <w:r w:rsidR="00ED2438" w:rsidRPr="00A07B04">
        <w:rPr>
          <w:rFonts w:ascii="Times New Roman" w:hAnsi="Times New Roman" w:cs="Times New Roman"/>
          <w:b/>
          <w:bCs/>
          <w:color w:val="000000" w:themeColor="text1"/>
          <w:sz w:val="24"/>
          <w:szCs w:val="24"/>
          <w:u w:val="single"/>
        </w:rPr>
        <w:t>CONTRIBUTIONS</w:t>
      </w:r>
      <w:r w:rsidR="00ED2438">
        <w:rPr>
          <w:rFonts w:ascii="Times New Roman" w:hAnsi="Times New Roman" w:cs="Times New Roman"/>
          <w:b/>
          <w:bCs/>
          <w:color w:val="000000" w:themeColor="text1"/>
          <w:sz w:val="24"/>
          <w:szCs w:val="24"/>
          <w:u w:val="single"/>
        </w:rPr>
        <w:t xml:space="preserve"> </w:t>
      </w:r>
      <w:r w:rsidR="00ED2438" w:rsidRPr="00A07B04">
        <w:rPr>
          <w:rFonts w:ascii="Times New Roman" w:hAnsi="Times New Roman" w:cs="Times New Roman"/>
          <w:b/>
          <w:bCs/>
          <w:color w:val="000000" w:themeColor="text1"/>
          <w:sz w:val="24"/>
          <w:szCs w:val="24"/>
          <w:u w:val="single"/>
        </w:rPr>
        <w:t>DU</w:t>
      </w:r>
      <w:r w:rsidR="00872342" w:rsidRPr="00A07B04">
        <w:rPr>
          <w:rFonts w:ascii="Times New Roman" w:hAnsi="Times New Roman" w:cs="Times New Roman"/>
          <w:b/>
          <w:bCs/>
          <w:color w:val="000000" w:themeColor="text1"/>
          <w:sz w:val="24"/>
          <w:szCs w:val="24"/>
          <w:u w:val="single"/>
        </w:rPr>
        <w:t xml:space="preserve"> GOUVERNEMENT</w:t>
      </w:r>
    </w:p>
    <w:p w14:paraId="684CC37E" w14:textId="2C1D2DF8" w:rsidR="00680F7E" w:rsidRDefault="00BE5027" w:rsidP="001C06CE">
      <w:pPr>
        <w:ind w:firstLine="360"/>
        <w:jc w:val="both"/>
        <w:rPr>
          <w:rFonts w:ascii="Times New Roman" w:eastAsia="Times New Roman" w:hAnsi="Times New Roman" w:cs="Times New Roman"/>
          <w:color w:val="000000"/>
          <w:sz w:val="24"/>
          <w:szCs w:val="24"/>
        </w:rPr>
      </w:pPr>
      <w:r w:rsidRPr="00A07B04">
        <w:rPr>
          <w:rFonts w:ascii="Times New Roman" w:eastAsia="Times New Roman" w:hAnsi="Times New Roman" w:cs="Times New Roman"/>
          <w:color w:val="000000"/>
          <w:sz w:val="24"/>
          <w:szCs w:val="24"/>
        </w:rPr>
        <w:t>Le droit à un environnement propre, sain et durable est un droit humain. C'est ce qu'a décidé l'Assemblée Générale des Nations Unies dans sa résolution de juillet 2022. Au Mali, vous pouvez bien sûr invoquer le droit à la protection et à la préservation d’un environnement sain et durable, qui est inscrit dans notre Constitution.</w:t>
      </w:r>
      <w:r w:rsidR="001C06CE" w:rsidRPr="001C06CE">
        <w:rPr>
          <w:rFonts w:ascii="Times New Roman" w:eastAsia="Times New Roman" w:hAnsi="Times New Roman" w:cs="Times New Roman"/>
          <w:color w:val="000000"/>
          <w:sz w:val="24"/>
          <w:szCs w:val="24"/>
        </w:rPr>
        <w:t xml:space="preserve"> </w:t>
      </w:r>
      <w:r w:rsidR="001C06CE" w:rsidRPr="001D0234">
        <w:rPr>
          <w:rFonts w:ascii="Times New Roman" w:eastAsia="Times New Roman" w:hAnsi="Times New Roman" w:cs="Times New Roman"/>
          <w:color w:val="000000"/>
          <w:sz w:val="24"/>
          <w:szCs w:val="24"/>
        </w:rPr>
        <w:t>La</w:t>
      </w:r>
      <w:r w:rsidR="001C06CE">
        <w:rPr>
          <w:rFonts w:ascii="Times New Roman" w:eastAsia="Times New Roman" w:hAnsi="Times New Roman" w:cs="Times New Roman"/>
          <w:color w:val="000000"/>
          <w:sz w:val="24"/>
          <w:szCs w:val="24"/>
        </w:rPr>
        <w:t xml:space="preserve"> production, </w:t>
      </w:r>
      <w:r w:rsidR="001C06CE" w:rsidRPr="001D0234">
        <w:rPr>
          <w:rFonts w:ascii="Times New Roman" w:eastAsia="Times New Roman" w:hAnsi="Times New Roman" w:cs="Times New Roman"/>
          <w:color w:val="000000"/>
          <w:sz w:val="24"/>
          <w:szCs w:val="24"/>
        </w:rPr>
        <w:t>la consommation et l’utilisation de produits chimiques ainsi que la quantité de déchets produits augmenteront considérablement</w:t>
      </w:r>
      <w:r w:rsidR="00BB5476">
        <w:rPr>
          <w:rFonts w:ascii="Times New Roman" w:eastAsia="Times New Roman" w:hAnsi="Times New Roman" w:cs="Times New Roman"/>
          <w:color w:val="000000"/>
          <w:sz w:val="24"/>
          <w:szCs w:val="24"/>
        </w:rPr>
        <w:t xml:space="preserve"> au cours des prochaines années d’où leur gestion écologiquement rationnelle. </w:t>
      </w:r>
    </w:p>
    <w:p w14:paraId="25B1DFEE" w14:textId="7D7C557E" w:rsidR="002F6706" w:rsidRDefault="00680F7E" w:rsidP="00372FDD">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t>
      </w:r>
      <w:r w:rsidRPr="00640E0F">
        <w:rPr>
          <w:rFonts w:ascii="Times New Roman" w:eastAsia="Times New Roman" w:hAnsi="Times New Roman" w:cs="Times New Roman"/>
          <w:color w:val="000000"/>
          <w:sz w:val="24"/>
          <w:szCs w:val="24"/>
        </w:rPr>
        <w:t xml:space="preserve"> gestion rationnelle des produits chimiques et des déchets et la prévention de la pollution sont de nature transversale et pertinentes pour de nombreux objectifs et cibles du Programme de développement durable à l’horizon 2030, notamment en ce qui concerne la santé humaine, l’égalité des genres, la nutrition, les modes de consommation et de production durables, les changem</w:t>
      </w:r>
      <w:r>
        <w:rPr>
          <w:rFonts w:ascii="Times New Roman" w:eastAsia="Times New Roman" w:hAnsi="Times New Roman" w:cs="Times New Roman"/>
          <w:color w:val="000000"/>
          <w:sz w:val="24"/>
          <w:szCs w:val="24"/>
        </w:rPr>
        <w:t xml:space="preserve">ents climatiques, les océans, </w:t>
      </w:r>
      <w:r w:rsidRPr="00640E0F">
        <w:rPr>
          <w:rFonts w:ascii="Times New Roman" w:eastAsia="Times New Roman" w:hAnsi="Times New Roman" w:cs="Times New Roman"/>
          <w:color w:val="000000"/>
          <w:sz w:val="24"/>
          <w:szCs w:val="24"/>
        </w:rPr>
        <w:t>les mers</w:t>
      </w:r>
      <w:r>
        <w:rPr>
          <w:rFonts w:ascii="Times New Roman" w:eastAsia="Times New Roman" w:hAnsi="Times New Roman" w:cs="Times New Roman"/>
          <w:color w:val="000000"/>
          <w:sz w:val="24"/>
          <w:szCs w:val="24"/>
        </w:rPr>
        <w:t xml:space="preserve"> et les fleuves</w:t>
      </w:r>
      <w:r w:rsidRPr="00640E0F">
        <w:rPr>
          <w:rFonts w:ascii="Times New Roman" w:eastAsia="Times New Roman" w:hAnsi="Times New Roman" w:cs="Times New Roman"/>
          <w:color w:val="000000"/>
          <w:sz w:val="24"/>
          <w:szCs w:val="24"/>
        </w:rPr>
        <w:t>, la qualité de l’air et de l’eau et la biodiversité</w:t>
      </w:r>
      <w:r w:rsidR="009D6132">
        <w:rPr>
          <w:rFonts w:ascii="Times New Roman" w:eastAsia="Times New Roman" w:hAnsi="Times New Roman" w:cs="Times New Roman"/>
          <w:color w:val="000000"/>
          <w:sz w:val="24"/>
          <w:szCs w:val="24"/>
        </w:rPr>
        <w:t xml:space="preserve">. </w:t>
      </w:r>
    </w:p>
    <w:p w14:paraId="7756DCA5" w14:textId="25BB8AC6" w:rsidR="003579B1" w:rsidRDefault="00013394" w:rsidP="00372FDD">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Pour rappel, en 2007, pour éliminer les tonnes de pesticides dangereux</w:t>
      </w:r>
      <w:r w:rsidR="0095632F">
        <w:rPr>
          <w:rFonts w:ascii="Times New Roman" w:eastAsia="Times New Roman" w:hAnsi="Times New Roman" w:cs="Times New Roman"/>
          <w:color w:val="000000"/>
          <w:sz w:val="24"/>
          <w:szCs w:val="24"/>
        </w:rPr>
        <w:t xml:space="preserve">, le Mali </w:t>
      </w:r>
      <w:r w:rsidR="0048517F">
        <w:rPr>
          <w:rFonts w:ascii="Times New Roman" w:eastAsia="Times New Roman" w:hAnsi="Times New Roman" w:cs="Times New Roman"/>
          <w:color w:val="000000"/>
          <w:sz w:val="24"/>
          <w:szCs w:val="24"/>
        </w:rPr>
        <w:t xml:space="preserve">avec l’appui des partenaires au Développement </w:t>
      </w:r>
      <w:r w:rsidR="0095632F">
        <w:rPr>
          <w:rFonts w:ascii="Times New Roman" w:eastAsia="Times New Roman" w:hAnsi="Times New Roman" w:cs="Times New Roman"/>
          <w:color w:val="000000"/>
          <w:sz w:val="24"/>
          <w:szCs w:val="24"/>
        </w:rPr>
        <w:t xml:space="preserve">et </w:t>
      </w:r>
      <w:r w:rsidR="0048517F">
        <w:rPr>
          <w:rFonts w:ascii="Times New Roman" w:eastAsia="Times New Roman" w:hAnsi="Times New Roman" w:cs="Times New Roman"/>
          <w:color w:val="000000"/>
          <w:sz w:val="24"/>
          <w:szCs w:val="24"/>
        </w:rPr>
        <w:t>des ONG</w:t>
      </w:r>
      <w:r w:rsidR="0095632F">
        <w:rPr>
          <w:rFonts w:ascii="Times New Roman" w:eastAsia="Times New Roman" w:hAnsi="Times New Roman" w:cs="Times New Roman"/>
          <w:color w:val="000000"/>
          <w:sz w:val="24"/>
          <w:szCs w:val="24"/>
        </w:rPr>
        <w:t xml:space="preserve"> ont élaboré une approche intégrée de gestion des stocks</w:t>
      </w:r>
      <w:r w:rsidR="00003D08">
        <w:rPr>
          <w:rFonts w:ascii="Times New Roman" w:eastAsia="Times New Roman" w:hAnsi="Times New Roman" w:cs="Times New Roman"/>
          <w:color w:val="000000"/>
          <w:sz w:val="24"/>
          <w:szCs w:val="24"/>
        </w:rPr>
        <w:t xml:space="preserve"> </w:t>
      </w:r>
      <w:r w:rsidR="0048517F">
        <w:rPr>
          <w:rFonts w:ascii="Times New Roman" w:eastAsia="Times New Roman" w:hAnsi="Times New Roman" w:cs="Times New Roman"/>
          <w:color w:val="000000"/>
          <w:sz w:val="24"/>
          <w:szCs w:val="24"/>
        </w:rPr>
        <w:t>de pesticides obsolètes</w:t>
      </w:r>
      <w:r w:rsidR="004D5C2F">
        <w:rPr>
          <w:rFonts w:ascii="Times New Roman" w:eastAsia="Times New Roman" w:hAnsi="Times New Roman" w:cs="Times New Roman"/>
          <w:color w:val="000000"/>
          <w:sz w:val="24"/>
          <w:szCs w:val="24"/>
        </w:rPr>
        <w:t>,</w:t>
      </w:r>
      <w:r w:rsidR="0048517F">
        <w:rPr>
          <w:rFonts w:ascii="Times New Roman" w:eastAsia="Times New Roman" w:hAnsi="Times New Roman" w:cs="Times New Roman"/>
          <w:color w:val="000000"/>
          <w:sz w:val="24"/>
          <w:szCs w:val="24"/>
        </w:rPr>
        <w:t xml:space="preserve"> </w:t>
      </w:r>
      <w:r w:rsidR="00003D08">
        <w:rPr>
          <w:rFonts w:ascii="Times New Roman" w:eastAsia="Times New Roman" w:hAnsi="Times New Roman" w:cs="Times New Roman"/>
          <w:color w:val="000000"/>
          <w:sz w:val="24"/>
          <w:szCs w:val="24"/>
        </w:rPr>
        <w:t>dénommée</w:t>
      </w:r>
      <w:r w:rsidR="005B6261">
        <w:rPr>
          <w:rFonts w:ascii="Times New Roman" w:eastAsia="Times New Roman" w:hAnsi="Times New Roman" w:cs="Times New Roman"/>
          <w:color w:val="000000"/>
          <w:sz w:val="24"/>
          <w:szCs w:val="24"/>
        </w:rPr>
        <w:t> :</w:t>
      </w:r>
      <w:r w:rsidR="005B6261" w:rsidRPr="005B6261">
        <w:rPr>
          <w:rFonts w:ascii="Times New Roman" w:eastAsia="Times New Roman" w:hAnsi="Times New Roman" w:cs="Times New Roman"/>
          <w:b/>
          <w:color w:val="000000"/>
          <w:sz w:val="24"/>
          <w:szCs w:val="24"/>
        </w:rPr>
        <w:t xml:space="preserve"> le</w:t>
      </w:r>
      <w:r w:rsidR="00003D08" w:rsidRPr="005B6261">
        <w:rPr>
          <w:rFonts w:ascii="Times New Roman" w:eastAsia="Times New Roman" w:hAnsi="Times New Roman" w:cs="Times New Roman"/>
          <w:b/>
          <w:color w:val="000000"/>
          <w:sz w:val="24"/>
          <w:szCs w:val="24"/>
        </w:rPr>
        <w:t xml:space="preserve"> Programme africain relatif aux stocks de pesticides obsolètes (PASP </w:t>
      </w:r>
      <w:r w:rsidR="005B6261" w:rsidRPr="005B6261">
        <w:rPr>
          <w:rFonts w:ascii="Times New Roman" w:eastAsia="Times New Roman" w:hAnsi="Times New Roman" w:cs="Times New Roman"/>
          <w:b/>
          <w:color w:val="000000"/>
          <w:sz w:val="24"/>
          <w:szCs w:val="24"/>
        </w:rPr>
        <w:t>Mali)</w:t>
      </w:r>
      <w:r w:rsidR="0048517F">
        <w:rPr>
          <w:rFonts w:ascii="Times New Roman" w:eastAsia="Times New Roman" w:hAnsi="Times New Roman" w:cs="Times New Roman"/>
          <w:b/>
          <w:color w:val="000000"/>
          <w:sz w:val="24"/>
          <w:szCs w:val="24"/>
        </w:rPr>
        <w:t xml:space="preserve">. </w:t>
      </w:r>
      <w:r w:rsidR="003579B1">
        <w:rPr>
          <w:rFonts w:ascii="Times New Roman" w:eastAsia="Times New Roman" w:hAnsi="Times New Roman" w:cs="Times New Roman"/>
          <w:color w:val="000000"/>
          <w:sz w:val="24"/>
          <w:szCs w:val="24"/>
        </w:rPr>
        <w:t xml:space="preserve">Il a précédé le Projet d’Elimination et de Prévention des Pesticides Obsolètes (PEPPO-Mali) avec comme principale tâche, d’achever et de consolider les acquis en terme de gestion rationnelle des problèmes liés aux pesticides obsolètes et des déchets et sols contaminés. </w:t>
      </w:r>
    </w:p>
    <w:p w14:paraId="56133178" w14:textId="77777777" w:rsidR="00132FF6" w:rsidRDefault="003579B1" w:rsidP="00372FDD">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 deux projets sont issus, entre autres, des constats suivants : (i) Le Mali disposait </w:t>
      </w:r>
      <w:r w:rsidR="005B62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 près de 1000 tonnes de pesticides et déchets contaminés issus de plus de 40 ans de gestion de ces produits par des structures spécialisées aussi bien internationales (O</w:t>
      </w:r>
      <w:r w:rsidR="005000CB">
        <w:rPr>
          <w:rFonts w:ascii="Times New Roman" w:eastAsia="Times New Roman" w:hAnsi="Times New Roman" w:cs="Times New Roman"/>
          <w:color w:val="000000"/>
          <w:sz w:val="24"/>
          <w:szCs w:val="24"/>
        </w:rPr>
        <w:t xml:space="preserve">rganisation </w:t>
      </w:r>
      <w:r>
        <w:rPr>
          <w:rFonts w:ascii="Times New Roman" w:eastAsia="Times New Roman" w:hAnsi="Times New Roman" w:cs="Times New Roman"/>
          <w:color w:val="000000"/>
          <w:sz w:val="24"/>
          <w:szCs w:val="24"/>
        </w:rPr>
        <w:t>I</w:t>
      </w:r>
      <w:r w:rsidR="005000CB">
        <w:rPr>
          <w:rFonts w:ascii="Times New Roman" w:eastAsia="Times New Roman" w:hAnsi="Times New Roman" w:cs="Times New Roman"/>
          <w:color w:val="000000"/>
          <w:sz w:val="24"/>
          <w:szCs w:val="24"/>
        </w:rPr>
        <w:t>nternationale contre le Criquet Migrateur Africain</w:t>
      </w:r>
      <w:r>
        <w:rPr>
          <w:rFonts w:ascii="Times New Roman" w:eastAsia="Times New Roman" w:hAnsi="Times New Roman" w:cs="Times New Roman"/>
          <w:color w:val="000000"/>
          <w:sz w:val="24"/>
          <w:szCs w:val="24"/>
        </w:rPr>
        <w:t>, O</w:t>
      </w:r>
      <w:r w:rsidR="005000CB">
        <w:rPr>
          <w:rFonts w:ascii="Times New Roman" w:eastAsia="Times New Roman" w:hAnsi="Times New Roman" w:cs="Times New Roman"/>
          <w:color w:val="000000"/>
          <w:sz w:val="24"/>
          <w:szCs w:val="24"/>
        </w:rPr>
        <w:t xml:space="preserve">rganisation Commune de Lutte Antiacridienne et de Lutte </w:t>
      </w:r>
      <w:proofErr w:type="spellStart"/>
      <w:r w:rsidR="005000CB">
        <w:rPr>
          <w:rFonts w:ascii="Times New Roman" w:eastAsia="Times New Roman" w:hAnsi="Times New Roman" w:cs="Times New Roman"/>
          <w:color w:val="000000"/>
          <w:sz w:val="24"/>
          <w:szCs w:val="24"/>
        </w:rPr>
        <w:t>Antiaviaire</w:t>
      </w:r>
      <w:proofErr w:type="spellEnd"/>
      <w:r w:rsidR="005000CB">
        <w:rPr>
          <w:rFonts w:ascii="Times New Roman" w:eastAsia="Times New Roman" w:hAnsi="Times New Roman" w:cs="Times New Roman"/>
          <w:color w:val="000000"/>
          <w:sz w:val="24"/>
          <w:szCs w:val="24"/>
        </w:rPr>
        <w:t>) que nationales (</w:t>
      </w:r>
      <w:r w:rsidR="00132FF6">
        <w:rPr>
          <w:rFonts w:ascii="Times New Roman" w:eastAsia="Times New Roman" w:hAnsi="Times New Roman" w:cs="Times New Roman"/>
          <w:color w:val="000000"/>
          <w:sz w:val="24"/>
          <w:szCs w:val="24"/>
        </w:rPr>
        <w:t>Compagnie Malienne pour le Développement des Textiles, Office de Protection des Végétaux, Office de la Haute Vallée du Niger, Comité National de Lutte contre le Criquet Pèlerin, etc.) ; (ii)</w:t>
      </w:r>
      <w:r w:rsidR="0095632F">
        <w:rPr>
          <w:rFonts w:ascii="Times New Roman" w:eastAsia="Times New Roman" w:hAnsi="Times New Roman" w:cs="Times New Roman"/>
          <w:color w:val="000000"/>
          <w:sz w:val="24"/>
          <w:szCs w:val="24"/>
        </w:rPr>
        <w:t xml:space="preserve"> </w:t>
      </w:r>
      <w:r w:rsidR="00132FF6">
        <w:rPr>
          <w:rFonts w:ascii="Times New Roman" w:eastAsia="Times New Roman" w:hAnsi="Times New Roman" w:cs="Times New Roman"/>
          <w:color w:val="000000"/>
          <w:sz w:val="24"/>
          <w:szCs w:val="24"/>
        </w:rPr>
        <w:t xml:space="preserve">la présence de plus de 6000 tonnes de sols contaminés, prioritairement au Nord du pays et dans la région de Kayes ; (iii) la présence de très grandes quantités d’emballages vides de pesticides, issus principalement de la culture du coton et qui sont réutilisés pour la conservation des aliments liquides et de l’eau, constituant ainsi une source évidente et permanente d’intoxication pour l’ensemble de la population. </w:t>
      </w:r>
    </w:p>
    <w:p w14:paraId="42721C31" w14:textId="3C3A774E" w:rsidR="00132FF6" w:rsidRDefault="00132FF6" w:rsidP="00372FDD">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C’est en vue de résoudre ces problèmes que ces 2 projets ont été initiés avec comme principaux objectifs : (i)  de débarrasser le pays de l’ensemble des pesticides obsolètes </w:t>
      </w:r>
      <w:r w:rsidR="00784AE4">
        <w:rPr>
          <w:rFonts w:ascii="Times New Roman" w:eastAsia="Times New Roman" w:hAnsi="Times New Roman" w:cs="Times New Roman"/>
          <w:color w:val="000000"/>
          <w:sz w:val="24"/>
          <w:szCs w:val="24"/>
        </w:rPr>
        <w:t>et déchets associés inventoriés ; (ii) de décontaminer les sites prioritaires pollués par les pesticides et d’élaborer un plan national de décontamination pour les autres sites pollués ; (iii) de prévenir l’accumulation de futurs stocks de pesticides obsolètes et des risques qui y sont liés par le contrôle de l’importation et l’homologation des intrants chimiques.</w:t>
      </w:r>
    </w:p>
    <w:p w14:paraId="7D2CBCD7" w14:textId="17AF73E0" w:rsidR="005B6261" w:rsidRDefault="00784AE4" w:rsidP="00372FDD">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financement est évalué à 2 milliards 570 millions de F CFA </w:t>
      </w:r>
      <w:r w:rsidR="00913F3D">
        <w:rPr>
          <w:rFonts w:ascii="Times New Roman" w:eastAsia="Times New Roman" w:hAnsi="Times New Roman" w:cs="Times New Roman"/>
          <w:color w:val="000000"/>
          <w:sz w:val="24"/>
          <w:szCs w:val="24"/>
        </w:rPr>
        <w:t xml:space="preserve">provenant du </w:t>
      </w:r>
      <w:r>
        <w:rPr>
          <w:rFonts w:ascii="Times New Roman" w:eastAsia="Times New Roman" w:hAnsi="Times New Roman" w:cs="Times New Roman"/>
          <w:color w:val="000000"/>
          <w:sz w:val="24"/>
          <w:szCs w:val="24"/>
        </w:rPr>
        <w:t>FEM</w:t>
      </w:r>
      <w:r w:rsidR="00913F3D">
        <w:rPr>
          <w:rFonts w:ascii="Times New Roman" w:eastAsia="Times New Roman" w:hAnsi="Times New Roman" w:cs="Times New Roman"/>
          <w:color w:val="000000"/>
          <w:sz w:val="24"/>
          <w:szCs w:val="24"/>
        </w:rPr>
        <w:t>, du</w:t>
      </w:r>
      <w:r>
        <w:rPr>
          <w:rFonts w:ascii="Times New Roman" w:eastAsia="Times New Roman" w:hAnsi="Times New Roman" w:cs="Times New Roman"/>
          <w:color w:val="000000"/>
          <w:sz w:val="24"/>
          <w:szCs w:val="24"/>
        </w:rPr>
        <w:t xml:space="preserve"> Gouvernement d</w:t>
      </w:r>
      <w:r w:rsidR="00913F3D">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 Danemark, </w:t>
      </w:r>
      <w:r w:rsidR="00913F3D">
        <w:rPr>
          <w:rFonts w:ascii="Times New Roman" w:eastAsia="Times New Roman" w:hAnsi="Times New Roman" w:cs="Times New Roman"/>
          <w:color w:val="000000"/>
          <w:sz w:val="24"/>
          <w:szCs w:val="24"/>
        </w:rPr>
        <w:t>de l’</w:t>
      </w:r>
      <w:r>
        <w:rPr>
          <w:rFonts w:ascii="Times New Roman" w:eastAsia="Times New Roman" w:hAnsi="Times New Roman" w:cs="Times New Roman"/>
          <w:color w:val="000000"/>
          <w:sz w:val="24"/>
          <w:szCs w:val="24"/>
        </w:rPr>
        <w:t>Etat du Mali </w:t>
      </w:r>
      <w:r w:rsidR="00913F3D">
        <w:rPr>
          <w:rFonts w:ascii="Times New Roman" w:eastAsia="Times New Roman" w:hAnsi="Times New Roman" w:cs="Times New Roman"/>
          <w:color w:val="000000"/>
          <w:sz w:val="24"/>
          <w:szCs w:val="24"/>
        </w:rPr>
        <w:t xml:space="preserve">et l’ONG </w:t>
      </w:r>
      <w:proofErr w:type="spellStart"/>
      <w:r w:rsidR="00913F3D">
        <w:rPr>
          <w:rFonts w:ascii="Times New Roman" w:eastAsia="Times New Roman" w:hAnsi="Times New Roman" w:cs="Times New Roman"/>
          <w:color w:val="000000"/>
          <w:sz w:val="24"/>
          <w:szCs w:val="24"/>
        </w:rPr>
        <w:t>CropLife</w:t>
      </w:r>
      <w:proofErr w:type="spellEnd"/>
      <w:r w:rsidR="00913F3D">
        <w:rPr>
          <w:rFonts w:ascii="Times New Roman" w:eastAsia="Times New Roman" w:hAnsi="Times New Roman" w:cs="Times New Roman"/>
          <w:color w:val="000000"/>
          <w:sz w:val="24"/>
          <w:szCs w:val="24"/>
        </w:rPr>
        <w:t>-International</w:t>
      </w:r>
      <w:r w:rsidR="00003D08">
        <w:rPr>
          <w:rFonts w:ascii="Times New Roman" w:eastAsia="Times New Roman" w:hAnsi="Times New Roman" w:cs="Times New Roman"/>
          <w:color w:val="000000"/>
          <w:sz w:val="24"/>
          <w:szCs w:val="24"/>
        </w:rPr>
        <w:t xml:space="preserve">. </w:t>
      </w:r>
      <w:r w:rsidR="00E10157">
        <w:rPr>
          <w:rFonts w:ascii="Times New Roman" w:eastAsia="Times New Roman" w:hAnsi="Times New Roman" w:cs="Times New Roman"/>
          <w:color w:val="000000"/>
          <w:sz w:val="24"/>
          <w:szCs w:val="24"/>
        </w:rPr>
        <w:t xml:space="preserve">Durant </w:t>
      </w:r>
      <w:r w:rsidR="00E10157">
        <w:rPr>
          <w:rFonts w:ascii="Times New Roman" w:eastAsia="Times New Roman" w:hAnsi="Times New Roman" w:cs="Times New Roman"/>
          <w:color w:val="000000"/>
          <w:sz w:val="24"/>
          <w:szCs w:val="24"/>
        </w:rPr>
        <w:lastRenderedPageBreak/>
        <w:t xml:space="preserve">l’exécution de ces projets, </w:t>
      </w:r>
      <w:r w:rsidR="005B6261">
        <w:rPr>
          <w:rFonts w:ascii="Times New Roman" w:eastAsia="Times New Roman" w:hAnsi="Times New Roman" w:cs="Times New Roman"/>
          <w:color w:val="000000"/>
          <w:sz w:val="24"/>
          <w:szCs w:val="24"/>
        </w:rPr>
        <w:t>un Comité nat</w:t>
      </w:r>
      <w:r w:rsidR="00624B6B">
        <w:rPr>
          <w:rFonts w:ascii="Times New Roman" w:eastAsia="Times New Roman" w:hAnsi="Times New Roman" w:cs="Times New Roman"/>
          <w:color w:val="000000"/>
          <w:sz w:val="24"/>
          <w:szCs w:val="24"/>
        </w:rPr>
        <w:t>ional de gestion des pesticides</w:t>
      </w:r>
      <w:r w:rsidR="00E10157">
        <w:rPr>
          <w:rFonts w:ascii="Times New Roman" w:eastAsia="Times New Roman" w:hAnsi="Times New Roman" w:cs="Times New Roman"/>
          <w:color w:val="000000"/>
          <w:sz w:val="24"/>
          <w:szCs w:val="24"/>
        </w:rPr>
        <w:t xml:space="preserve"> a été mis en place</w:t>
      </w:r>
      <w:r w:rsidR="00624B6B">
        <w:rPr>
          <w:rFonts w:ascii="Times New Roman" w:eastAsia="Times New Roman" w:hAnsi="Times New Roman" w:cs="Times New Roman"/>
          <w:color w:val="000000"/>
          <w:sz w:val="24"/>
          <w:szCs w:val="24"/>
        </w:rPr>
        <w:t xml:space="preserve">. Les résultats obtenus portent entre autres sur : la formation d’une quarantaine d’agents d’inventaire des pesticides obsolètes et déchets apparentés provenant de l’Agriculture, de la Protection des végétaux, de l’Environnement, des Associations et des ONG, </w:t>
      </w:r>
      <w:r w:rsidR="0048517F">
        <w:rPr>
          <w:rFonts w:ascii="Times New Roman" w:eastAsia="Times New Roman" w:hAnsi="Times New Roman" w:cs="Times New Roman"/>
          <w:color w:val="000000"/>
          <w:sz w:val="24"/>
          <w:szCs w:val="24"/>
        </w:rPr>
        <w:t>l’inventaire national des pesticides obsolètes et déchets apparentés entre 2005 et 2006</w:t>
      </w:r>
      <w:r w:rsidR="00E10157">
        <w:rPr>
          <w:rFonts w:ascii="Times New Roman" w:eastAsia="Times New Roman" w:hAnsi="Times New Roman" w:cs="Times New Roman"/>
          <w:color w:val="000000"/>
          <w:sz w:val="24"/>
          <w:szCs w:val="24"/>
        </w:rPr>
        <w:t xml:space="preserve"> ; </w:t>
      </w:r>
      <w:r w:rsidR="00624B6B">
        <w:rPr>
          <w:rFonts w:ascii="Times New Roman" w:eastAsia="Times New Roman" w:hAnsi="Times New Roman" w:cs="Times New Roman"/>
          <w:color w:val="000000"/>
          <w:sz w:val="24"/>
          <w:szCs w:val="24"/>
        </w:rPr>
        <w:t>l</w:t>
      </w:r>
      <w:r w:rsidR="005B6261">
        <w:rPr>
          <w:rFonts w:ascii="Times New Roman" w:eastAsia="Times New Roman" w:hAnsi="Times New Roman" w:cs="Times New Roman"/>
          <w:color w:val="000000"/>
          <w:sz w:val="24"/>
          <w:szCs w:val="24"/>
        </w:rPr>
        <w:t>’élimin</w:t>
      </w:r>
      <w:r w:rsidR="00624B6B">
        <w:rPr>
          <w:rFonts w:ascii="Times New Roman" w:eastAsia="Times New Roman" w:hAnsi="Times New Roman" w:cs="Times New Roman"/>
          <w:color w:val="000000"/>
          <w:sz w:val="24"/>
          <w:szCs w:val="24"/>
        </w:rPr>
        <w:t>ation de</w:t>
      </w:r>
      <w:r w:rsidR="005B6261">
        <w:rPr>
          <w:rFonts w:ascii="Times New Roman" w:eastAsia="Times New Roman" w:hAnsi="Times New Roman" w:cs="Times New Roman"/>
          <w:color w:val="000000"/>
          <w:sz w:val="24"/>
          <w:szCs w:val="24"/>
        </w:rPr>
        <w:t xml:space="preserve"> 65 tonnes </w:t>
      </w:r>
      <w:r w:rsidR="005A1ABB">
        <w:rPr>
          <w:rFonts w:ascii="Times New Roman" w:eastAsia="Times New Roman" w:hAnsi="Times New Roman" w:cs="Times New Roman"/>
          <w:color w:val="000000"/>
          <w:sz w:val="24"/>
          <w:szCs w:val="24"/>
        </w:rPr>
        <w:t>de p</w:t>
      </w:r>
      <w:r w:rsidR="00B532D2">
        <w:rPr>
          <w:rFonts w:ascii="Times New Roman" w:eastAsia="Times New Roman" w:hAnsi="Times New Roman" w:cs="Times New Roman"/>
          <w:color w:val="000000"/>
          <w:sz w:val="24"/>
          <w:szCs w:val="24"/>
        </w:rPr>
        <w:t xml:space="preserve">esticides obsolètes et de déchets apparentés (emballages vides et sol contaminés) à Gao, la sécurisation des stocks de pesticides et d’emballages vides à Koutiala, Ménaka, </w:t>
      </w:r>
      <w:proofErr w:type="spellStart"/>
      <w:r w:rsidR="00B532D2">
        <w:rPr>
          <w:rFonts w:ascii="Times New Roman" w:eastAsia="Times New Roman" w:hAnsi="Times New Roman" w:cs="Times New Roman"/>
          <w:color w:val="000000"/>
          <w:sz w:val="24"/>
          <w:szCs w:val="24"/>
        </w:rPr>
        <w:t>Molodo</w:t>
      </w:r>
      <w:proofErr w:type="spellEnd"/>
      <w:r w:rsidR="00B532D2">
        <w:rPr>
          <w:rFonts w:ascii="Times New Roman" w:eastAsia="Times New Roman" w:hAnsi="Times New Roman" w:cs="Times New Roman"/>
          <w:color w:val="000000"/>
          <w:sz w:val="24"/>
          <w:szCs w:val="24"/>
        </w:rPr>
        <w:t xml:space="preserve">, </w:t>
      </w:r>
      <w:proofErr w:type="spellStart"/>
      <w:r w:rsidR="00B532D2">
        <w:rPr>
          <w:rFonts w:ascii="Times New Roman" w:eastAsia="Times New Roman" w:hAnsi="Times New Roman" w:cs="Times New Roman"/>
          <w:color w:val="000000"/>
          <w:sz w:val="24"/>
          <w:szCs w:val="24"/>
        </w:rPr>
        <w:t>Dialakoroba</w:t>
      </w:r>
      <w:proofErr w:type="spellEnd"/>
      <w:r w:rsidR="00B532D2">
        <w:rPr>
          <w:rFonts w:ascii="Times New Roman" w:eastAsia="Times New Roman" w:hAnsi="Times New Roman" w:cs="Times New Roman"/>
          <w:color w:val="000000"/>
          <w:sz w:val="24"/>
          <w:szCs w:val="24"/>
        </w:rPr>
        <w:t xml:space="preserve">, </w:t>
      </w:r>
      <w:proofErr w:type="spellStart"/>
      <w:r w:rsidR="00B532D2">
        <w:rPr>
          <w:rFonts w:ascii="Times New Roman" w:eastAsia="Times New Roman" w:hAnsi="Times New Roman" w:cs="Times New Roman"/>
          <w:color w:val="000000"/>
          <w:sz w:val="24"/>
          <w:szCs w:val="24"/>
        </w:rPr>
        <w:t>Niogoméra</w:t>
      </w:r>
      <w:proofErr w:type="spellEnd"/>
      <w:r w:rsidR="00B532D2">
        <w:rPr>
          <w:rFonts w:ascii="Times New Roman" w:eastAsia="Times New Roman" w:hAnsi="Times New Roman" w:cs="Times New Roman"/>
          <w:color w:val="000000"/>
          <w:sz w:val="24"/>
          <w:szCs w:val="24"/>
        </w:rPr>
        <w:t xml:space="preserve">, Sikasso, Tombouctou, la décontamination des sites hautement pollués par les pesticides de </w:t>
      </w:r>
      <w:proofErr w:type="spellStart"/>
      <w:r w:rsidR="00B532D2">
        <w:rPr>
          <w:rFonts w:ascii="Times New Roman" w:eastAsia="Times New Roman" w:hAnsi="Times New Roman" w:cs="Times New Roman"/>
          <w:color w:val="000000"/>
          <w:sz w:val="24"/>
          <w:szCs w:val="24"/>
        </w:rPr>
        <w:t>Molodo</w:t>
      </w:r>
      <w:proofErr w:type="spellEnd"/>
      <w:r w:rsidR="00B532D2">
        <w:rPr>
          <w:rFonts w:ascii="Times New Roman" w:eastAsia="Times New Roman" w:hAnsi="Times New Roman" w:cs="Times New Roman"/>
          <w:color w:val="000000"/>
          <w:sz w:val="24"/>
          <w:szCs w:val="24"/>
        </w:rPr>
        <w:t xml:space="preserve">, </w:t>
      </w:r>
      <w:proofErr w:type="spellStart"/>
      <w:r w:rsidR="00B532D2">
        <w:rPr>
          <w:rFonts w:ascii="Times New Roman" w:eastAsia="Times New Roman" w:hAnsi="Times New Roman" w:cs="Times New Roman"/>
          <w:color w:val="000000"/>
          <w:sz w:val="24"/>
          <w:szCs w:val="24"/>
        </w:rPr>
        <w:t>Dialakoroba</w:t>
      </w:r>
      <w:proofErr w:type="spellEnd"/>
      <w:r w:rsidR="00B532D2">
        <w:rPr>
          <w:rFonts w:ascii="Times New Roman" w:eastAsia="Times New Roman" w:hAnsi="Times New Roman" w:cs="Times New Roman"/>
          <w:color w:val="000000"/>
          <w:sz w:val="24"/>
          <w:szCs w:val="24"/>
        </w:rPr>
        <w:t xml:space="preserve"> et </w:t>
      </w:r>
      <w:proofErr w:type="spellStart"/>
      <w:r w:rsidR="00B532D2">
        <w:rPr>
          <w:rFonts w:ascii="Times New Roman" w:eastAsia="Times New Roman" w:hAnsi="Times New Roman" w:cs="Times New Roman"/>
          <w:color w:val="000000"/>
          <w:sz w:val="24"/>
          <w:szCs w:val="24"/>
        </w:rPr>
        <w:t>Niogoméra</w:t>
      </w:r>
      <w:proofErr w:type="spellEnd"/>
      <w:r w:rsidR="00B532D2">
        <w:rPr>
          <w:rFonts w:ascii="Times New Roman" w:eastAsia="Times New Roman" w:hAnsi="Times New Roman" w:cs="Times New Roman"/>
          <w:color w:val="000000"/>
          <w:sz w:val="24"/>
          <w:szCs w:val="24"/>
        </w:rPr>
        <w:t xml:space="preserve"> par la technique du </w:t>
      </w:r>
      <w:proofErr w:type="spellStart"/>
      <w:r w:rsidR="00624B6B">
        <w:rPr>
          <w:rFonts w:ascii="Times New Roman" w:eastAsia="Times New Roman" w:hAnsi="Times New Roman" w:cs="Times New Roman"/>
          <w:color w:val="000000"/>
          <w:sz w:val="24"/>
          <w:szCs w:val="24"/>
        </w:rPr>
        <w:t>landfarming</w:t>
      </w:r>
      <w:proofErr w:type="spellEnd"/>
      <w:r w:rsidR="00624B6B">
        <w:rPr>
          <w:rFonts w:ascii="Times New Roman" w:eastAsia="Times New Roman" w:hAnsi="Times New Roman" w:cs="Times New Roman"/>
          <w:color w:val="000000"/>
          <w:sz w:val="24"/>
          <w:szCs w:val="24"/>
        </w:rPr>
        <w:t xml:space="preserve"> basée sur l’utilisation de moyens locaux (retournement des sols, utilisation des bouses de vache, plantations d’espèces végétales connues pour leurs propriétés de détoxification notamment le vétiver, le </w:t>
      </w:r>
      <w:proofErr w:type="spellStart"/>
      <w:r w:rsidR="00624B6B">
        <w:rPr>
          <w:rFonts w:ascii="Times New Roman" w:eastAsia="Times New Roman" w:hAnsi="Times New Roman" w:cs="Times New Roman"/>
          <w:color w:val="000000"/>
          <w:sz w:val="24"/>
          <w:szCs w:val="24"/>
        </w:rPr>
        <w:t>Jatropha</w:t>
      </w:r>
      <w:proofErr w:type="spellEnd"/>
      <w:r w:rsidR="00624B6B">
        <w:rPr>
          <w:rFonts w:ascii="Times New Roman" w:eastAsia="Times New Roman" w:hAnsi="Times New Roman" w:cs="Times New Roman"/>
          <w:color w:val="000000"/>
          <w:sz w:val="24"/>
          <w:szCs w:val="24"/>
        </w:rPr>
        <w:t xml:space="preserve"> et l’Eucalyptus), la décontamination du site de conteneur brûlé contenant des pesticides divers et emballages vides à </w:t>
      </w:r>
      <w:proofErr w:type="spellStart"/>
      <w:r w:rsidR="00624B6B">
        <w:rPr>
          <w:rFonts w:ascii="Times New Roman" w:eastAsia="Times New Roman" w:hAnsi="Times New Roman" w:cs="Times New Roman"/>
          <w:color w:val="000000"/>
          <w:sz w:val="24"/>
          <w:szCs w:val="24"/>
        </w:rPr>
        <w:t>Djidjan</w:t>
      </w:r>
      <w:proofErr w:type="spellEnd"/>
      <w:r w:rsidR="00624B6B">
        <w:rPr>
          <w:rFonts w:ascii="Times New Roman" w:eastAsia="Times New Roman" w:hAnsi="Times New Roman" w:cs="Times New Roman"/>
          <w:color w:val="000000"/>
          <w:sz w:val="24"/>
          <w:szCs w:val="24"/>
        </w:rPr>
        <w:t xml:space="preserve">/Kita par la technique de séquestration, </w:t>
      </w:r>
      <w:r w:rsidR="005A1ABB">
        <w:rPr>
          <w:rFonts w:ascii="Times New Roman" w:eastAsia="Times New Roman" w:hAnsi="Times New Roman" w:cs="Times New Roman"/>
          <w:color w:val="000000"/>
          <w:sz w:val="24"/>
          <w:szCs w:val="24"/>
        </w:rPr>
        <w:t>périmés et déchets liés, d’identifier et de sécuriser une partie des stocks et de mener des opé</w:t>
      </w:r>
      <w:r w:rsidR="004D5C2F">
        <w:rPr>
          <w:rFonts w:ascii="Times New Roman" w:eastAsia="Times New Roman" w:hAnsi="Times New Roman" w:cs="Times New Roman"/>
          <w:color w:val="000000"/>
          <w:sz w:val="24"/>
          <w:szCs w:val="24"/>
        </w:rPr>
        <w:t>rations pilotes de dépollutions</w:t>
      </w:r>
      <w:r w:rsidR="004D5C2F" w:rsidRPr="004D5C2F">
        <w:rPr>
          <w:rFonts w:ascii="Times New Roman" w:eastAsia="Times New Roman" w:hAnsi="Times New Roman" w:cs="Times New Roman"/>
          <w:color w:val="000000"/>
          <w:sz w:val="24"/>
          <w:szCs w:val="24"/>
        </w:rPr>
        <w:t xml:space="preserve"> </w:t>
      </w:r>
      <w:r w:rsidR="004D5C2F">
        <w:rPr>
          <w:rFonts w:ascii="Times New Roman" w:eastAsia="Times New Roman" w:hAnsi="Times New Roman" w:cs="Times New Roman"/>
          <w:color w:val="000000"/>
          <w:sz w:val="24"/>
          <w:szCs w:val="24"/>
        </w:rPr>
        <w:t>, la sécurisation et l’élimination de 552 tonnes de pesticides obsolètes et déchets apparentés avec la société VEOLIA</w:t>
      </w:r>
    </w:p>
    <w:p w14:paraId="25E8CCDE" w14:textId="0F48E76F" w:rsidR="00013394" w:rsidRDefault="00796324" w:rsidP="009B5ED7">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Ces projets ont renforcé les capacités institutionnelle, règlementaire et technique dont le secteur avait besoin</w:t>
      </w:r>
      <w:r w:rsidR="004D5C2F">
        <w:rPr>
          <w:rFonts w:ascii="Times New Roman" w:eastAsia="Times New Roman" w:hAnsi="Times New Roman" w:cs="Times New Roman"/>
          <w:color w:val="000000"/>
          <w:sz w:val="24"/>
          <w:szCs w:val="24"/>
        </w:rPr>
        <w:t xml:space="preserve"> pour</w:t>
      </w:r>
      <w:r>
        <w:rPr>
          <w:rFonts w:ascii="Times New Roman" w:eastAsia="Times New Roman" w:hAnsi="Times New Roman" w:cs="Times New Roman"/>
          <w:color w:val="000000"/>
          <w:sz w:val="24"/>
          <w:szCs w:val="24"/>
        </w:rPr>
        <w:t xml:space="preserve"> remédier à la pollution de l’environnement et l’empoisonnement des communautés</w:t>
      </w:r>
      <w:r w:rsidR="00003D08">
        <w:rPr>
          <w:rFonts w:ascii="Times New Roman" w:eastAsia="Times New Roman" w:hAnsi="Times New Roman" w:cs="Times New Roman"/>
          <w:color w:val="000000"/>
          <w:sz w:val="24"/>
          <w:szCs w:val="24"/>
        </w:rPr>
        <w:t xml:space="preserve">. </w:t>
      </w:r>
      <w:r w:rsidR="00E10157">
        <w:rPr>
          <w:rFonts w:ascii="Times New Roman" w:eastAsia="Times New Roman" w:hAnsi="Times New Roman" w:cs="Times New Roman"/>
          <w:color w:val="000000"/>
          <w:sz w:val="24"/>
          <w:szCs w:val="24"/>
        </w:rPr>
        <w:t xml:space="preserve">On peut citer, entre autres : la gestion d’une base de données nationale sur les pesticides, la gestion des pesticides saisis par les structures de contrôle, l’inventaire national, la sécurisation et l’élimination de l’ensemble des pesticides et déchets apparentés au Mali, la mise en place d’une équipe nationale de décontamination des sites pollués, la gestion communautaire des emballages vides, la mise en place d’un groupe de travail de prévention, l’assistance à la CMDT dans la mise en place d’une Direction pour l’Environnement et le Développement Durable, l’assistance à la Société TOGUNA INDUSTRIE dans la mise en place de la première ligne de conditionnement des pesticides au Mali. </w:t>
      </w:r>
      <w:r w:rsidR="0066107D">
        <w:rPr>
          <w:rFonts w:ascii="Times New Roman" w:eastAsia="Times New Roman" w:hAnsi="Times New Roman" w:cs="Times New Roman"/>
          <w:color w:val="000000"/>
          <w:sz w:val="24"/>
          <w:szCs w:val="24"/>
        </w:rPr>
        <w:t>En outre, les communautés, les distributeurs, les vendeurs,</w:t>
      </w:r>
      <w:r w:rsidR="0084020B">
        <w:rPr>
          <w:rFonts w:ascii="Times New Roman" w:eastAsia="Times New Roman" w:hAnsi="Times New Roman" w:cs="Times New Roman"/>
          <w:color w:val="000000"/>
          <w:sz w:val="24"/>
          <w:szCs w:val="24"/>
        </w:rPr>
        <w:t xml:space="preserve"> les utilisateurs </w:t>
      </w:r>
      <w:r w:rsidR="0066107D">
        <w:rPr>
          <w:rFonts w:ascii="Times New Roman" w:eastAsia="Times New Roman" w:hAnsi="Times New Roman" w:cs="Times New Roman"/>
          <w:color w:val="000000"/>
          <w:sz w:val="24"/>
          <w:szCs w:val="24"/>
        </w:rPr>
        <w:t xml:space="preserve">et les contrôleurs </w:t>
      </w:r>
      <w:r>
        <w:rPr>
          <w:rFonts w:ascii="Times New Roman" w:eastAsia="Times New Roman" w:hAnsi="Times New Roman" w:cs="Times New Roman"/>
          <w:color w:val="000000"/>
          <w:sz w:val="24"/>
          <w:szCs w:val="24"/>
        </w:rPr>
        <w:t>ont bénéficié</w:t>
      </w:r>
      <w:r w:rsidR="0084020B">
        <w:rPr>
          <w:rFonts w:ascii="Times New Roman" w:eastAsia="Times New Roman" w:hAnsi="Times New Roman" w:cs="Times New Roman"/>
          <w:color w:val="000000"/>
          <w:sz w:val="24"/>
          <w:szCs w:val="24"/>
        </w:rPr>
        <w:t xml:space="preserve"> </w:t>
      </w:r>
      <w:r w:rsidR="00CF5EB6">
        <w:rPr>
          <w:rFonts w:ascii="Times New Roman" w:eastAsia="Times New Roman" w:hAnsi="Times New Roman" w:cs="Times New Roman"/>
          <w:color w:val="000000"/>
          <w:sz w:val="24"/>
          <w:szCs w:val="24"/>
        </w:rPr>
        <w:t xml:space="preserve">de </w:t>
      </w:r>
      <w:r w:rsidR="0084020B">
        <w:rPr>
          <w:rFonts w:ascii="Times New Roman" w:eastAsia="Times New Roman" w:hAnsi="Times New Roman" w:cs="Times New Roman"/>
          <w:color w:val="000000"/>
          <w:sz w:val="24"/>
          <w:szCs w:val="24"/>
        </w:rPr>
        <w:t>beaucoup de formations et de sensibilisation aux dangers et aux bonnes pratiques dans l’utilisation</w:t>
      </w:r>
      <w:r w:rsidR="00935011">
        <w:rPr>
          <w:rFonts w:ascii="Times New Roman" w:eastAsia="Times New Roman" w:hAnsi="Times New Roman" w:cs="Times New Roman"/>
          <w:color w:val="000000"/>
          <w:sz w:val="24"/>
          <w:szCs w:val="24"/>
        </w:rPr>
        <w:t>,</w:t>
      </w:r>
      <w:r w:rsidR="0084020B">
        <w:rPr>
          <w:rFonts w:ascii="Times New Roman" w:eastAsia="Times New Roman" w:hAnsi="Times New Roman" w:cs="Times New Roman"/>
          <w:color w:val="000000"/>
          <w:sz w:val="24"/>
          <w:szCs w:val="24"/>
        </w:rPr>
        <w:t xml:space="preserve"> le reconditionnement </w:t>
      </w:r>
      <w:r w:rsidR="00935011">
        <w:rPr>
          <w:rFonts w:ascii="Times New Roman" w:eastAsia="Times New Roman" w:hAnsi="Times New Roman" w:cs="Times New Roman"/>
          <w:color w:val="000000"/>
          <w:sz w:val="24"/>
          <w:szCs w:val="24"/>
        </w:rPr>
        <w:t xml:space="preserve">et la gestion des emballages </w:t>
      </w:r>
      <w:r w:rsidR="0084020B">
        <w:rPr>
          <w:rFonts w:ascii="Times New Roman" w:eastAsia="Times New Roman" w:hAnsi="Times New Roman" w:cs="Times New Roman"/>
          <w:color w:val="000000"/>
          <w:sz w:val="24"/>
          <w:szCs w:val="24"/>
        </w:rPr>
        <w:t>de ces produits dangereux et déchets liés.</w:t>
      </w:r>
    </w:p>
    <w:p w14:paraId="30482E2E" w14:textId="655F9F99" w:rsidR="003F30FF" w:rsidRDefault="00167C90" w:rsidP="00E72198">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chapitre III </w:t>
      </w:r>
      <w:r w:rsidR="00790A60">
        <w:rPr>
          <w:rFonts w:ascii="Times New Roman" w:eastAsia="Times New Roman" w:hAnsi="Times New Roman" w:cs="Times New Roman"/>
          <w:color w:val="000000"/>
          <w:sz w:val="24"/>
          <w:szCs w:val="24"/>
        </w:rPr>
        <w:t>d</w:t>
      </w:r>
      <w:r w:rsidR="00E72198">
        <w:rPr>
          <w:rFonts w:ascii="Times New Roman" w:eastAsia="Times New Roman" w:hAnsi="Times New Roman" w:cs="Times New Roman"/>
          <w:color w:val="000000"/>
          <w:sz w:val="24"/>
          <w:szCs w:val="24"/>
        </w:rPr>
        <w:t xml:space="preserve">e la Loi n°2021-032 </w:t>
      </w:r>
      <w:r w:rsidR="00790A60">
        <w:rPr>
          <w:rFonts w:ascii="Times New Roman" w:eastAsia="Times New Roman" w:hAnsi="Times New Roman" w:cs="Times New Roman"/>
          <w:color w:val="000000"/>
          <w:sz w:val="24"/>
          <w:szCs w:val="24"/>
        </w:rPr>
        <w:t>du 24 mai 2021 relative aux pollutio</w:t>
      </w:r>
      <w:r>
        <w:rPr>
          <w:rFonts w:ascii="Times New Roman" w:eastAsia="Times New Roman" w:hAnsi="Times New Roman" w:cs="Times New Roman"/>
          <w:color w:val="000000"/>
          <w:sz w:val="24"/>
          <w:szCs w:val="24"/>
        </w:rPr>
        <w:t>ns et aux nuisances traite les modalités d’accès à l’information environnementale. Ainsi,</w:t>
      </w:r>
      <w:r w:rsidR="00935011">
        <w:rPr>
          <w:rFonts w:ascii="Times New Roman" w:eastAsia="Times New Roman" w:hAnsi="Times New Roman" w:cs="Times New Roman"/>
          <w:color w:val="000000"/>
          <w:sz w:val="24"/>
          <w:szCs w:val="24"/>
        </w:rPr>
        <w:t xml:space="preserve"> s</w:t>
      </w:r>
      <w:r w:rsidR="00567018">
        <w:rPr>
          <w:rFonts w:ascii="Times New Roman" w:eastAsia="Times New Roman" w:hAnsi="Times New Roman" w:cs="Times New Roman"/>
          <w:color w:val="000000"/>
          <w:sz w:val="24"/>
          <w:szCs w:val="24"/>
        </w:rPr>
        <w:t>es</w:t>
      </w:r>
      <w:r w:rsidR="00935011">
        <w:rPr>
          <w:rFonts w:ascii="Times New Roman" w:eastAsia="Times New Roman" w:hAnsi="Times New Roman" w:cs="Times New Roman"/>
          <w:color w:val="000000"/>
          <w:sz w:val="24"/>
          <w:szCs w:val="24"/>
        </w:rPr>
        <w:t xml:space="preserve"> articles 10 et 11 dispos</w:t>
      </w:r>
      <w:r>
        <w:rPr>
          <w:rFonts w:ascii="Times New Roman" w:eastAsia="Times New Roman" w:hAnsi="Times New Roman" w:cs="Times New Roman"/>
          <w:color w:val="000000"/>
          <w:sz w:val="24"/>
          <w:szCs w:val="24"/>
        </w:rPr>
        <w:t>ent respectivement que</w:t>
      </w:r>
      <w:r w:rsidR="00E7219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E72198">
        <w:rPr>
          <w:rFonts w:ascii="Times New Roman" w:eastAsia="Times New Roman" w:hAnsi="Times New Roman" w:cs="Times New Roman"/>
          <w:color w:val="000000"/>
          <w:sz w:val="24"/>
          <w:szCs w:val="24"/>
        </w:rPr>
        <w:t>« </w:t>
      </w:r>
      <w:r w:rsidR="00790A60">
        <w:rPr>
          <w:rFonts w:ascii="Times New Roman" w:eastAsia="Times New Roman" w:hAnsi="Times New Roman" w:cs="Times New Roman"/>
          <w:color w:val="000000"/>
          <w:sz w:val="24"/>
          <w:szCs w:val="24"/>
        </w:rPr>
        <w:t>toute personne a droit au libre accès aux informations environnementales. L’accès aux informations environnementales, dont la publication affecte les relations internationales, la défense nationale, la confidentialité ou pouvant provoquer u</w:t>
      </w:r>
      <w:r w:rsidR="003F30FF">
        <w:rPr>
          <w:rFonts w:ascii="Times New Roman" w:eastAsia="Times New Roman" w:hAnsi="Times New Roman" w:cs="Times New Roman"/>
          <w:color w:val="000000"/>
          <w:sz w:val="24"/>
          <w:szCs w:val="24"/>
        </w:rPr>
        <w:t>n grave danger pour la sécurité, est soumis à l’autorisation du ministre chargé de l’environnement »</w:t>
      </w:r>
      <w:r w:rsidR="00E72198">
        <w:rPr>
          <w:rFonts w:ascii="Times New Roman" w:eastAsia="Times New Roman" w:hAnsi="Times New Roman" w:cs="Times New Roman"/>
          <w:color w:val="000000"/>
          <w:sz w:val="24"/>
          <w:szCs w:val="24"/>
        </w:rPr>
        <w:t>,  et « </w:t>
      </w:r>
      <w:r w:rsidR="003F30FF">
        <w:rPr>
          <w:rFonts w:ascii="Times New Roman" w:eastAsia="Times New Roman" w:hAnsi="Times New Roman" w:cs="Times New Roman"/>
          <w:color w:val="000000"/>
          <w:sz w:val="24"/>
          <w:szCs w:val="24"/>
        </w:rPr>
        <w:t xml:space="preserve">la demande d’information environnementale ne peut </w:t>
      </w:r>
      <w:r>
        <w:rPr>
          <w:rFonts w:ascii="Times New Roman" w:eastAsia="Times New Roman" w:hAnsi="Times New Roman" w:cs="Times New Roman"/>
          <w:color w:val="000000"/>
          <w:sz w:val="24"/>
          <w:szCs w:val="24"/>
        </w:rPr>
        <w:t>être</w:t>
      </w:r>
      <w:r w:rsidR="003F30FF">
        <w:rPr>
          <w:rFonts w:ascii="Times New Roman" w:eastAsia="Times New Roman" w:hAnsi="Times New Roman" w:cs="Times New Roman"/>
          <w:color w:val="000000"/>
          <w:sz w:val="24"/>
          <w:szCs w:val="24"/>
        </w:rPr>
        <w:t xml:space="preserve"> donnée si elle a trait à la transmission de dossiers n’étant pas encore clos ou de données dont le traitement n’est pas encore achevé ou de communications administratives </w:t>
      </w:r>
      <w:r>
        <w:rPr>
          <w:rFonts w:ascii="Times New Roman" w:eastAsia="Times New Roman" w:hAnsi="Times New Roman" w:cs="Times New Roman"/>
          <w:color w:val="000000"/>
          <w:sz w:val="24"/>
          <w:szCs w:val="24"/>
        </w:rPr>
        <w:t>internes</w:t>
      </w:r>
      <w:r w:rsidR="00E7219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14:paraId="520CEE1E" w14:textId="0372D0B2" w:rsidR="00A105CB" w:rsidRDefault="00A07B04" w:rsidP="00026EF8">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Cependant</w:t>
      </w:r>
      <w:r w:rsidR="00BE5027" w:rsidRPr="00A07B04">
        <w:rPr>
          <w:rFonts w:ascii="Times New Roman" w:eastAsia="Times New Roman" w:hAnsi="Times New Roman" w:cs="Times New Roman"/>
          <w:color w:val="000000"/>
          <w:sz w:val="24"/>
          <w:szCs w:val="24"/>
        </w:rPr>
        <w:t>, face</w:t>
      </w:r>
      <w:r w:rsidR="002F6706" w:rsidRPr="00A07B04">
        <w:rPr>
          <w:rFonts w:ascii="Times New Roman" w:eastAsia="Times New Roman" w:hAnsi="Times New Roman" w:cs="Times New Roman"/>
          <w:color w:val="000000"/>
          <w:sz w:val="24"/>
          <w:szCs w:val="24"/>
        </w:rPr>
        <w:t xml:space="preserve"> à la</w:t>
      </w:r>
      <w:r w:rsidR="00BE5027" w:rsidRPr="00A07B04">
        <w:rPr>
          <w:rFonts w:ascii="Times New Roman" w:eastAsia="Times New Roman" w:hAnsi="Times New Roman" w:cs="Times New Roman"/>
          <w:color w:val="000000"/>
          <w:sz w:val="24"/>
          <w:szCs w:val="24"/>
        </w:rPr>
        <w:t xml:space="preserve"> pollution de l’environnement et </w:t>
      </w:r>
      <w:r w:rsidR="002F6706" w:rsidRPr="00A07B04">
        <w:rPr>
          <w:rFonts w:ascii="Times New Roman" w:eastAsia="Times New Roman" w:hAnsi="Times New Roman" w:cs="Times New Roman"/>
          <w:color w:val="000000"/>
          <w:sz w:val="24"/>
          <w:szCs w:val="24"/>
        </w:rPr>
        <w:t xml:space="preserve">aux effets néfastes du </w:t>
      </w:r>
      <w:r w:rsidR="00BE5027" w:rsidRPr="00A07B04">
        <w:rPr>
          <w:rFonts w:ascii="Times New Roman" w:eastAsia="Times New Roman" w:hAnsi="Times New Roman" w:cs="Times New Roman"/>
          <w:color w:val="000000"/>
          <w:sz w:val="24"/>
          <w:szCs w:val="24"/>
        </w:rPr>
        <w:t>changement climatique</w:t>
      </w:r>
      <w:r w:rsidR="00463FF9">
        <w:rPr>
          <w:rFonts w:ascii="Times New Roman" w:eastAsia="Times New Roman" w:hAnsi="Times New Roman" w:cs="Times New Roman"/>
          <w:color w:val="000000"/>
          <w:sz w:val="24"/>
          <w:szCs w:val="24"/>
        </w:rPr>
        <w:t>, le</w:t>
      </w:r>
      <w:r w:rsidR="00BE5027" w:rsidRPr="00A07B04">
        <w:rPr>
          <w:rFonts w:ascii="Times New Roman" w:eastAsia="Times New Roman" w:hAnsi="Times New Roman" w:cs="Times New Roman"/>
          <w:color w:val="000000"/>
          <w:sz w:val="24"/>
          <w:szCs w:val="24"/>
        </w:rPr>
        <w:t xml:space="preserve"> droit</w:t>
      </w:r>
      <w:r w:rsidR="00463FF9">
        <w:rPr>
          <w:rFonts w:ascii="Times New Roman" w:eastAsia="Times New Roman" w:hAnsi="Times New Roman" w:cs="Times New Roman"/>
          <w:color w:val="000000"/>
          <w:sz w:val="24"/>
          <w:szCs w:val="24"/>
        </w:rPr>
        <w:t xml:space="preserve"> à un environnement sain </w:t>
      </w:r>
      <w:r w:rsidR="002F2324">
        <w:rPr>
          <w:rFonts w:ascii="Times New Roman" w:eastAsia="Times New Roman" w:hAnsi="Times New Roman" w:cs="Times New Roman"/>
          <w:color w:val="000000"/>
          <w:sz w:val="24"/>
          <w:szCs w:val="24"/>
        </w:rPr>
        <w:t>est limité</w:t>
      </w:r>
      <w:r w:rsidR="00AD7D00">
        <w:rPr>
          <w:rFonts w:ascii="Times New Roman" w:eastAsia="Times New Roman" w:hAnsi="Times New Roman" w:cs="Times New Roman"/>
          <w:color w:val="000000"/>
          <w:sz w:val="24"/>
          <w:szCs w:val="24"/>
        </w:rPr>
        <w:t xml:space="preserve"> </w:t>
      </w:r>
      <w:r w:rsidR="00AD7D00" w:rsidRPr="00AD7D00">
        <w:rPr>
          <w:rFonts w:ascii="Times New Roman" w:eastAsia="Times New Roman" w:hAnsi="Times New Roman" w:cs="Times New Roman"/>
          <w:color w:val="000000"/>
          <w:sz w:val="24"/>
          <w:szCs w:val="24"/>
        </w:rPr>
        <w:t xml:space="preserve">car il ne protège que contre une détérioration du niveau de protection existant. </w:t>
      </w:r>
      <w:r w:rsidR="00026EF8">
        <w:rPr>
          <w:rFonts w:ascii="Times New Roman" w:eastAsia="Times New Roman" w:hAnsi="Times New Roman" w:cs="Times New Roman"/>
          <w:color w:val="000000"/>
          <w:sz w:val="24"/>
          <w:szCs w:val="24"/>
        </w:rPr>
        <w:t>A</w:t>
      </w:r>
      <w:r w:rsidR="00A105CB" w:rsidRPr="00A07B04">
        <w:rPr>
          <w:rFonts w:ascii="Times New Roman" w:eastAsia="Times New Roman" w:hAnsi="Times New Roman" w:cs="Times New Roman"/>
          <w:color w:val="000000"/>
          <w:sz w:val="24"/>
          <w:szCs w:val="24"/>
        </w:rPr>
        <w:t>i</w:t>
      </w:r>
      <w:r w:rsidR="00026EF8">
        <w:rPr>
          <w:rFonts w:ascii="Times New Roman" w:eastAsia="Times New Roman" w:hAnsi="Times New Roman" w:cs="Times New Roman"/>
          <w:color w:val="000000"/>
          <w:sz w:val="24"/>
          <w:szCs w:val="24"/>
        </w:rPr>
        <w:t>nsi</w:t>
      </w:r>
      <w:r w:rsidR="00A105CB" w:rsidRPr="00A07B04">
        <w:rPr>
          <w:rFonts w:ascii="Times New Roman" w:eastAsia="Times New Roman" w:hAnsi="Times New Roman" w:cs="Times New Roman"/>
          <w:color w:val="000000"/>
          <w:sz w:val="24"/>
          <w:szCs w:val="24"/>
        </w:rPr>
        <w:t xml:space="preserve">, les conventions internationales ratifiées </w:t>
      </w:r>
      <w:r w:rsidR="00A105CB" w:rsidRPr="00A07B04">
        <w:rPr>
          <w:rFonts w:ascii="Times New Roman" w:eastAsia="Times New Roman" w:hAnsi="Times New Roman" w:cs="Times New Roman"/>
          <w:color w:val="000000"/>
          <w:sz w:val="24"/>
          <w:szCs w:val="24"/>
        </w:rPr>
        <w:lastRenderedPageBreak/>
        <w:t xml:space="preserve">par le Mali </w:t>
      </w:r>
      <w:r w:rsidR="00935011">
        <w:rPr>
          <w:rFonts w:ascii="Times New Roman" w:eastAsia="Times New Roman" w:hAnsi="Times New Roman" w:cs="Times New Roman"/>
          <w:color w:val="000000"/>
          <w:sz w:val="24"/>
          <w:szCs w:val="24"/>
        </w:rPr>
        <w:t xml:space="preserve">en </w:t>
      </w:r>
      <w:r w:rsidR="00A105CB" w:rsidRPr="00A07B04">
        <w:rPr>
          <w:rFonts w:ascii="Times New Roman" w:eastAsia="Times New Roman" w:hAnsi="Times New Roman" w:cs="Times New Roman"/>
          <w:color w:val="000000"/>
          <w:sz w:val="24"/>
          <w:szCs w:val="24"/>
        </w:rPr>
        <w:t xml:space="preserve">matière </w:t>
      </w:r>
      <w:r w:rsidR="007323FC" w:rsidRPr="00A07B04">
        <w:rPr>
          <w:rFonts w:ascii="Times New Roman" w:eastAsia="Times New Roman" w:hAnsi="Times New Roman" w:cs="Times New Roman"/>
          <w:color w:val="000000"/>
          <w:sz w:val="24"/>
          <w:szCs w:val="24"/>
        </w:rPr>
        <w:t xml:space="preserve">de produits chimiques et </w:t>
      </w:r>
      <w:r w:rsidR="00A105CB" w:rsidRPr="00A07B04">
        <w:rPr>
          <w:rFonts w:ascii="Times New Roman" w:eastAsia="Times New Roman" w:hAnsi="Times New Roman" w:cs="Times New Roman"/>
          <w:color w:val="000000"/>
          <w:sz w:val="24"/>
          <w:szCs w:val="24"/>
        </w:rPr>
        <w:t xml:space="preserve">de gestion écologiquement rationnelle et </w:t>
      </w:r>
      <w:r w:rsidR="00935011">
        <w:rPr>
          <w:rFonts w:ascii="Times New Roman" w:eastAsia="Times New Roman" w:hAnsi="Times New Roman" w:cs="Times New Roman"/>
          <w:color w:val="000000"/>
          <w:sz w:val="24"/>
          <w:szCs w:val="24"/>
        </w:rPr>
        <w:t xml:space="preserve"> d</w:t>
      </w:r>
      <w:r w:rsidR="00A105CB" w:rsidRPr="00A07B04">
        <w:rPr>
          <w:rFonts w:ascii="Times New Roman" w:eastAsia="Times New Roman" w:hAnsi="Times New Roman" w:cs="Times New Roman"/>
          <w:color w:val="000000"/>
          <w:sz w:val="24"/>
          <w:szCs w:val="24"/>
        </w:rPr>
        <w:t xml:space="preserve">’élimination des déchets dangereux </w:t>
      </w:r>
      <w:r w:rsidR="007323FC" w:rsidRPr="00A07B04">
        <w:rPr>
          <w:rFonts w:ascii="Times New Roman" w:eastAsia="Times New Roman" w:hAnsi="Times New Roman" w:cs="Times New Roman"/>
          <w:color w:val="000000"/>
          <w:sz w:val="24"/>
          <w:szCs w:val="24"/>
        </w:rPr>
        <w:t xml:space="preserve">n’ont </w:t>
      </w:r>
      <w:r w:rsidR="00031E25" w:rsidRPr="00A07B04">
        <w:rPr>
          <w:rFonts w:ascii="Times New Roman" w:eastAsia="Times New Roman" w:hAnsi="Times New Roman" w:cs="Times New Roman"/>
          <w:color w:val="000000"/>
          <w:sz w:val="24"/>
          <w:szCs w:val="24"/>
        </w:rPr>
        <w:t>pas connu</w:t>
      </w:r>
      <w:r w:rsidR="00A105CB" w:rsidRPr="00A07B04">
        <w:rPr>
          <w:rFonts w:ascii="Times New Roman" w:eastAsia="Times New Roman" w:hAnsi="Times New Roman" w:cs="Times New Roman"/>
          <w:color w:val="000000"/>
          <w:sz w:val="24"/>
          <w:szCs w:val="24"/>
        </w:rPr>
        <w:t xml:space="preserve"> un degré d’application satisfaisant.</w:t>
      </w:r>
    </w:p>
    <w:p w14:paraId="483EE85E" w14:textId="559EA693" w:rsidR="00E311F0" w:rsidRDefault="00820B9D" w:rsidP="006A2555">
      <w:pP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4068C2" w:rsidRPr="00A07B04">
        <w:rPr>
          <w:rFonts w:ascii="Times New Roman" w:eastAsia="Times New Roman" w:hAnsi="Times New Roman" w:cs="Times New Roman"/>
          <w:color w:val="000000"/>
          <w:sz w:val="24"/>
          <w:szCs w:val="24"/>
        </w:rPr>
        <w:t>enforcer les outils d'accès à l'information sur les rejets de substances dangereuses et à faire progresser les responsabilités des entreprises en matière de substances toxiques et des droits humains</w:t>
      </w:r>
      <w:r w:rsidR="004068C2">
        <w:rPr>
          <w:rFonts w:ascii="Times New Roman" w:eastAsia="Times New Roman" w:hAnsi="Times New Roman" w:cs="Times New Roman"/>
          <w:color w:val="000000"/>
          <w:sz w:val="24"/>
          <w:szCs w:val="24"/>
        </w:rPr>
        <w:t>,</w:t>
      </w:r>
      <w:r w:rsidR="00EC524D" w:rsidRPr="00A07B04">
        <w:rPr>
          <w:rFonts w:ascii="Times New Roman" w:eastAsia="Times New Roman" w:hAnsi="Times New Roman" w:cs="Times New Roman"/>
          <w:color w:val="000000"/>
          <w:sz w:val="24"/>
          <w:szCs w:val="24"/>
        </w:rPr>
        <w:t xml:space="preserve"> apparait ainsi comme un levier important sur lequel le Mali p</w:t>
      </w:r>
      <w:r w:rsidR="00935011">
        <w:rPr>
          <w:rFonts w:ascii="Times New Roman" w:eastAsia="Times New Roman" w:hAnsi="Times New Roman" w:cs="Times New Roman"/>
          <w:color w:val="000000"/>
          <w:sz w:val="24"/>
          <w:szCs w:val="24"/>
        </w:rPr>
        <w:t>eut</w:t>
      </w:r>
      <w:r w:rsidR="00EC524D" w:rsidRPr="00A07B04">
        <w:rPr>
          <w:rFonts w:ascii="Times New Roman" w:eastAsia="Times New Roman" w:hAnsi="Times New Roman" w:cs="Times New Roman"/>
          <w:color w:val="000000"/>
          <w:sz w:val="24"/>
          <w:szCs w:val="24"/>
        </w:rPr>
        <w:t xml:space="preserve"> s’appuyer en vue d’étoffer </w:t>
      </w:r>
      <w:r>
        <w:rPr>
          <w:rFonts w:ascii="Times New Roman" w:eastAsia="Times New Roman" w:hAnsi="Times New Roman" w:cs="Times New Roman"/>
          <w:color w:val="000000"/>
          <w:sz w:val="24"/>
          <w:szCs w:val="24"/>
        </w:rPr>
        <w:t>le dispositif de suivi-évaluation en matière de lutte contre les diverses formes de pollution et de changement climatique.</w:t>
      </w:r>
      <w:r w:rsidR="00640E0F">
        <w:rPr>
          <w:rFonts w:ascii="Times New Roman" w:eastAsia="Times New Roman" w:hAnsi="Times New Roman" w:cs="Times New Roman"/>
          <w:color w:val="000000"/>
          <w:sz w:val="24"/>
          <w:szCs w:val="24"/>
        </w:rPr>
        <w:t xml:space="preserve"> </w:t>
      </w:r>
      <w:r w:rsidR="006A2555">
        <w:rPr>
          <w:rFonts w:ascii="Times New Roman" w:eastAsia="Times New Roman" w:hAnsi="Times New Roman" w:cs="Times New Roman"/>
          <w:color w:val="000000"/>
          <w:sz w:val="24"/>
          <w:szCs w:val="24"/>
        </w:rPr>
        <w:t xml:space="preserve">A cet effet, </w:t>
      </w:r>
      <w:r w:rsidR="006A2555">
        <w:rPr>
          <w:rFonts w:ascii="Times New Roman" w:hAnsi="Times New Roman" w:cs="Times New Roman"/>
          <w:color w:val="000000" w:themeColor="text1"/>
          <w:sz w:val="24"/>
          <w:szCs w:val="24"/>
        </w:rPr>
        <w:t>l</w:t>
      </w:r>
      <w:r w:rsidR="00A9738B">
        <w:rPr>
          <w:rFonts w:ascii="Times New Roman" w:hAnsi="Times New Roman" w:cs="Times New Roman"/>
          <w:color w:val="000000" w:themeColor="text1"/>
          <w:sz w:val="24"/>
          <w:szCs w:val="24"/>
        </w:rPr>
        <w:t>es contributions du Gou</w:t>
      </w:r>
      <w:r w:rsidR="006A2555">
        <w:rPr>
          <w:rFonts w:ascii="Times New Roman" w:hAnsi="Times New Roman" w:cs="Times New Roman"/>
          <w:color w:val="000000" w:themeColor="text1"/>
          <w:sz w:val="24"/>
          <w:szCs w:val="24"/>
        </w:rPr>
        <w:t>ve</w:t>
      </w:r>
      <w:r w:rsidR="00A9738B">
        <w:rPr>
          <w:rFonts w:ascii="Times New Roman" w:hAnsi="Times New Roman" w:cs="Times New Roman"/>
          <w:color w:val="000000" w:themeColor="text1"/>
          <w:sz w:val="24"/>
          <w:szCs w:val="24"/>
        </w:rPr>
        <w:t xml:space="preserve">rnement </w:t>
      </w:r>
      <w:r w:rsidR="00935011">
        <w:rPr>
          <w:rFonts w:ascii="Times New Roman" w:hAnsi="Times New Roman" w:cs="Times New Roman"/>
          <w:color w:val="000000" w:themeColor="text1"/>
          <w:sz w:val="24"/>
          <w:szCs w:val="24"/>
        </w:rPr>
        <w:t>de la République du</w:t>
      </w:r>
      <w:bookmarkStart w:id="0" w:name="_GoBack"/>
      <w:bookmarkEnd w:id="0"/>
      <w:r w:rsidR="00935011">
        <w:rPr>
          <w:rFonts w:ascii="Times New Roman" w:hAnsi="Times New Roman" w:cs="Times New Roman"/>
          <w:color w:val="000000" w:themeColor="text1"/>
          <w:sz w:val="24"/>
          <w:szCs w:val="24"/>
        </w:rPr>
        <w:t xml:space="preserve"> Mali </w:t>
      </w:r>
      <w:r w:rsidR="006A2555">
        <w:rPr>
          <w:rFonts w:ascii="Times New Roman" w:eastAsia="Times New Roman" w:hAnsi="Times New Roman" w:cs="Times New Roman"/>
          <w:color w:val="000000"/>
          <w:sz w:val="24"/>
          <w:szCs w:val="24"/>
        </w:rPr>
        <w:t>à « </w:t>
      </w:r>
      <w:r w:rsidR="006A2555" w:rsidRPr="00A07B04">
        <w:rPr>
          <w:rFonts w:ascii="Times New Roman" w:eastAsia="Times New Roman" w:hAnsi="Times New Roman" w:cs="Times New Roman"/>
          <w:color w:val="000000"/>
          <w:sz w:val="24"/>
          <w:szCs w:val="24"/>
        </w:rPr>
        <w:t xml:space="preserve">l’appel à contribution du Rapporteur spécial sur les </w:t>
      </w:r>
      <w:r w:rsidR="006A2555">
        <w:rPr>
          <w:rFonts w:ascii="Times New Roman" w:eastAsia="Times New Roman" w:hAnsi="Times New Roman" w:cs="Times New Roman"/>
          <w:color w:val="000000"/>
          <w:sz w:val="24"/>
          <w:szCs w:val="24"/>
        </w:rPr>
        <w:t>incidences sur les droits de l’H</w:t>
      </w:r>
      <w:r w:rsidR="006A2555" w:rsidRPr="00A07B04">
        <w:rPr>
          <w:rFonts w:ascii="Times New Roman" w:eastAsia="Times New Roman" w:hAnsi="Times New Roman" w:cs="Times New Roman"/>
          <w:color w:val="000000"/>
          <w:sz w:val="24"/>
          <w:szCs w:val="24"/>
        </w:rPr>
        <w:t>omme de la gestion et de l’élimination écologiquement rationnelles de</w:t>
      </w:r>
      <w:r w:rsidR="006A2555">
        <w:rPr>
          <w:rFonts w:ascii="Times New Roman" w:eastAsia="Times New Roman" w:hAnsi="Times New Roman" w:cs="Times New Roman"/>
          <w:color w:val="000000"/>
          <w:sz w:val="24"/>
          <w:szCs w:val="24"/>
        </w:rPr>
        <w:t>s produits et déchets dangereux »</w:t>
      </w:r>
      <w:r w:rsidR="004D28C8">
        <w:rPr>
          <w:rFonts w:ascii="Times New Roman" w:eastAsia="Times New Roman" w:hAnsi="Times New Roman" w:cs="Times New Roman"/>
          <w:color w:val="000000"/>
          <w:sz w:val="24"/>
          <w:szCs w:val="24"/>
        </w:rPr>
        <w:t xml:space="preserve"> s’articulent autour des aspects ci-dessous énumérés :</w:t>
      </w:r>
      <w:r w:rsidR="006A2555">
        <w:rPr>
          <w:rFonts w:ascii="Times New Roman" w:eastAsia="Times New Roman" w:hAnsi="Times New Roman" w:cs="Times New Roman"/>
          <w:color w:val="000000"/>
          <w:sz w:val="24"/>
          <w:szCs w:val="24"/>
        </w:rPr>
        <w:t xml:space="preserve"> </w:t>
      </w:r>
    </w:p>
    <w:p w14:paraId="647323FE" w14:textId="0541FC79" w:rsidR="00B8440F" w:rsidRPr="00B8440F" w:rsidRDefault="0040592B" w:rsidP="006A2555">
      <w:pPr>
        <w:ind w:firstLine="360"/>
        <w:jc w:val="both"/>
        <w:rPr>
          <w:rFonts w:ascii="Times New Roman" w:eastAsia="Times New Roman" w:hAnsi="Times New Roman" w:cs="Times New Roman"/>
          <w:b/>
          <w:color w:val="000000"/>
          <w:sz w:val="24"/>
          <w:szCs w:val="24"/>
        </w:rPr>
      </w:pPr>
      <w:r w:rsidRPr="00B8440F">
        <w:rPr>
          <w:rFonts w:ascii="Times New Roman" w:eastAsia="Times New Roman" w:hAnsi="Times New Roman" w:cs="Times New Roman"/>
          <w:b/>
          <w:color w:val="000000"/>
          <w:sz w:val="24"/>
          <w:szCs w:val="24"/>
        </w:rPr>
        <w:t>Au niveau</w:t>
      </w:r>
      <w:r w:rsidR="00B8440F" w:rsidRPr="00B8440F">
        <w:rPr>
          <w:rFonts w:ascii="Times New Roman" w:eastAsia="Times New Roman" w:hAnsi="Times New Roman" w:cs="Times New Roman"/>
          <w:b/>
          <w:color w:val="000000"/>
          <w:sz w:val="24"/>
          <w:szCs w:val="24"/>
        </w:rPr>
        <w:t xml:space="preserve"> national</w:t>
      </w:r>
    </w:p>
    <w:p w14:paraId="6294EC9A" w14:textId="653312A7" w:rsidR="004D28C8" w:rsidRDefault="00077304" w:rsidP="005F3024">
      <w:pPr>
        <w:pStyle w:val="Paragraphedeliste"/>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d’appuyer </w:t>
      </w:r>
      <w:r w:rsidR="004D28C8">
        <w:rPr>
          <w:rFonts w:ascii="Times New Roman" w:hAnsi="Times New Roman" w:cs="Times New Roman"/>
          <w:color w:val="000000" w:themeColor="text1"/>
          <w:sz w:val="24"/>
          <w:szCs w:val="24"/>
        </w:rPr>
        <w:t>l’opérationnalisation d’</w:t>
      </w:r>
      <w:r w:rsidR="00D9596F">
        <w:rPr>
          <w:rFonts w:ascii="Times New Roman" w:hAnsi="Times New Roman" w:cs="Times New Roman"/>
          <w:color w:val="000000" w:themeColor="text1"/>
          <w:sz w:val="24"/>
          <w:szCs w:val="24"/>
        </w:rPr>
        <w:t>un O</w:t>
      </w:r>
      <w:r w:rsidR="004D28C8">
        <w:rPr>
          <w:rFonts w:ascii="Times New Roman" w:hAnsi="Times New Roman" w:cs="Times New Roman"/>
          <w:color w:val="000000" w:themeColor="text1"/>
          <w:sz w:val="24"/>
          <w:szCs w:val="24"/>
        </w:rPr>
        <w:t>bservatoire</w:t>
      </w:r>
      <w:r w:rsidR="00BC09A6">
        <w:rPr>
          <w:rFonts w:ascii="Times New Roman" w:hAnsi="Times New Roman" w:cs="Times New Roman"/>
          <w:color w:val="000000" w:themeColor="text1"/>
          <w:sz w:val="24"/>
          <w:szCs w:val="24"/>
        </w:rPr>
        <w:t xml:space="preserve"> national</w:t>
      </w:r>
      <w:r w:rsidR="004D28C8">
        <w:rPr>
          <w:rFonts w:ascii="Times New Roman" w:hAnsi="Times New Roman" w:cs="Times New Roman"/>
          <w:color w:val="000000" w:themeColor="text1"/>
          <w:sz w:val="24"/>
          <w:szCs w:val="24"/>
        </w:rPr>
        <w:t xml:space="preserve"> </w:t>
      </w:r>
      <w:r w:rsidR="00045974">
        <w:rPr>
          <w:rFonts w:ascii="Times New Roman" w:hAnsi="Times New Roman" w:cs="Times New Roman"/>
          <w:color w:val="000000" w:themeColor="text1"/>
          <w:sz w:val="24"/>
          <w:szCs w:val="24"/>
        </w:rPr>
        <w:t xml:space="preserve">dédié au secteur </w:t>
      </w:r>
      <w:r w:rsidR="00D9596F">
        <w:rPr>
          <w:rFonts w:ascii="Times New Roman" w:hAnsi="Times New Roman" w:cs="Times New Roman"/>
          <w:color w:val="000000" w:themeColor="text1"/>
          <w:sz w:val="24"/>
          <w:szCs w:val="24"/>
        </w:rPr>
        <w:t xml:space="preserve"> </w:t>
      </w:r>
      <w:r w:rsidR="00045974">
        <w:rPr>
          <w:rFonts w:ascii="Times New Roman" w:hAnsi="Times New Roman" w:cs="Times New Roman"/>
          <w:color w:val="000000" w:themeColor="text1"/>
          <w:sz w:val="24"/>
          <w:szCs w:val="24"/>
        </w:rPr>
        <w:t xml:space="preserve">Santé et </w:t>
      </w:r>
      <w:r w:rsidR="004D28C8">
        <w:rPr>
          <w:rFonts w:ascii="Times New Roman" w:hAnsi="Times New Roman" w:cs="Times New Roman"/>
          <w:color w:val="000000" w:themeColor="text1"/>
          <w:sz w:val="24"/>
          <w:szCs w:val="24"/>
        </w:rPr>
        <w:t>Environnement</w:t>
      </w:r>
      <w:r w:rsidR="002672FB">
        <w:rPr>
          <w:rFonts w:ascii="Times New Roman" w:hAnsi="Times New Roman" w:cs="Times New Roman"/>
          <w:color w:val="000000" w:themeColor="text1"/>
          <w:sz w:val="24"/>
          <w:szCs w:val="24"/>
        </w:rPr>
        <w:t xml:space="preserve"> </w:t>
      </w:r>
      <w:r w:rsidR="004D28C8">
        <w:rPr>
          <w:rFonts w:ascii="Times New Roman" w:hAnsi="Times New Roman" w:cs="Times New Roman"/>
          <w:color w:val="000000" w:themeColor="text1"/>
          <w:sz w:val="24"/>
          <w:szCs w:val="24"/>
        </w:rPr>
        <w:t>;</w:t>
      </w:r>
    </w:p>
    <w:p w14:paraId="30C926A1" w14:textId="735F7FEF" w:rsidR="00AD43AD" w:rsidRDefault="00077304" w:rsidP="005F3024">
      <w:pPr>
        <w:pStyle w:val="Paragraphedeliste"/>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financer </w:t>
      </w:r>
      <w:r w:rsidR="00E311F0" w:rsidRPr="006D7EFB">
        <w:rPr>
          <w:rFonts w:ascii="Times New Roman" w:hAnsi="Times New Roman" w:cs="Times New Roman"/>
          <w:color w:val="000000" w:themeColor="text1"/>
          <w:sz w:val="24"/>
          <w:szCs w:val="24"/>
        </w:rPr>
        <w:t xml:space="preserve">un programme de renforcement des </w:t>
      </w:r>
      <w:r w:rsidR="00AD43AD" w:rsidRPr="006D7EFB">
        <w:rPr>
          <w:rFonts w:ascii="Times New Roman" w:hAnsi="Times New Roman" w:cs="Times New Roman"/>
          <w:color w:val="000000" w:themeColor="text1"/>
          <w:sz w:val="24"/>
          <w:szCs w:val="24"/>
        </w:rPr>
        <w:t>capacités</w:t>
      </w:r>
      <w:r w:rsidR="00045974">
        <w:rPr>
          <w:rFonts w:ascii="Times New Roman" w:hAnsi="Times New Roman" w:cs="Times New Roman"/>
          <w:color w:val="000000" w:themeColor="text1"/>
          <w:sz w:val="24"/>
          <w:szCs w:val="24"/>
        </w:rPr>
        <w:t xml:space="preserve"> des structures </w:t>
      </w:r>
      <w:r w:rsidR="007A1B5D">
        <w:rPr>
          <w:rFonts w:ascii="Times New Roman" w:hAnsi="Times New Roman" w:cs="Times New Roman"/>
          <w:color w:val="000000" w:themeColor="text1"/>
          <w:sz w:val="24"/>
          <w:szCs w:val="24"/>
        </w:rPr>
        <w:t xml:space="preserve">et acteurs impliqués dans la gestion du cycle de vie des produits chimique, </w:t>
      </w:r>
      <w:r w:rsidR="00045974">
        <w:rPr>
          <w:rFonts w:ascii="Times New Roman" w:hAnsi="Times New Roman" w:cs="Times New Roman"/>
          <w:color w:val="000000" w:themeColor="text1"/>
          <w:sz w:val="24"/>
          <w:szCs w:val="24"/>
        </w:rPr>
        <w:t>en charge du contrôle et de la lutte contre les pollutions et les nuisances</w:t>
      </w:r>
      <w:r w:rsidR="002672FB">
        <w:rPr>
          <w:rFonts w:ascii="Times New Roman" w:hAnsi="Times New Roman" w:cs="Times New Roman"/>
          <w:color w:val="000000" w:themeColor="text1"/>
          <w:sz w:val="24"/>
          <w:szCs w:val="24"/>
        </w:rPr>
        <w:t xml:space="preserve"> </w:t>
      </w:r>
      <w:r w:rsidR="00AD43AD" w:rsidRPr="006D7EFB">
        <w:rPr>
          <w:rFonts w:ascii="Times New Roman" w:hAnsi="Times New Roman" w:cs="Times New Roman"/>
          <w:color w:val="000000" w:themeColor="text1"/>
          <w:sz w:val="24"/>
          <w:szCs w:val="24"/>
        </w:rPr>
        <w:t>;</w:t>
      </w:r>
    </w:p>
    <w:p w14:paraId="2C32449B" w14:textId="31BBE9EA" w:rsidR="00045974" w:rsidRPr="00045974" w:rsidRDefault="00077304" w:rsidP="005F3024">
      <w:pPr>
        <w:pStyle w:val="Paragraphedeliste"/>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procéder à </w:t>
      </w:r>
      <w:r w:rsidR="00045974" w:rsidRPr="006D7EFB">
        <w:rPr>
          <w:rFonts w:ascii="Times New Roman" w:hAnsi="Times New Roman" w:cs="Times New Roman"/>
          <w:color w:val="000000" w:themeColor="text1"/>
          <w:sz w:val="24"/>
          <w:szCs w:val="24"/>
        </w:rPr>
        <w:t>un tr</w:t>
      </w:r>
      <w:r w:rsidR="00045974">
        <w:rPr>
          <w:rFonts w:ascii="Times New Roman" w:hAnsi="Times New Roman" w:cs="Times New Roman"/>
          <w:color w:val="000000" w:themeColor="text1"/>
          <w:sz w:val="24"/>
          <w:szCs w:val="24"/>
        </w:rPr>
        <w:t>ansfert de technologie de traitement de déchets dangereux</w:t>
      </w:r>
      <w:r w:rsidR="00045974" w:rsidRPr="006D7EFB">
        <w:rPr>
          <w:rFonts w:ascii="Times New Roman" w:hAnsi="Times New Roman" w:cs="Times New Roman"/>
          <w:color w:val="000000" w:themeColor="text1"/>
          <w:sz w:val="24"/>
          <w:szCs w:val="24"/>
        </w:rPr>
        <w:t xml:space="preserve"> et d’équipements adéquats</w:t>
      </w:r>
      <w:r w:rsidR="002672FB">
        <w:rPr>
          <w:rFonts w:ascii="Times New Roman" w:hAnsi="Times New Roman" w:cs="Times New Roman"/>
          <w:color w:val="000000" w:themeColor="text1"/>
          <w:sz w:val="24"/>
          <w:szCs w:val="24"/>
        </w:rPr>
        <w:t xml:space="preserve"> </w:t>
      </w:r>
      <w:r w:rsidR="00045974" w:rsidRPr="006D7EFB">
        <w:rPr>
          <w:rFonts w:ascii="Times New Roman" w:hAnsi="Times New Roman" w:cs="Times New Roman"/>
          <w:color w:val="000000" w:themeColor="text1"/>
          <w:sz w:val="24"/>
          <w:szCs w:val="24"/>
        </w:rPr>
        <w:t>;</w:t>
      </w:r>
    </w:p>
    <w:p w14:paraId="7111AB20" w14:textId="6EE86579" w:rsidR="00244727" w:rsidRPr="00D9596F" w:rsidRDefault="00077304" w:rsidP="005F3024">
      <w:pPr>
        <w:pStyle w:val="Paragraphedeliste"/>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renforcer le dispositif de suivi-existant, notamment le</w:t>
      </w:r>
      <w:r w:rsidR="00BC09A6">
        <w:rPr>
          <w:rFonts w:ascii="Times New Roman" w:hAnsi="Times New Roman" w:cs="Times New Roman"/>
          <w:color w:val="000000" w:themeColor="text1"/>
          <w:sz w:val="24"/>
          <w:szCs w:val="24"/>
        </w:rPr>
        <w:t xml:space="preserve"> Système National de Gestion de l’Information Environnemental (SNGIE) au Mali</w:t>
      </w:r>
      <w:r w:rsidR="00244727">
        <w:rPr>
          <w:rFonts w:ascii="Times New Roman" w:hAnsi="Times New Roman" w:cs="Times New Roman"/>
          <w:color w:val="000000" w:themeColor="text1"/>
          <w:sz w:val="24"/>
          <w:szCs w:val="24"/>
        </w:rPr>
        <w:t xml:space="preserve"> et la Base de Données Mali </w:t>
      </w:r>
      <w:proofErr w:type="spellStart"/>
      <w:r w:rsidR="00244727">
        <w:rPr>
          <w:rFonts w:ascii="Times New Roman" w:hAnsi="Times New Roman" w:cs="Times New Roman"/>
          <w:color w:val="000000" w:themeColor="text1"/>
          <w:sz w:val="24"/>
          <w:szCs w:val="24"/>
        </w:rPr>
        <w:t>Sanya</w:t>
      </w:r>
      <w:proofErr w:type="spellEnd"/>
      <w:r w:rsidR="00244727">
        <w:rPr>
          <w:rFonts w:ascii="Times New Roman" w:hAnsi="Times New Roman" w:cs="Times New Roman"/>
          <w:color w:val="000000" w:themeColor="text1"/>
          <w:sz w:val="24"/>
          <w:szCs w:val="24"/>
        </w:rPr>
        <w:t xml:space="preserve"> dédiée au sous-secteur de l’assainissement ;</w:t>
      </w:r>
    </w:p>
    <w:p w14:paraId="1243AFD0" w14:textId="4E610C19" w:rsidR="00326770" w:rsidRPr="006D7EFB" w:rsidRDefault="00077304" w:rsidP="005F3024">
      <w:pPr>
        <w:pStyle w:val="Paragraphedeliste"/>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d’appuyer</w:t>
      </w:r>
      <w:r w:rsidR="000213BE">
        <w:rPr>
          <w:rFonts w:ascii="Times New Roman" w:hAnsi="Times New Roman" w:cs="Times New Roman"/>
          <w:color w:val="000000" w:themeColor="text1"/>
          <w:sz w:val="24"/>
          <w:szCs w:val="24"/>
        </w:rPr>
        <w:t xml:space="preserve"> </w:t>
      </w:r>
      <w:r w:rsidR="00D9596F">
        <w:rPr>
          <w:rFonts w:ascii="Times New Roman" w:hAnsi="Times New Roman" w:cs="Times New Roman"/>
          <w:color w:val="000000" w:themeColor="text1"/>
          <w:sz w:val="24"/>
          <w:szCs w:val="24"/>
        </w:rPr>
        <w:t>l’opérationnalisation du Programme National de Gestion Durable des Déchets Spéciaux (</w:t>
      </w:r>
      <w:proofErr w:type="spellStart"/>
      <w:r w:rsidR="00D9596F">
        <w:rPr>
          <w:rFonts w:ascii="Times New Roman" w:hAnsi="Times New Roman" w:cs="Times New Roman"/>
          <w:color w:val="000000" w:themeColor="text1"/>
          <w:sz w:val="24"/>
          <w:szCs w:val="24"/>
        </w:rPr>
        <w:t>PNGDDsp</w:t>
      </w:r>
      <w:proofErr w:type="spellEnd"/>
      <w:r w:rsidR="00D9596F">
        <w:rPr>
          <w:rFonts w:ascii="Times New Roman" w:hAnsi="Times New Roman" w:cs="Times New Roman"/>
          <w:color w:val="000000" w:themeColor="text1"/>
          <w:sz w:val="24"/>
          <w:szCs w:val="24"/>
        </w:rPr>
        <w:t>)</w:t>
      </w:r>
      <w:r w:rsidR="00AD43AD" w:rsidRPr="006D7EFB">
        <w:rPr>
          <w:rFonts w:ascii="Times New Roman" w:eastAsia="Times New Roman" w:hAnsi="Times New Roman" w:cs="Times New Roman"/>
          <w:color w:val="000000"/>
          <w:sz w:val="24"/>
          <w:szCs w:val="24"/>
        </w:rPr>
        <w:t> ;</w:t>
      </w:r>
    </w:p>
    <w:p w14:paraId="1468EE1C" w14:textId="662195AD" w:rsidR="00E50C06" w:rsidRPr="000213BE" w:rsidRDefault="000213BE" w:rsidP="005F3024">
      <w:pPr>
        <w:pStyle w:val="Paragraphedeliste"/>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d’accompagner </w:t>
      </w:r>
      <w:r w:rsidRPr="006D7EFB">
        <w:rPr>
          <w:rFonts w:ascii="Times New Roman" w:hAnsi="Times New Roman" w:cs="Times New Roman"/>
          <w:color w:val="000000" w:themeColor="text1"/>
          <w:sz w:val="24"/>
          <w:szCs w:val="24"/>
        </w:rPr>
        <w:t>la</w:t>
      </w:r>
      <w:r w:rsidR="00445A94" w:rsidRPr="006D7EFB">
        <w:rPr>
          <w:rFonts w:ascii="Times New Roman" w:hAnsi="Times New Roman" w:cs="Times New Roman"/>
          <w:color w:val="000000" w:themeColor="text1"/>
          <w:sz w:val="24"/>
          <w:szCs w:val="24"/>
        </w:rPr>
        <w:t xml:space="preserve"> mise en œuvre des Conventions international</w:t>
      </w:r>
      <w:r w:rsidR="00045974">
        <w:rPr>
          <w:rFonts w:ascii="Times New Roman" w:hAnsi="Times New Roman" w:cs="Times New Roman"/>
          <w:color w:val="000000" w:themeColor="text1"/>
          <w:sz w:val="24"/>
          <w:szCs w:val="24"/>
        </w:rPr>
        <w:t xml:space="preserve">es </w:t>
      </w:r>
      <w:r w:rsidR="007A1B5D">
        <w:rPr>
          <w:rFonts w:ascii="Times New Roman" w:hAnsi="Times New Roman" w:cs="Times New Roman"/>
          <w:color w:val="000000" w:themeColor="text1"/>
          <w:sz w:val="24"/>
          <w:szCs w:val="24"/>
        </w:rPr>
        <w:t xml:space="preserve">ratifiées </w:t>
      </w:r>
      <w:r w:rsidR="00045974">
        <w:rPr>
          <w:rFonts w:ascii="Times New Roman" w:hAnsi="Times New Roman" w:cs="Times New Roman"/>
          <w:color w:val="000000" w:themeColor="text1"/>
          <w:sz w:val="24"/>
          <w:szCs w:val="24"/>
        </w:rPr>
        <w:t xml:space="preserve">en matière des produits chimiques et </w:t>
      </w:r>
      <w:r w:rsidR="00121039">
        <w:rPr>
          <w:rFonts w:ascii="Times New Roman" w:hAnsi="Times New Roman" w:cs="Times New Roman"/>
          <w:color w:val="000000" w:themeColor="text1"/>
          <w:sz w:val="24"/>
          <w:szCs w:val="24"/>
        </w:rPr>
        <w:t>déchets dangereux</w:t>
      </w:r>
      <w:r w:rsidR="00F833A0" w:rsidRPr="006D7EFB">
        <w:rPr>
          <w:rFonts w:ascii="Times New Roman" w:hAnsi="Times New Roman" w:cs="Times New Roman"/>
          <w:color w:val="000000" w:themeColor="text1"/>
          <w:sz w:val="24"/>
          <w:szCs w:val="24"/>
        </w:rPr>
        <w:t>, notamment en matière de responsabilité et de réparation des dommages écologiques subséquents</w:t>
      </w:r>
      <w:r w:rsidR="00445A94" w:rsidRPr="006D7EFB">
        <w:rPr>
          <w:rFonts w:ascii="Times New Roman" w:hAnsi="Times New Roman" w:cs="Times New Roman"/>
          <w:color w:val="000000" w:themeColor="text1"/>
          <w:sz w:val="24"/>
          <w:szCs w:val="24"/>
        </w:rPr>
        <w:t>.</w:t>
      </w:r>
      <w:r w:rsidR="00E50C06" w:rsidRPr="000213BE">
        <w:rPr>
          <w:rFonts w:ascii="Times New Roman" w:hAnsi="Times New Roman" w:cs="Times New Roman"/>
          <w:sz w:val="24"/>
          <w:szCs w:val="24"/>
        </w:rPr>
        <w:tab/>
        <w:t xml:space="preserve"> </w:t>
      </w:r>
    </w:p>
    <w:p w14:paraId="71166367" w14:textId="6046A82E" w:rsidR="0040592B" w:rsidRDefault="0040592B" w:rsidP="0040592B">
      <w:pPr>
        <w:ind w:firstLine="360"/>
        <w:jc w:val="both"/>
        <w:rPr>
          <w:rFonts w:ascii="Times New Roman" w:eastAsia="Times New Roman" w:hAnsi="Times New Roman" w:cs="Times New Roman"/>
          <w:b/>
          <w:color w:val="000000"/>
          <w:sz w:val="24"/>
          <w:szCs w:val="24"/>
        </w:rPr>
      </w:pPr>
      <w:r w:rsidRPr="00B8440F">
        <w:rPr>
          <w:rFonts w:ascii="Times New Roman" w:eastAsia="Times New Roman" w:hAnsi="Times New Roman" w:cs="Times New Roman"/>
          <w:b/>
          <w:color w:val="000000"/>
          <w:sz w:val="24"/>
          <w:szCs w:val="24"/>
        </w:rPr>
        <w:t>Au niveau</w:t>
      </w:r>
      <w:r>
        <w:rPr>
          <w:rFonts w:ascii="Times New Roman" w:eastAsia="Times New Roman" w:hAnsi="Times New Roman" w:cs="Times New Roman"/>
          <w:b/>
          <w:color w:val="000000"/>
          <w:sz w:val="24"/>
          <w:szCs w:val="24"/>
        </w:rPr>
        <w:t xml:space="preserve"> international</w:t>
      </w:r>
    </w:p>
    <w:p w14:paraId="11AED696" w14:textId="2031E5CD" w:rsidR="00EC4E57" w:rsidRPr="00EC4E57" w:rsidRDefault="00EC4E57" w:rsidP="00EC4E5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Outre les contributions nationales ci-dessus citées, le </w:t>
      </w:r>
      <w:r w:rsidRPr="00EC4E57">
        <w:rPr>
          <w:rFonts w:ascii="Times New Roman" w:eastAsia="Times New Roman" w:hAnsi="Times New Roman" w:cs="Times New Roman"/>
          <w:color w:val="000000"/>
          <w:sz w:val="24"/>
          <w:szCs w:val="24"/>
        </w:rPr>
        <w:t>Rapporteur spécial des Nations unies sur les produi</w:t>
      </w:r>
      <w:r>
        <w:rPr>
          <w:rFonts w:ascii="Times New Roman" w:eastAsia="Times New Roman" w:hAnsi="Times New Roman" w:cs="Times New Roman"/>
          <w:color w:val="000000"/>
          <w:sz w:val="24"/>
          <w:szCs w:val="24"/>
        </w:rPr>
        <w:t>ts toxiques et les droits de l’H</w:t>
      </w:r>
      <w:r w:rsidRPr="00EC4E57">
        <w:rPr>
          <w:rFonts w:ascii="Times New Roman" w:eastAsia="Times New Roman" w:hAnsi="Times New Roman" w:cs="Times New Roman"/>
          <w:color w:val="000000"/>
          <w:sz w:val="24"/>
          <w:szCs w:val="24"/>
        </w:rPr>
        <w:t>omme</w:t>
      </w:r>
      <w:r>
        <w:rPr>
          <w:rFonts w:ascii="Times New Roman" w:eastAsia="Times New Roman" w:hAnsi="Times New Roman" w:cs="Times New Roman"/>
          <w:color w:val="000000"/>
          <w:sz w:val="24"/>
          <w:szCs w:val="24"/>
        </w:rPr>
        <w:t xml:space="preserve"> doit faire mention dans son rapport</w:t>
      </w:r>
      <w:r w:rsidR="009350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les aspects ci-après :</w:t>
      </w:r>
    </w:p>
    <w:p w14:paraId="52B5210F" w14:textId="5FE79506" w:rsidR="00D517E9" w:rsidRPr="00D517E9" w:rsidRDefault="0040592B" w:rsidP="00D517E9">
      <w:pPr>
        <w:pStyle w:val="Paragraphedeliste"/>
        <w:numPr>
          <w:ilvl w:val="0"/>
          <w:numId w:val="9"/>
        </w:numPr>
        <w:spacing w:after="0"/>
        <w:jc w:val="both"/>
        <w:rPr>
          <w:rFonts w:ascii="Times New Roman" w:hAnsi="Times New Roman" w:cs="Times New Roman"/>
          <w:color w:val="000000" w:themeColor="text1"/>
          <w:sz w:val="24"/>
          <w:szCs w:val="24"/>
        </w:rPr>
      </w:pPr>
      <w:r w:rsidRPr="0040592B">
        <w:rPr>
          <w:rFonts w:ascii="Times New Roman" w:hAnsi="Times New Roman" w:cs="Times New Roman"/>
          <w:color w:val="000000" w:themeColor="text1"/>
          <w:sz w:val="24"/>
          <w:szCs w:val="24"/>
        </w:rPr>
        <w:t xml:space="preserve">de publier un rapport qui intègre des évaluations scientifiques et fondées sur les risques et des conclusions sur les conséquences pour la santé humaine des produits chimiques, des déchets et de la pollution, ainsi que des informations sur les lacunes actuelles en matière de données, y compris dans le cadre de l’approche « Une seule santé », en veillant à ce que les données soient ventilées par sexe, âge, handicap et tout autre facteur pertinent et qu’il soit tenu compte des substances persistantes, </w:t>
      </w:r>
      <w:r w:rsidR="00077304" w:rsidRPr="0040592B">
        <w:rPr>
          <w:rFonts w:ascii="Times New Roman" w:hAnsi="Times New Roman" w:cs="Times New Roman"/>
          <w:color w:val="000000" w:themeColor="text1"/>
          <w:sz w:val="24"/>
          <w:szCs w:val="24"/>
        </w:rPr>
        <w:t>bio cumulatives</w:t>
      </w:r>
      <w:r w:rsidRPr="0040592B">
        <w:rPr>
          <w:rFonts w:ascii="Times New Roman" w:hAnsi="Times New Roman" w:cs="Times New Roman"/>
          <w:color w:val="000000" w:themeColor="text1"/>
          <w:sz w:val="24"/>
          <w:szCs w:val="24"/>
        </w:rPr>
        <w:t xml:space="preserve"> et mobiles, ainsi que des substances cancérogènes, mutagènes ou </w:t>
      </w:r>
      <w:proofErr w:type="spellStart"/>
      <w:r w:rsidRPr="0040592B">
        <w:rPr>
          <w:rFonts w:ascii="Times New Roman" w:hAnsi="Times New Roman" w:cs="Times New Roman"/>
          <w:color w:val="000000" w:themeColor="text1"/>
          <w:sz w:val="24"/>
          <w:szCs w:val="24"/>
        </w:rPr>
        <w:t>reprotoxiques</w:t>
      </w:r>
      <w:proofErr w:type="spellEnd"/>
      <w:r w:rsidRPr="0040592B">
        <w:rPr>
          <w:rFonts w:ascii="Times New Roman" w:hAnsi="Times New Roman" w:cs="Times New Roman"/>
          <w:color w:val="000000" w:themeColor="text1"/>
          <w:sz w:val="24"/>
          <w:szCs w:val="24"/>
        </w:rPr>
        <w:t xml:space="preserve">, neurotoxiques, </w:t>
      </w:r>
      <w:proofErr w:type="spellStart"/>
      <w:r w:rsidRPr="0040592B">
        <w:rPr>
          <w:rFonts w:ascii="Times New Roman" w:hAnsi="Times New Roman" w:cs="Times New Roman"/>
          <w:color w:val="000000" w:themeColor="text1"/>
          <w:sz w:val="24"/>
          <w:szCs w:val="24"/>
        </w:rPr>
        <w:t>immunotoxiques</w:t>
      </w:r>
      <w:proofErr w:type="spellEnd"/>
      <w:r w:rsidRPr="0040592B">
        <w:rPr>
          <w:rFonts w:ascii="Times New Roman" w:hAnsi="Times New Roman" w:cs="Times New Roman"/>
          <w:color w:val="000000" w:themeColor="text1"/>
          <w:sz w:val="24"/>
          <w:szCs w:val="24"/>
        </w:rPr>
        <w:t xml:space="preserve"> ou nocives pour les systèmes cardiovasculaires, respiratoires et d’autres organes, ou des perturbateurs endocriniens ; </w:t>
      </w:r>
    </w:p>
    <w:p w14:paraId="12C29674" w14:textId="70FFCB0D" w:rsidR="00D517E9" w:rsidRPr="00D517E9" w:rsidRDefault="0040592B" w:rsidP="00D517E9">
      <w:pPr>
        <w:pStyle w:val="Paragraphedeliste"/>
        <w:numPr>
          <w:ilvl w:val="0"/>
          <w:numId w:val="9"/>
        </w:numPr>
        <w:spacing w:after="0"/>
        <w:jc w:val="both"/>
        <w:rPr>
          <w:rFonts w:ascii="Times New Roman" w:hAnsi="Times New Roman" w:cs="Times New Roman"/>
          <w:color w:val="000000" w:themeColor="text1"/>
          <w:sz w:val="24"/>
          <w:szCs w:val="24"/>
        </w:rPr>
      </w:pPr>
      <w:r w:rsidRPr="0040592B">
        <w:rPr>
          <w:rFonts w:ascii="Times New Roman" w:hAnsi="Times New Roman" w:cs="Times New Roman"/>
          <w:color w:val="000000" w:themeColor="text1"/>
          <w:sz w:val="24"/>
          <w:szCs w:val="24"/>
        </w:rPr>
        <w:t xml:space="preserve">d’approfondir, en concertation avec d’autres membres de l’Alliance quadripartite sur l’approche « Une seule santé », les travaux de recherche sur les liens entre la santé </w:t>
      </w:r>
      <w:r w:rsidRPr="0040592B">
        <w:rPr>
          <w:rFonts w:ascii="Times New Roman" w:hAnsi="Times New Roman" w:cs="Times New Roman"/>
          <w:color w:val="000000" w:themeColor="text1"/>
          <w:sz w:val="24"/>
          <w:szCs w:val="24"/>
        </w:rPr>
        <w:lastRenderedPageBreak/>
        <w:t xml:space="preserve">humaine et animale et l’environnement, notamment dans le contexte des produits chimiques, des déchets et de la pollution ; </w:t>
      </w:r>
    </w:p>
    <w:p w14:paraId="4F77C1D1" w14:textId="115DAB71" w:rsidR="0040592B" w:rsidRPr="0040592B" w:rsidRDefault="0040592B" w:rsidP="0083349B">
      <w:pPr>
        <w:pStyle w:val="Paragraphedeliste"/>
        <w:numPr>
          <w:ilvl w:val="0"/>
          <w:numId w:val="9"/>
        </w:numPr>
        <w:spacing w:after="0"/>
        <w:jc w:val="both"/>
        <w:rPr>
          <w:rFonts w:ascii="Times New Roman" w:hAnsi="Times New Roman" w:cs="Times New Roman"/>
          <w:color w:val="000000" w:themeColor="text1"/>
          <w:sz w:val="24"/>
          <w:szCs w:val="24"/>
        </w:rPr>
      </w:pPr>
      <w:r w:rsidRPr="0040592B">
        <w:rPr>
          <w:rFonts w:ascii="Times New Roman" w:hAnsi="Times New Roman" w:cs="Times New Roman"/>
          <w:color w:val="000000" w:themeColor="text1"/>
          <w:sz w:val="24"/>
          <w:szCs w:val="24"/>
        </w:rPr>
        <w:t xml:space="preserve">de continuer d’apporter, sur demande, un appui technique aux pays, en particulier aux pays en développement, pour renforcer leurs capacités à mener des évaluations et des travaux de recherche ayant une assise scientifique, notamment sur les liens entre la pollution par les plastiques, y compris les </w:t>
      </w:r>
      <w:r w:rsidR="000B1DAF" w:rsidRPr="0040592B">
        <w:rPr>
          <w:rFonts w:ascii="Times New Roman" w:hAnsi="Times New Roman" w:cs="Times New Roman"/>
          <w:color w:val="000000" w:themeColor="text1"/>
          <w:sz w:val="24"/>
          <w:szCs w:val="24"/>
        </w:rPr>
        <w:t>micro plastiques</w:t>
      </w:r>
      <w:r w:rsidRPr="0040592B">
        <w:rPr>
          <w:rFonts w:ascii="Times New Roman" w:hAnsi="Times New Roman" w:cs="Times New Roman"/>
          <w:color w:val="000000" w:themeColor="text1"/>
          <w:sz w:val="24"/>
          <w:szCs w:val="24"/>
        </w:rPr>
        <w:t xml:space="preserve">, ainsi que par le cadmium, l’arsenic, le plomb et les pesticides agrochimiques, entre autres, et les effets connus sur la santé, afin d’éclairer l’élaboration de politiques de santé publique et d’appuyer le renforcement des systèmes de santé dans ce domaine ; </w:t>
      </w:r>
    </w:p>
    <w:p w14:paraId="4053465E" w14:textId="0E4F1D54" w:rsidR="0040592B" w:rsidRPr="0040592B" w:rsidRDefault="0040592B" w:rsidP="0083349B">
      <w:pPr>
        <w:pStyle w:val="Paragraphedeliste"/>
        <w:numPr>
          <w:ilvl w:val="0"/>
          <w:numId w:val="9"/>
        </w:numPr>
        <w:spacing w:after="0"/>
        <w:jc w:val="both"/>
        <w:rPr>
          <w:rFonts w:ascii="Times New Roman" w:hAnsi="Times New Roman" w:cs="Times New Roman"/>
          <w:color w:val="000000" w:themeColor="text1"/>
          <w:sz w:val="24"/>
          <w:szCs w:val="24"/>
        </w:rPr>
      </w:pPr>
      <w:r w:rsidRPr="0040592B">
        <w:rPr>
          <w:rFonts w:ascii="Times New Roman" w:hAnsi="Times New Roman" w:cs="Times New Roman"/>
          <w:color w:val="000000" w:themeColor="text1"/>
          <w:sz w:val="24"/>
          <w:szCs w:val="24"/>
        </w:rPr>
        <w:t xml:space="preserve">de mettre au point une campagne de sensibilisation, y compris une plateforme en ligne que les autorités nationales et locales pourraient reproduire, sur les conséquences pour la santé des produits chimiques, des déchets et de la pollution, y compris les contaminants présents dans l’eau potable et les aliments, ainsi que sur la prévention des suicides impliquant l’utilisation de pesticides hautement dangereux ; </w:t>
      </w:r>
    </w:p>
    <w:p w14:paraId="55BF5D03" w14:textId="33E4324E" w:rsidR="0040592B" w:rsidRPr="0040592B" w:rsidRDefault="005F3024" w:rsidP="0083349B">
      <w:pPr>
        <w:pStyle w:val="Paragraphedeliste"/>
        <w:numPr>
          <w:ilvl w:val="0"/>
          <w:numId w:val="9"/>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40592B" w:rsidRPr="0040592B">
        <w:rPr>
          <w:rFonts w:ascii="Times New Roman" w:hAnsi="Times New Roman" w:cs="Times New Roman"/>
          <w:color w:val="000000" w:themeColor="text1"/>
          <w:sz w:val="24"/>
          <w:szCs w:val="24"/>
        </w:rPr>
        <w:t xml:space="preserve">e plaider en faveur d’une approche multisectorielle et multipartite de la lutte contre la pollution, qui intègre les secteurs de la santé animale et humaine, à la fois parce qu’ils contribuent à la pollution et parce qu’ils </w:t>
      </w:r>
      <w:r w:rsidRPr="0040592B">
        <w:rPr>
          <w:rFonts w:ascii="Times New Roman" w:hAnsi="Times New Roman" w:cs="Times New Roman"/>
          <w:color w:val="000000" w:themeColor="text1"/>
          <w:sz w:val="24"/>
          <w:szCs w:val="24"/>
        </w:rPr>
        <w:t>œuvrent</w:t>
      </w:r>
      <w:r w:rsidR="0040592B" w:rsidRPr="0040592B">
        <w:rPr>
          <w:rFonts w:ascii="Times New Roman" w:hAnsi="Times New Roman" w:cs="Times New Roman"/>
          <w:color w:val="000000" w:themeColor="text1"/>
          <w:sz w:val="24"/>
          <w:szCs w:val="24"/>
        </w:rPr>
        <w:t xml:space="preserve"> à déceler, prévenir, atténuer et traiter les effets de la pollution sur la santé, en particulier au niveau national ; </w:t>
      </w:r>
    </w:p>
    <w:p w14:paraId="52A7C26E" w14:textId="6B7C6B7C" w:rsidR="00B909CA" w:rsidRDefault="00B909CA" w:rsidP="0083349B">
      <w:pPr>
        <w:pStyle w:val="Paragraphedeliste"/>
        <w:numPr>
          <w:ilvl w:val="0"/>
          <w:numId w:val="9"/>
        </w:numPr>
        <w:spacing w:after="0"/>
        <w:jc w:val="both"/>
        <w:rPr>
          <w:rFonts w:ascii="Times New Roman" w:hAnsi="Times New Roman" w:cs="Times New Roman"/>
          <w:color w:val="000000" w:themeColor="text1"/>
          <w:sz w:val="24"/>
          <w:szCs w:val="24"/>
        </w:rPr>
      </w:pPr>
      <w:r w:rsidRPr="0083349B">
        <w:rPr>
          <w:rFonts w:ascii="Times New Roman" w:hAnsi="Times New Roman" w:cs="Times New Roman"/>
          <w:color w:val="000000" w:themeColor="text1"/>
          <w:sz w:val="24"/>
          <w:szCs w:val="24"/>
        </w:rPr>
        <w:t xml:space="preserve">de prêter sur demande leur concours aux pays, en particulier aux pays en développement, afin qu’ils puissent élaborer des programmes nationaux ou régionaux de </w:t>
      </w:r>
      <w:r w:rsidR="00D517E9">
        <w:rPr>
          <w:rFonts w:ascii="Times New Roman" w:hAnsi="Times New Roman" w:cs="Times New Roman"/>
          <w:color w:val="000000" w:themeColor="text1"/>
          <w:sz w:val="24"/>
          <w:szCs w:val="24"/>
        </w:rPr>
        <w:t>bio</w:t>
      </w:r>
      <w:r w:rsidR="00D00286">
        <w:rPr>
          <w:rFonts w:ascii="Times New Roman" w:hAnsi="Times New Roman" w:cs="Times New Roman"/>
          <w:color w:val="000000" w:themeColor="text1"/>
          <w:sz w:val="24"/>
          <w:szCs w:val="24"/>
        </w:rPr>
        <w:t xml:space="preserve"> </w:t>
      </w:r>
      <w:r w:rsidR="0083349B" w:rsidRPr="0083349B">
        <w:rPr>
          <w:rFonts w:ascii="Times New Roman" w:hAnsi="Times New Roman" w:cs="Times New Roman"/>
          <w:color w:val="000000" w:themeColor="text1"/>
          <w:sz w:val="24"/>
          <w:szCs w:val="24"/>
        </w:rPr>
        <w:t>surveillance</w:t>
      </w:r>
      <w:r w:rsidRPr="0083349B">
        <w:rPr>
          <w:rFonts w:ascii="Times New Roman" w:hAnsi="Times New Roman" w:cs="Times New Roman"/>
          <w:color w:val="000000" w:themeColor="text1"/>
          <w:sz w:val="24"/>
          <w:szCs w:val="24"/>
        </w:rPr>
        <w:t xml:space="preserve"> humaine des produits chimiques préoccupants, par le renforcement des capacités et le transfert de technologies selon des modalités librement consenties et mutuellement convenues et dans le respect des obligations internationales, en vue de les aider à détecter les risques potentiels pour les groupes de population sur leur territoire, à recueillir des données pour étayer l’élaboration de politiques publiques, et à appuyer l’amélioration des systèmes de santé nationaux</w:t>
      </w:r>
      <w:r w:rsidR="0083349B" w:rsidRPr="0083349B">
        <w:rPr>
          <w:rFonts w:ascii="Times New Roman" w:hAnsi="Times New Roman" w:cs="Times New Roman"/>
          <w:color w:val="000000" w:themeColor="text1"/>
          <w:sz w:val="24"/>
          <w:szCs w:val="24"/>
        </w:rPr>
        <w:t>.</w:t>
      </w:r>
    </w:p>
    <w:p w14:paraId="5780C8A5" w14:textId="77777777" w:rsidR="000B1DAF" w:rsidRPr="0083349B" w:rsidRDefault="000B1DAF" w:rsidP="000B1DAF">
      <w:pPr>
        <w:pStyle w:val="Paragraphedeliste"/>
        <w:spacing w:after="0"/>
        <w:jc w:val="both"/>
        <w:rPr>
          <w:rFonts w:ascii="Times New Roman" w:hAnsi="Times New Roman" w:cs="Times New Roman"/>
          <w:color w:val="000000" w:themeColor="text1"/>
          <w:sz w:val="24"/>
          <w:szCs w:val="24"/>
        </w:rPr>
      </w:pPr>
    </w:p>
    <w:p w14:paraId="3A13EACC" w14:textId="77777777" w:rsidR="0040592B" w:rsidRPr="00A07B04" w:rsidRDefault="0040592B" w:rsidP="00326770">
      <w:pPr>
        <w:pStyle w:val="Paragraphedeliste"/>
        <w:jc w:val="both"/>
        <w:rPr>
          <w:rFonts w:ascii="Times New Roman" w:hAnsi="Times New Roman" w:cs="Times New Roman"/>
          <w:b/>
          <w:bCs/>
          <w:color w:val="000000" w:themeColor="text1"/>
          <w:sz w:val="24"/>
          <w:szCs w:val="24"/>
        </w:rPr>
      </w:pPr>
    </w:p>
    <w:sectPr w:rsidR="0040592B" w:rsidRPr="00A07B04" w:rsidSect="00BE05E7">
      <w:headerReference w:type="default" r:id="rId9"/>
      <w:footerReference w:type="default" r:id="rId10"/>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8784D" w14:textId="77777777" w:rsidR="00E10157" w:rsidRDefault="00E10157">
      <w:pPr>
        <w:spacing w:after="0" w:line="240" w:lineRule="auto"/>
      </w:pPr>
      <w:r>
        <w:separator/>
      </w:r>
    </w:p>
  </w:endnote>
  <w:endnote w:type="continuationSeparator" w:id="0">
    <w:p w14:paraId="187B1242" w14:textId="77777777" w:rsidR="00E10157" w:rsidRDefault="00E1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00091"/>
      <w:docPartObj>
        <w:docPartGallery w:val="Page Numbers (Bottom of Page)"/>
        <w:docPartUnique/>
      </w:docPartObj>
    </w:sdtPr>
    <w:sdtContent>
      <w:p w14:paraId="4AA11B5E" w14:textId="7149454E" w:rsidR="00E10157" w:rsidRDefault="00E10157">
        <w:pPr>
          <w:pStyle w:val="Pieddepage"/>
          <w:jc w:val="right"/>
        </w:pPr>
        <w:r>
          <w:fldChar w:fldCharType="begin"/>
        </w:r>
        <w:r>
          <w:instrText>PAGE   \* MERGEFORMAT</w:instrText>
        </w:r>
        <w:r>
          <w:fldChar w:fldCharType="separate"/>
        </w:r>
        <w:r w:rsidR="00FF1071">
          <w:rPr>
            <w:noProof/>
          </w:rPr>
          <w:t>5</w:t>
        </w:r>
        <w:r>
          <w:fldChar w:fldCharType="end"/>
        </w:r>
      </w:p>
    </w:sdtContent>
  </w:sdt>
  <w:p w14:paraId="21A3C728" w14:textId="77777777" w:rsidR="00E10157" w:rsidRDefault="00E10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AD462" w14:textId="77777777" w:rsidR="00E10157" w:rsidRDefault="00E10157">
      <w:pPr>
        <w:spacing w:after="0" w:line="240" w:lineRule="auto"/>
      </w:pPr>
      <w:r>
        <w:separator/>
      </w:r>
    </w:p>
  </w:footnote>
  <w:footnote w:type="continuationSeparator" w:id="0">
    <w:p w14:paraId="4355F47E" w14:textId="77777777" w:rsidR="00E10157" w:rsidRDefault="00E10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4669D" w14:textId="77777777" w:rsidR="00E10157" w:rsidRDefault="00E10157">
    <w:pPr>
      <w:pStyle w:val="En-tte"/>
      <w:jc w:val="right"/>
    </w:pPr>
  </w:p>
  <w:p w14:paraId="5981637C" w14:textId="77777777" w:rsidR="00E10157" w:rsidRDefault="00E101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A3458"/>
    <w:multiLevelType w:val="hybridMultilevel"/>
    <w:tmpl w:val="3EC2FEFA"/>
    <w:lvl w:ilvl="0" w:tplc="94D6394A">
      <w:numFmt w:val="bullet"/>
      <w:lvlText w:val="-"/>
      <w:lvlJc w:val="left"/>
      <w:pPr>
        <w:ind w:left="720" w:hanging="360"/>
      </w:pPr>
      <w:rPr>
        <w:rFonts w:ascii="Times New Roman" w:eastAsia="Times New Roman" w:hAnsi="Times New Roman" w:cs="Times New Roman" w:hint="default"/>
        <w:b w:val="0"/>
        <w:color w:val="0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6136DC"/>
    <w:multiLevelType w:val="hybridMultilevel"/>
    <w:tmpl w:val="CF06D34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FC15AB"/>
    <w:multiLevelType w:val="hybridMultilevel"/>
    <w:tmpl w:val="3B800B38"/>
    <w:lvl w:ilvl="0" w:tplc="6106A6B6">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6C117D"/>
    <w:multiLevelType w:val="hybridMultilevel"/>
    <w:tmpl w:val="17C2EF0E"/>
    <w:lvl w:ilvl="0" w:tplc="ACEEDB36">
      <w:start w:val="1"/>
      <w:numFmt w:val="decimal"/>
      <w:lvlText w:val="%1."/>
      <w:lvlJc w:val="left"/>
      <w:pPr>
        <w:ind w:left="1496" w:hanging="360"/>
      </w:pPr>
      <w:rPr>
        <w:rFonts w:ascii="Times New Roman" w:eastAsiaTheme="minorHAnsi" w:hAnsi="Times New Roman" w:cs="Times New Roman"/>
        <w:b/>
        <w:bCs/>
      </w:rPr>
    </w:lvl>
    <w:lvl w:ilvl="1" w:tplc="040C0003" w:tentative="1">
      <w:start w:val="1"/>
      <w:numFmt w:val="bullet"/>
      <w:lvlText w:val="o"/>
      <w:lvlJc w:val="left"/>
      <w:pPr>
        <w:ind w:left="2216" w:hanging="360"/>
      </w:pPr>
      <w:rPr>
        <w:rFonts w:ascii="Courier New" w:hAnsi="Courier New" w:cs="Courier New" w:hint="default"/>
      </w:rPr>
    </w:lvl>
    <w:lvl w:ilvl="2" w:tplc="040C0005" w:tentative="1">
      <w:start w:val="1"/>
      <w:numFmt w:val="bullet"/>
      <w:lvlText w:val=""/>
      <w:lvlJc w:val="left"/>
      <w:pPr>
        <w:ind w:left="2936" w:hanging="360"/>
      </w:pPr>
      <w:rPr>
        <w:rFonts w:ascii="Wingdings" w:hAnsi="Wingdings" w:hint="default"/>
      </w:rPr>
    </w:lvl>
    <w:lvl w:ilvl="3" w:tplc="040C0001" w:tentative="1">
      <w:start w:val="1"/>
      <w:numFmt w:val="bullet"/>
      <w:lvlText w:val=""/>
      <w:lvlJc w:val="left"/>
      <w:pPr>
        <w:ind w:left="3656" w:hanging="360"/>
      </w:pPr>
      <w:rPr>
        <w:rFonts w:ascii="Symbol" w:hAnsi="Symbol" w:hint="default"/>
      </w:rPr>
    </w:lvl>
    <w:lvl w:ilvl="4" w:tplc="040C0003" w:tentative="1">
      <w:start w:val="1"/>
      <w:numFmt w:val="bullet"/>
      <w:lvlText w:val="o"/>
      <w:lvlJc w:val="left"/>
      <w:pPr>
        <w:ind w:left="4376" w:hanging="360"/>
      </w:pPr>
      <w:rPr>
        <w:rFonts w:ascii="Courier New" w:hAnsi="Courier New" w:cs="Courier New" w:hint="default"/>
      </w:rPr>
    </w:lvl>
    <w:lvl w:ilvl="5" w:tplc="040C0005" w:tentative="1">
      <w:start w:val="1"/>
      <w:numFmt w:val="bullet"/>
      <w:lvlText w:val=""/>
      <w:lvlJc w:val="left"/>
      <w:pPr>
        <w:ind w:left="5096" w:hanging="360"/>
      </w:pPr>
      <w:rPr>
        <w:rFonts w:ascii="Wingdings" w:hAnsi="Wingdings" w:hint="default"/>
      </w:rPr>
    </w:lvl>
    <w:lvl w:ilvl="6" w:tplc="040C0001" w:tentative="1">
      <w:start w:val="1"/>
      <w:numFmt w:val="bullet"/>
      <w:lvlText w:val=""/>
      <w:lvlJc w:val="left"/>
      <w:pPr>
        <w:ind w:left="5816" w:hanging="360"/>
      </w:pPr>
      <w:rPr>
        <w:rFonts w:ascii="Symbol" w:hAnsi="Symbol" w:hint="default"/>
      </w:rPr>
    </w:lvl>
    <w:lvl w:ilvl="7" w:tplc="040C0003" w:tentative="1">
      <w:start w:val="1"/>
      <w:numFmt w:val="bullet"/>
      <w:lvlText w:val="o"/>
      <w:lvlJc w:val="left"/>
      <w:pPr>
        <w:ind w:left="6536" w:hanging="360"/>
      </w:pPr>
      <w:rPr>
        <w:rFonts w:ascii="Courier New" w:hAnsi="Courier New" w:cs="Courier New" w:hint="default"/>
      </w:rPr>
    </w:lvl>
    <w:lvl w:ilvl="8" w:tplc="040C0005" w:tentative="1">
      <w:start w:val="1"/>
      <w:numFmt w:val="bullet"/>
      <w:lvlText w:val=""/>
      <w:lvlJc w:val="left"/>
      <w:pPr>
        <w:ind w:left="7256" w:hanging="360"/>
      </w:pPr>
      <w:rPr>
        <w:rFonts w:ascii="Wingdings" w:hAnsi="Wingdings" w:hint="default"/>
      </w:rPr>
    </w:lvl>
  </w:abstractNum>
  <w:abstractNum w:abstractNumId="4">
    <w:nsid w:val="36453441"/>
    <w:multiLevelType w:val="multilevel"/>
    <w:tmpl w:val="CA2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EA1BBF"/>
    <w:multiLevelType w:val="hybridMultilevel"/>
    <w:tmpl w:val="6E18FF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E5754E"/>
    <w:multiLevelType w:val="multilevel"/>
    <w:tmpl w:val="E7BE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037F02"/>
    <w:multiLevelType w:val="hybridMultilevel"/>
    <w:tmpl w:val="D8BE683E"/>
    <w:lvl w:ilvl="0" w:tplc="8408BB72">
      <w:start w:val="1"/>
      <w:numFmt w:val="decimal"/>
      <w:lvlText w:val="%1."/>
      <w:lvlJc w:val="left"/>
      <w:pPr>
        <w:ind w:left="1440" w:hanging="360"/>
      </w:pPr>
      <w:rPr>
        <w:rFonts w:ascii="Times New Roman" w:eastAsiaTheme="minorHAnsi" w:hAnsi="Times New Roman" w:cs="Times New Roman"/>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1AE72B5"/>
    <w:multiLevelType w:val="hybridMultilevel"/>
    <w:tmpl w:val="04F6CC68"/>
    <w:lvl w:ilvl="0" w:tplc="6CB613AC">
      <w:start w:val="1"/>
      <w:numFmt w:val="upperRoman"/>
      <w:lvlText w:val="%1."/>
      <w:lvlJc w:val="left"/>
      <w:pPr>
        <w:ind w:left="1080" w:hanging="72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7"/>
  </w:num>
  <w:num w:numId="5">
    <w:abstractNumId w:val="2"/>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06"/>
    <w:rsid w:val="00003D08"/>
    <w:rsid w:val="00013394"/>
    <w:rsid w:val="000213BE"/>
    <w:rsid w:val="0002573D"/>
    <w:rsid w:val="00026EF8"/>
    <w:rsid w:val="00031E25"/>
    <w:rsid w:val="0004576D"/>
    <w:rsid w:val="00045974"/>
    <w:rsid w:val="00055CBB"/>
    <w:rsid w:val="000617B6"/>
    <w:rsid w:val="00077304"/>
    <w:rsid w:val="000B1DAF"/>
    <w:rsid w:val="000E206E"/>
    <w:rsid w:val="000F4EAF"/>
    <w:rsid w:val="00105DC4"/>
    <w:rsid w:val="00106ACE"/>
    <w:rsid w:val="00121039"/>
    <w:rsid w:val="001216EB"/>
    <w:rsid w:val="00132FF6"/>
    <w:rsid w:val="00147C5F"/>
    <w:rsid w:val="00167C90"/>
    <w:rsid w:val="0018043D"/>
    <w:rsid w:val="00185DF5"/>
    <w:rsid w:val="001A40F6"/>
    <w:rsid w:val="001C06CE"/>
    <w:rsid w:val="001D0234"/>
    <w:rsid w:val="001D3FE9"/>
    <w:rsid w:val="0020352C"/>
    <w:rsid w:val="00243358"/>
    <w:rsid w:val="00244727"/>
    <w:rsid w:val="002672FB"/>
    <w:rsid w:val="002848B8"/>
    <w:rsid w:val="002F2324"/>
    <w:rsid w:val="002F6706"/>
    <w:rsid w:val="00326770"/>
    <w:rsid w:val="00340D65"/>
    <w:rsid w:val="003561BB"/>
    <w:rsid w:val="003579B1"/>
    <w:rsid w:val="00372824"/>
    <w:rsid w:val="00372FDD"/>
    <w:rsid w:val="0038105A"/>
    <w:rsid w:val="003E66AF"/>
    <w:rsid w:val="003F30FF"/>
    <w:rsid w:val="003F36D7"/>
    <w:rsid w:val="003F6846"/>
    <w:rsid w:val="0040592B"/>
    <w:rsid w:val="004068C2"/>
    <w:rsid w:val="00417996"/>
    <w:rsid w:val="00423C8F"/>
    <w:rsid w:val="00431F4F"/>
    <w:rsid w:val="00434EF5"/>
    <w:rsid w:val="00445A94"/>
    <w:rsid w:val="00454A32"/>
    <w:rsid w:val="00456541"/>
    <w:rsid w:val="00460E7B"/>
    <w:rsid w:val="00463FF9"/>
    <w:rsid w:val="00466A7F"/>
    <w:rsid w:val="0048517F"/>
    <w:rsid w:val="004D243C"/>
    <w:rsid w:val="004D28C8"/>
    <w:rsid w:val="004D5C2F"/>
    <w:rsid w:val="004E39F9"/>
    <w:rsid w:val="005000CB"/>
    <w:rsid w:val="00517509"/>
    <w:rsid w:val="00553C98"/>
    <w:rsid w:val="00567018"/>
    <w:rsid w:val="0058196B"/>
    <w:rsid w:val="00587BD9"/>
    <w:rsid w:val="005965E5"/>
    <w:rsid w:val="005A1ABB"/>
    <w:rsid w:val="005A373D"/>
    <w:rsid w:val="005B6261"/>
    <w:rsid w:val="005B6908"/>
    <w:rsid w:val="005B71B2"/>
    <w:rsid w:val="005C1D76"/>
    <w:rsid w:val="005C3EAB"/>
    <w:rsid w:val="005F3024"/>
    <w:rsid w:val="005F5584"/>
    <w:rsid w:val="006056BD"/>
    <w:rsid w:val="00622EDA"/>
    <w:rsid w:val="00624B6B"/>
    <w:rsid w:val="00640E0F"/>
    <w:rsid w:val="0066107D"/>
    <w:rsid w:val="00676154"/>
    <w:rsid w:val="00680F7E"/>
    <w:rsid w:val="00690D6B"/>
    <w:rsid w:val="00694B49"/>
    <w:rsid w:val="006A2555"/>
    <w:rsid w:val="006D7EFB"/>
    <w:rsid w:val="00710A98"/>
    <w:rsid w:val="00715F63"/>
    <w:rsid w:val="007312C1"/>
    <w:rsid w:val="007323FC"/>
    <w:rsid w:val="00732F21"/>
    <w:rsid w:val="00774D74"/>
    <w:rsid w:val="00784AE4"/>
    <w:rsid w:val="00790A60"/>
    <w:rsid w:val="00791357"/>
    <w:rsid w:val="00796324"/>
    <w:rsid w:val="007A1B5D"/>
    <w:rsid w:val="007A3148"/>
    <w:rsid w:val="00820B9D"/>
    <w:rsid w:val="0083349B"/>
    <w:rsid w:val="0083514E"/>
    <w:rsid w:val="0084020B"/>
    <w:rsid w:val="00872342"/>
    <w:rsid w:val="008A6624"/>
    <w:rsid w:val="008B1ECB"/>
    <w:rsid w:val="008B57BF"/>
    <w:rsid w:val="0090679A"/>
    <w:rsid w:val="00913F3D"/>
    <w:rsid w:val="00935011"/>
    <w:rsid w:val="009538D0"/>
    <w:rsid w:val="0095632F"/>
    <w:rsid w:val="0097214A"/>
    <w:rsid w:val="009829EF"/>
    <w:rsid w:val="009A386F"/>
    <w:rsid w:val="009A5CD8"/>
    <w:rsid w:val="009B4D70"/>
    <w:rsid w:val="009B5ED7"/>
    <w:rsid w:val="009C6ED4"/>
    <w:rsid w:val="009D6132"/>
    <w:rsid w:val="00A04E3A"/>
    <w:rsid w:val="00A07B04"/>
    <w:rsid w:val="00A105CB"/>
    <w:rsid w:val="00A22126"/>
    <w:rsid w:val="00A46415"/>
    <w:rsid w:val="00A720EC"/>
    <w:rsid w:val="00A9738B"/>
    <w:rsid w:val="00AA0635"/>
    <w:rsid w:val="00AD43AD"/>
    <w:rsid w:val="00AD7D00"/>
    <w:rsid w:val="00AF3F1B"/>
    <w:rsid w:val="00B02BE0"/>
    <w:rsid w:val="00B0678B"/>
    <w:rsid w:val="00B532D2"/>
    <w:rsid w:val="00B544C5"/>
    <w:rsid w:val="00B842D7"/>
    <w:rsid w:val="00B8440F"/>
    <w:rsid w:val="00B909CA"/>
    <w:rsid w:val="00BA0A2D"/>
    <w:rsid w:val="00BA4DCC"/>
    <w:rsid w:val="00BB41C0"/>
    <w:rsid w:val="00BB49CE"/>
    <w:rsid w:val="00BB5476"/>
    <w:rsid w:val="00BC09A6"/>
    <w:rsid w:val="00BE05E7"/>
    <w:rsid w:val="00BE5027"/>
    <w:rsid w:val="00BF0EE1"/>
    <w:rsid w:val="00C017AE"/>
    <w:rsid w:val="00C40465"/>
    <w:rsid w:val="00C86372"/>
    <w:rsid w:val="00CA12AE"/>
    <w:rsid w:val="00CA3C3F"/>
    <w:rsid w:val="00CE0A14"/>
    <w:rsid w:val="00CF5EB6"/>
    <w:rsid w:val="00D00286"/>
    <w:rsid w:val="00D15178"/>
    <w:rsid w:val="00D44CA5"/>
    <w:rsid w:val="00D517E9"/>
    <w:rsid w:val="00D73220"/>
    <w:rsid w:val="00D8651D"/>
    <w:rsid w:val="00D94301"/>
    <w:rsid w:val="00D9596F"/>
    <w:rsid w:val="00DC5041"/>
    <w:rsid w:val="00E10157"/>
    <w:rsid w:val="00E311F0"/>
    <w:rsid w:val="00E50C06"/>
    <w:rsid w:val="00E72198"/>
    <w:rsid w:val="00E748AE"/>
    <w:rsid w:val="00E762B9"/>
    <w:rsid w:val="00E850D2"/>
    <w:rsid w:val="00EB2644"/>
    <w:rsid w:val="00EB414E"/>
    <w:rsid w:val="00EB6C79"/>
    <w:rsid w:val="00EC4312"/>
    <w:rsid w:val="00EC4E57"/>
    <w:rsid w:val="00EC524D"/>
    <w:rsid w:val="00ED2438"/>
    <w:rsid w:val="00ED5304"/>
    <w:rsid w:val="00F0096E"/>
    <w:rsid w:val="00F147B7"/>
    <w:rsid w:val="00F36A5A"/>
    <w:rsid w:val="00F66939"/>
    <w:rsid w:val="00F833A0"/>
    <w:rsid w:val="00F93470"/>
    <w:rsid w:val="00FB2569"/>
    <w:rsid w:val="00FD217D"/>
    <w:rsid w:val="00FF1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06"/>
    <w:pPr>
      <w:spacing w:after="200" w:line="276" w:lineRule="auto"/>
    </w:pPr>
    <w:rPr>
      <w:rFonts w:eastAsiaTheme="minorEastAsia"/>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apis Bulleted List,Medium Grid 1 - Accent 21,Paragraphe de liste 1,RM1,Paragraphe,Paragraphe  revu,List Paragraph nowy,Numbered paragraph,Dot pt,Liste Article,r2,Table bullet,Bullet List"/>
    <w:basedOn w:val="Normal"/>
    <w:link w:val="ParagraphedelisteCar"/>
    <w:uiPriority w:val="34"/>
    <w:qFormat/>
    <w:rsid w:val="00E50C06"/>
    <w:pPr>
      <w:ind w:left="720"/>
      <w:contextualSpacing/>
    </w:pPr>
  </w:style>
  <w:style w:type="paragraph" w:styleId="En-tte">
    <w:name w:val="header"/>
    <w:basedOn w:val="Normal"/>
    <w:link w:val="En-tteCar"/>
    <w:uiPriority w:val="99"/>
    <w:unhideWhenUsed/>
    <w:rsid w:val="00E50C06"/>
    <w:pPr>
      <w:tabs>
        <w:tab w:val="center" w:pos="4536"/>
        <w:tab w:val="right" w:pos="9072"/>
      </w:tabs>
      <w:spacing w:after="0" w:line="240" w:lineRule="auto"/>
    </w:pPr>
  </w:style>
  <w:style w:type="character" w:customStyle="1" w:styleId="En-tteCar">
    <w:name w:val="En-tête Car"/>
    <w:basedOn w:val="Policepardfaut"/>
    <w:link w:val="En-tte"/>
    <w:uiPriority w:val="99"/>
    <w:rsid w:val="00E50C06"/>
    <w:rPr>
      <w:rFonts w:eastAsiaTheme="minorEastAsia"/>
      <w:kern w:val="0"/>
      <w:lang w:eastAsia="fr-FR"/>
      <w14:ligatures w14:val="none"/>
    </w:rPr>
  </w:style>
  <w:style w:type="paragraph" w:styleId="Pieddepage">
    <w:name w:val="footer"/>
    <w:basedOn w:val="Normal"/>
    <w:link w:val="PieddepageCar"/>
    <w:uiPriority w:val="99"/>
    <w:unhideWhenUsed/>
    <w:rsid w:val="00E50C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C06"/>
    <w:rPr>
      <w:rFonts w:eastAsiaTheme="minorEastAsia"/>
      <w:kern w:val="0"/>
      <w:lang w:eastAsia="fr-FR"/>
      <w14:ligatures w14:val="none"/>
    </w:rPr>
  </w:style>
  <w:style w:type="character" w:customStyle="1" w:styleId="ParagraphedelisteCar">
    <w:name w:val="Paragraphe de liste Car"/>
    <w:aliases w:val="List Paragraph (numbered (a)) Car,Lapis Bulleted List Car,Medium Grid 1 - Accent 21 Car,Paragraphe de liste 1 Car,RM1 Car,Paragraphe Car,Paragraphe  revu Car,List Paragraph nowy Car,Numbered paragraph Car,Dot pt Car,r2 Car"/>
    <w:link w:val="Paragraphedeliste"/>
    <w:uiPriority w:val="34"/>
    <w:qFormat/>
    <w:rsid w:val="00E50C06"/>
    <w:rPr>
      <w:rFonts w:eastAsiaTheme="minorEastAsia"/>
      <w:kern w:val="0"/>
      <w:lang w:eastAsia="fr-FR"/>
      <w14:ligatures w14:val="none"/>
    </w:rPr>
  </w:style>
  <w:style w:type="paragraph" w:customStyle="1" w:styleId="Corps">
    <w:name w:val="Corps"/>
    <w:rsid w:val="00E50C0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de-DE" w:eastAsia="fr-FR"/>
      <w14:ligatures w14:val="none"/>
    </w:rPr>
  </w:style>
  <w:style w:type="paragraph" w:styleId="Rvision">
    <w:name w:val="Revision"/>
    <w:hidden/>
    <w:uiPriority w:val="99"/>
    <w:semiHidden/>
    <w:rsid w:val="003F6846"/>
    <w:pPr>
      <w:spacing w:after="0" w:line="240" w:lineRule="auto"/>
    </w:pPr>
    <w:rPr>
      <w:rFonts w:eastAsiaTheme="minorEastAsia"/>
      <w:kern w:val="0"/>
      <w:lang w:eastAsia="fr-FR"/>
      <w14:ligatures w14:val="none"/>
    </w:rPr>
  </w:style>
  <w:style w:type="paragraph" w:styleId="Titre">
    <w:name w:val="Title"/>
    <w:basedOn w:val="Normal"/>
    <w:link w:val="TitreCar"/>
    <w:qFormat/>
    <w:rsid w:val="005F5584"/>
    <w:pPr>
      <w:spacing w:after="0" w:line="240" w:lineRule="auto"/>
      <w:jc w:val="center"/>
    </w:pPr>
    <w:rPr>
      <w:rFonts w:ascii="Times New Roman" w:eastAsia="Times New Roman" w:hAnsi="Times New Roman" w:cs="Times New Roman"/>
      <w:b/>
      <w:bCs/>
      <w:sz w:val="32"/>
      <w:szCs w:val="24"/>
      <w:u w:val="single"/>
      <w:lang w:val="x-none" w:eastAsia="x-none"/>
    </w:rPr>
  </w:style>
  <w:style w:type="character" w:customStyle="1" w:styleId="TitreCar">
    <w:name w:val="Titre Car"/>
    <w:basedOn w:val="Policepardfaut"/>
    <w:link w:val="Titre"/>
    <w:rsid w:val="005F5584"/>
    <w:rPr>
      <w:rFonts w:ascii="Times New Roman" w:eastAsia="Times New Roman" w:hAnsi="Times New Roman" w:cs="Times New Roman"/>
      <w:b/>
      <w:bCs/>
      <w:kern w:val="0"/>
      <w:sz w:val="32"/>
      <w:szCs w:val="24"/>
      <w:u w:val="single"/>
      <w:lang w:val="x-none" w:eastAsia="x-none"/>
      <w14:ligatures w14:val="none"/>
    </w:rPr>
  </w:style>
  <w:style w:type="character" w:styleId="Lienhypertexte">
    <w:name w:val="Hyperlink"/>
    <w:basedOn w:val="Policepardfaut"/>
    <w:uiPriority w:val="99"/>
    <w:unhideWhenUsed/>
    <w:rsid w:val="00B544C5"/>
    <w:rPr>
      <w:color w:val="0563C1" w:themeColor="hyperlink"/>
      <w:u w:val="single"/>
    </w:rPr>
  </w:style>
  <w:style w:type="paragraph" w:styleId="NormalWeb">
    <w:name w:val="Normal (Web)"/>
    <w:basedOn w:val="Normal"/>
    <w:uiPriority w:val="99"/>
    <w:semiHidden/>
    <w:unhideWhenUsed/>
    <w:rsid w:val="00CA12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0592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06"/>
    <w:pPr>
      <w:spacing w:after="200" w:line="276" w:lineRule="auto"/>
    </w:pPr>
    <w:rPr>
      <w:rFonts w:eastAsiaTheme="minorEastAsia"/>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apis Bulleted List,Medium Grid 1 - Accent 21,Paragraphe de liste 1,RM1,Paragraphe,Paragraphe  revu,List Paragraph nowy,Numbered paragraph,Dot pt,Liste Article,r2,Table bullet,Bullet List"/>
    <w:basedOn w:val="Normal"/>
    <w:link w:val="ParagraphedelisteCar"/>
    <w:uiPriority w:val="34"/>
    <w:qFormat/>
    <w:rsid w:val="00E50C06"/>
    <w:pPr>
      <w:ind w:left="720"/>
      <w:contextualSpacing/>
    </w:pPr>
  </w:style>
  <w:style w:type="paragraph" w:styleId="En-tte">
    <w:name w:val="header"/>
    <w:basedOn w:val="Normal"/>
    <w:link w:val="En-tteCar"/>
    <w:uiPriority w:val="99"/>
    <w:unhideWhenUsed/>
    <w:rsid w:val="00E50C06"/>
    <w:pPr>
      <w:tabs>
        <w:tab w:val="center" w:pos="4536"/>
        <w:tab w:val="right" w:pos="9072"/>
      </w:tabs>
      <w:spacing w:after="0" w:line="240" w:lineRule="auto"/>
    </w:pPr>
  </w:style>
  <w:style w:type="character" w:customStyle="1" w:styleId="En-tteCar">
    <w:name w:val="En-tête Car"/>
    <w:basedOn w:val="Policepardfaut"/>
    <w:link w:val="En-tte"/>
    <w:uiPriority w:val="99"/>
    <w:rsid w:val="00E50C06"/>
    <w:rPr>
      <w:rFonts w:eastAsiaTheme="minorEastAsia"/>
      <w:kern w:val="0"/>
      <w:lang w:eastAsia="fr-FR"/>
      <w14:ligatures w14:val="none"/>
    </w:rPr>
  </w:style>
  <w:style w:type="paragraph" w:styleId="Pieddepage">
    <w:name w:val="footer"/>
    <w:basedOn w:val="Normal"/>
    <w:link w:val="PieddepageCar"/>
    <w:uiPriority w:val="99"/>
    <w:unhideWhenUsed/>
    <w:rsid w:val="00E50C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C06"/>
    <w:rPr>
      <w:rFonts w:eastAsiaTheme="minorEastAsia"/>
      <w:kern w:val="0"/>
      <w:lang w:eastAsia="fr-FR"/>
      <w14:ligatures w14:val="none"/>
    </w:rPr>
  </w:style>
  <w:style w:type="character" w:customStyle="1" w:styleId="ParagraphedelisteCar">
    <w:name w:val="Paragraphe de liste Car"/>
    <w:aliases w:val="List Paragraph (numbered (a)) Car,Lapis Bulleted List Car,Medium Grid 1 - Accent 21 Car,Paragraphe de liste 1 Car,RM1 Car,Paragraphe Car,Paragraphe  revu Car,List Paragraph nowy Car,Numbered paragraph Car,Dot pt Car,r2 Car"/>
    <w:link w:val="Paragraphedeliste"/>
    <w:uiPriority w:val="34"/>
    <w:qFormat/>
    <w:rsid w:val="00E50C06"/>
    <w:rPr>
      <w:rFonts w:eastAsiaTheme="minorEastAsia"/>
      <w:kern w:val="0"/>
      <w:lang w:eastAsia="fr-FR"/>
      <w14:ligatures w14:val="none"/>
    </w:rPr>
  </w:style>
  <w:style w:type="paragraph" w:customStyle="1" w:styleId="Corps">
    <w:name w:val="Corps"/>
    <w:rsid w:val="00E50C0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de-DE" w:eastAsia="fr-FR"/>
      <w14:ligatures w14:val="none"/>
    </w:rPr>
  </w:style>
  <w:style w:type="paragraph" w:styleId="Rvision">
    <w:name w:val="Revision"/>
    <w:hidden/>
    <w:uiPriority w:val="99"/>
    <w:semiHidden/>
    <w:rsid w:val="003F6846"/>
    <w:pPr>
      <w:spacing w:after="0" w:line="240" w:lineRule="auto"/>
    </w:pPr>
    <w:rPr>
      <w:rFonts w:eastAsiaTheme="minorEastAsia"/>
      <w:kern w:val="0"/>
      <w:lang w:eastAsia="fr-FR"/>
      <w14:ligatures w14:val="none"/>
    </w:rPr>
  </w:style>
  <w:style w:type="paragraph" w:styleId="Titre">
    <w:name w:val="Title"/>
    <w:basedOn w:val="Normal"/>
    <w:link w:val="TitreCar"/>
    <w:qFormat/>
    <w:rsid w:val="005F5584"/>
    <w:pPr>
      <w:spacing w:after="0" w:line="240" w:lineRule="auto"/>
      <w:jc w:val="center"/>
    </w:pPr>
    <w:rPr>
      <w:rFonts w:ascii="Times New Roman" w:eastAsia="Times New Roman" w:hAnsi="Times New Roman" w:cs="Times New Roman"/>
      <w:b/>
      <w:bCs/>
      <w:sz w:val="32"/>
      <w:szCs w:val="24"/>
      <w:u w:val="single"/>
      <w:lang w:val="x-none" w:eastAsia="x-none"/>
    </w:rPr>
  </w:style>
  <w:style w:type="character" w:customStyle="1" w:styleId="TitreCar">
    <w:name w:val="Titre Car"/>
    <w:basedOn w:val="Policepardfaut"/>
    <w:link w:val="Titre"/>
    <w:rsid w:val="005F5584"/>
    <w:rPr>
      <w:rFonts w:ascii="Times New Roman" w:eastAsia="Times New Roman" w:hAnsi="Times New Roman" w:cs="Times New Roman"/>
      <w:b/>
      <w:bCs/>
      <w:kern w:val="0"/>
      <w:sz w:val="32"/>
      <w:szCs w:val="24"/>
      <w:u w:val="single"/>
      <w:lang w:val="x-none" w:eastAsia="x-none"/>
      <w14:ligatures w14:val="none"/>
    </w:rPr>
  </w:style>
  <w:style w:type="character" w:styleId="Lienhypertexte">
    <w:name w:val="Hyperlink"/>
    <w:basedOn w:val="Policepardfaut"/>
    <w:uiPriority w:val="99"/>
    <w:unhideWhenUsed/>
    <w:rsid w:val="00B544C5"/>
    <w:rPr>
      <w:color w:val="0563C1" w:themeColor="hyperlink"/>
      <w:u w:val="single"/>
    </w:rPr>
  </w:style>
  <w:style w:type="paragraph" w:styleId="NormalWeb">
    <w:name w:val="Normal (Web)"/>
    <w:basedOn w:val="Normal"/>
    <w:uiPriority w:val="99"/>
    <w:semiHidden/>
    <w:unhideWhenUsed/>
    <w:rsid w:val="00CA12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0592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38788">
      <w:bodyDiv w:val="1"/>
      <w:marLeft w:val="0"/>
      <w:marRight w:val="0"/>
      <w:marTop w:val="0"/>
      <w:marBottom w:val="0"/>
      <w:divBdr>
        <w:top w:val="none" w:sz="0" w:space="0" w:color="auto"/>
        <w:left w:val="none" w:sz="0" w:space="0" w:color="auto"/>
        <w:bottom w:val="none" w:sz="0" w:space="0" w:color="auto"/>
        <w:right w:val="none" w:sz="0" w:space="0" w:color="auto"/>
      </w:divBdr>
    </w:div>
    <w:div w:id="17242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Mali</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CD09ED6-57B7-45F1-A61C-17E87AB5EB4F}">
  <ds:schemaRefs>
    <ds:schemaRef ds:uri="http://schemas.openxmlformats.org/officeDocument/2006/bibliography"/>
  </ds:schemaRefs>
</ds:datastoreItem>
</file>

<file path=customXml/itemProps2.xml><?xml version="1.0" encoding="utf-8"?>
<ds:datastoreItem xmlns:ds="http://schemas.openxmlformats.org/officeDocument/2006/customXml" ds:itemID="{47BC2A9C-6E55-450E-AADD-0FE3AEFEED35}"/>
</file>

<file path=customXml/itemProps3.xml><?xml version="1.0" encoding="utf-8"?>
<ds:datastoreItem xmlns:ds="http://schemas.openxmlformats.org/officeDocument/2006/customXml" ds:itemID="{939A2DBC-DC4D-4E71-A0DE-36273AD5C5BB}"/>
</file>

<file path=customXml/itemProps4.xml><?xml version="1.0" encoding="utf-8"?>
<ds:datastoreItem xmlns:ds="http://schemas.openxmlformats.org/officeDocument/2006/customXml" ds:itemID="{3387351E-9269-491A-9614-A053ED6047C8}"/>
</file>

<file path=docProps/app.xml><?xml version="1.0" encoding="utf-8"?>
<Properties xmlns="http://schemas.openxmlformats.org/officeDocument/2006/extended-properties" xmlns:vt="http://schemas.openxmlformats.org/officeDocument/2006/docPropsVTypes">
  <Template>Normal</Template>
  <TotalTime>93</TotalTime>
  <Pages>5</Pages>
  <Words>1981</Words>
  <Characters>10896</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2024-03-20T13:01:00Z</cp:lastPrinted>
  <dcterms:created xsi:type="dcterms:W3CDTF">2024-03-20T13:00:00Z</dcterms:created>
  <dcterms:modified xsi:type="dcterms:W3CDTF">2024-03-20T14:33:00Z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