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49AA3" w14:textId="267FF340" w:rsidR="00915105" w:rsidRPr="00751E94" w:rsidRDefault="009A4DAE">
      <w:pPr>
        <w:rPr>
          <w:b/>
          <w:bCs/>
          <w:lang w:val="en-US"/>
        </w:rPr>
      </w:pPr>
      <w:r w:rsidRPr="00751E94">
        <w:rPr>
          <w:b/>
          <w:bCs/>
          <w:lang w:val="en-US"/>
        </w:rPr>
        <w:t>Part IV De Feyter Thursday AM</w:t>
      </w:r>
    </w:p>
    <w:p w14:paraId="59B72231" w14:textId="77777777" w:rsidR="00751E94" w:rsidRDefault="00751E94">
      <w:pPr>
        <w:rPr>
          <w:lang w:val="en-US"/>
        </w:rPr>
      </w:pPr>
    </w:p>
    <w:p w14:paraId="0B61F165" w14:textId="2593172E" w:rsidR="008A42D7" w:rsidRDefault="008A42D7">
      <w:pPr>
        <w:rPr>
          <w:lang w:val="en-US"/>
        </w:rPr>
      </w:pPr>
      <w:r>
        <w:rPr>
          <w:lang w:val="en-US"/>
        </w:rPr>
        <w:t xml:space="preserve">The text of Part IV – the institutional part of the convention </w:t>
      </w:r>
      <w:r w:rsidR="006601E6">
        <w:rPr>
          <w:lang w:val="en-US"/>
        </w:rPr>
        <w:t>- remains</w:t>
      </w:r>
      <w:r w:rsidR="009A2A4E">
        <w:rPr>
          <w:lang w:val="en-US"/>
        </w:rPr>
        <w:t xml:space="preserve"> close</w:t>
      </w:r>
      <w:r>
        <w:rPr>
          <w:lang w:val="en-US"/>
        </w:rPr>
        <w:t xml:space="preserve"> to the initial version of the draft Convention.  Some participants have suggested replacing the </w:t>
      </w:r>
      <w:r w:rsidR="00754FC9">
        <w:rPr>
          <w:lang w:val="en-US"/>
        </w:rPr>
        <w:t xml:space="preserve">whole of the </w:t>
      </w:r>
      <w:r>
        <w:rPr>
          <w:lang w:val="en-US"/>
        </w:rPr>
        <w:t>current proposal by a treaty monitoring body that</w:t>
      </w:r>
      <w:r w:rsidR="00210012">
        <w:rPr>
          <w:lang w:val="en-US"/>
        </w:rPr>
        <w:t xml:space="preserve"> </w:t>
      </w:r>
      <w:r>
        <w:rPr>
          <w:lang w:val="en-US"/>
        </w:rPr>
        <w:t>follow</w:t>
      </w:r>
      <w:r w:rsidR="00210012">
        <w:rPr>
          <w:lang w:val="en-US"/>
        </w:rPr>
        <w:t>s</w:t>
      </w:r>
      <w:r>
        <w:rPr>
          <w:lang w:val="en-US"/>
        </w:rPr>
        <w:t xml:space="preserve"> the model of existing human rights treaties</w:t>
      </w:r>
      <w:r w:rsidR="00523FAE">
        <w:rPr>
          <w:lang w:val="en-US"/>
        </w:rPr>
        <w:t xml:space="preserve">. Such a body </w:t>
      </w:r>
      <w:r>
        <w:rPr>
          <w:lang w:val="en-US"/>
        </w:rPr>
        <w:t>would review reports</w:t>
      </w:r>
      <w:r w:rsidR="00754FC9">
        <w:rPr>
          <w:lang w:val="en-US"/>
        </w:rPr>
        <w:t xml:space="preserve"> that States are </w:t>
      </w:r>
      <w:r w:rsidR="00523FAE">
        <w:rPr>
          <w:lang w:val="en-US"/>
        </w:rPr>
        <w:t>treaty bound</w:t>
      </w:r>
      <w:r w:rsidR="00754FC9">
        <w:rPr>
          <w:lang w:val="en-US"/>
        </w:rPr>
        <w:t xml:space="preserve"> to provide</w:t>
      </w:r>
      <w:r>
        <w:rPr>
          <w:lang w:val="en-US"/>
        </w:rPr>
        <w:t>,</w:t>
      </w:r>
      <w:r w:rsidR="00523FAE">
        <w:rPr>
          <w:lang w:val="en-US"/>
        </w:rPr>
        <w:t xml:space="preserve"> might be empowered to deal with inter-State complaints</w:t>
      </w:r>
      <w:r>
        <w:rPr>
          <w:lang w:val="en-US"/>
        </w:rPr>
        <w:t xml:space="preserve"> and perhaps at a later stage</w:t>
      </w:r>
      <w:r w:rsidR="00754FC9">
        <w:rPr>
          <w:lang w:val="en-US"/>
        </w:rPr>
        <w:t xml:space="preserve"> </w:t>
      </w:r>
      <w:r w:rsidR="00523FAE">
        <w:rPr>
          <w:lang w:val="en-US"/>
        </w:rPr>
        <w:t>with individual complaints.</w:t>
      </w:r>
    </w:p>
    <w:p w14:paraId="3E5B43E1" w14:textId="1D5A4F65" w:rsidR="00754FC9" w:rsidRDefault="00754FC9">
      <w:pPr>
        <w:rPr>
          <w:lang w:val="en-US"/>
        </w:rPr>
      </w:pPr>
      <w:r>
        <w:rPr>
          <w:lang w:val="en-US"/>
        </w:rPr>
        <w:t>As the Chairperson-Rapporteur</w:t>
      </w:r>
      <w:r w:rsidR="00523FAE">
        <w:rPr>
          <w:lang w:val="en-US"/>
        </w:rPr>
        <w:t xml:space="preserve"> of the Working Group</w:t>
      </w:r>
      <w:r>
        <w:rPr>
          <w:lang w:val="en-US"/>
        </w:rPr>
        <w:t xml:space="preserve"> has clarified on numerous occasions, the normative part of the Convention is to a very large extent based on existing international law, including international human rights law.  The proposal on the institutional part of the text, however, is to some extent novel, and inspired by some of the specific features of the right to development.  It may therefore be useful to revisit the rationale of the current proposal.</w:t>
      </w:r>
    </w:p>
    <w:p w14:paraId="487D7BA1" w14:textId="19878419" w:rsidR="00210012" w:rsidRPr="00210012" w:rsidRDefault="00210012" w:rsidP="00210012">
      <w:pPr>
        <w:rPr>
          <w:rFonts w:cstheme="minorHAnsi"/>
          <w:lang w:val="en-GB"/>
        </w:rPr>
      </w:pPr>
      <w:r w:rsidRPr="00210012">
        <w:rPr>
          <w:rFonts w:cstheme="minorHAnsi"/>
          <w:lang w:val="en-GB"/>
        </w:rPr>
        <w:t>T</w:t>
      </w:r>
      <w:r w:rsidRPr="00210012">
        <w:rPr>
          <w:rFonts w:cstheme="minorHAnsi"/>
          <w:lang w:val="en-GB"/>
        </w:rPr>
        <w:t xml:space="preserve">he OHCHR questionnaire sent out </w:t>
      </w:r>
      <w:r>
        <w:rPr>
          <w:rFonts w:cstheme="minorHAnsi"/>
          <w:lang w:val="en-GB"/>
        </w:rPr>
        <w:t>at</w:t>
      </w:r>
      <w:r w:rsidRPr="00210012">
        <w:rPr>
          <w:rFonts w:cstheme="minorHAnsi"/>
          <w:lang w:val="en-GB"/>
        </w:rPr>
        <w:t xml:space="preserve"> the </w:t>
      </w:r>
      <w:r w:rsidR="00523FAE">
        <w:rPr>
          <w:rFonts w:cstheme="minorHAnsi"/>
          <w:lang w:val="en-GB"/>
        </w:rPr>
        <w:t>very beginning</w:t>
      </w:r>
      <w:r w:rsidRPr="00210012">
        <w:rPr>
          <w:rFonts w:cstheme="minorHAnsi"/>
          <w:lang w:val="en-GB"/>
        </w:rPr>
        <w:t xml:space="preserve"> of the drafting process queried States and other stakeholders on the preferred format of the legally binding instrument: should it take the form of a standard treaty or of a framework agreement? Few participants expressed a strong preference, and it was suggested that the decision on the format could be taken during the drafting process.</w:t>
      </w:r>
    </w:p>
    <w:p w14:paraId="541E2AEB" w14:textId="57DE5247" w:rsidR="00210012" w:rsidRDefault="00210012" w:rsidP="00210012">
      <w:pPr>
        <w:rPr>
          <w:rFonts w:cstheme="minorHAnsi"/>
          <w:lang w:val="en-GB"/>
        </w:rPr>
      </w:pPr>
      <w:r w:rsidRPr="00210012">
        <w:rPr>
          <w:rFonts w:cstheme="minorHAnsi"/>
          <w:lang w:val="en-GB"/>
        </w:rPr>
        <w:t xml:space="preserve">The current draft convention has a hybrid format. The normative part of the draft is specific and contains a detailed typology of State obligations inspired by standard human rights treaties as interpreted by the treaty monitoring bodies. The proposed institutions however resemble the institutional set-up found in existing framework </w:t>
      </w:r>
      <w:r w:rsidR="00482614">
        <w:rPr>
          <w:rFonts w:cstheme="minorHAnsi"/>
          <w:lang w:val="en-GB"/>
        </w:rPr>
        <w:t>conventions</w:t>
      </w:r>
      <w:r w:rsidRPr="00210012">
        <w:rPr>
          <w:rFonts w:cstheme="minorHAnsi"/>
          <w:lang w:val="en-GB"/>
        </w:rPr>
        <w:t>.</w:t>
      </w:r>
      <w:r>
        <w:rPr>
          <w:rFonts w:cstheme="minorHAnsi"/>
          <w:lang w:val="en-GB"/>
        </w:rPr>
        <w:t xml:space="preserve">  Perhaps the </w:t>
      </w:r>
      <w:r w:rsidR="006601E6">
        <w:rPr>
          <w:rFonts w:cstheme="minorHAnsi"/>
          <w:lang w:val="en-GB"/>
        </w:rPr>
        <w:t>best-known</w:t>
      </w:r>
      <w:r>
        <w:rPr>
          <w:rFonts w:cstheme="minorHAnsi"/>
          <w:lang w:val="en-GB"/>
        </w:rPr>
        <w:t xml:space="preserve"> example of a framework agreement is the Framework Convention on Climate Change which preceded the Paris Agreement.</w:t>
      </w:r>
      <w:r w:rsidRPr="00210012">
        <w:rPr>
          <w:rFonts w:cstheme="minorHAnsi"/>
          <w:lang w:val="en-GB"/>
        </w:rPr>
        <w:t xml:space="preserve">  Framework conventions</w:t>
      </w:r>
      <w:r w:rsidR="00482614">
        <w:rPr>
          <w:rFonts w:cstheme="minorHAnsi"/>
          <w:lang w:val="en-GB"/>
        </w:rPr>
        <w:t xml:space="preserve"> are legally binding instruments that</w:t>
      </w:r>
      <w:r w:rsidRPr="00210012">
        <w:rPr>
          <w:rFonts w:cstheme="minorHAnsi"/>
          <w:lang w:val="en-GB"/>
        </w:rPr>
        <w:t xml:space="preserve"> tend to be adopted when there is agreement that an issue is of importance (e.g., ‘of common concern to humanity’</w:t>
      </w:r>
      <w:r>
        <w:rPr>
          <w:rFonts w:cstheme="minorHAnsi"/>
          <w:lang w:val="en-GB"/>
        </w:rPr>
        <w:t xml:space="preserve"> – the proposed preamble of the draft Convention suggests that the right to development is of common concern to humanity</w:t>
      </w:r>
      <w:r w:rsidRPr="00210012">
        <w:rPr>
          <w:rFonts w:cstheme="minorHAnsi"/>
          <w:lang w:val="en-GB"/>
        </w:rPr>
        <w:t xml:space="preserve">) and needs to be addressed, but </w:t>
      </w:r>
      <w:r>
        <w:rPr>
          <w:rFonts w:cstheme="minorHAnsi"/>
          <w:lang w:val="en-GB"/>
        </w:rPr>
        <w:t xml:space="preserve">that further normative clarification is </w:t>
      </w:r>
      <w:r w:rsidR="006601E6">
        <w:rPr>
          <w:rFonts w:cstheme="minorHAnsi"/>
          <w:lang w:val="en-GB"/>
        </w:rPr>
        <w:t>required,</w:t>
      </w:r>
      <w:r>
        <w:rPr>
          <w:rFonts w:cstheme="minorHAnsi"/>
          <w:lang w:val="en-GB"/>
        </w:rPr>
        <w:t xml:space="preserve"> or political disagreement remains on how best to address the issue</w:t>
      </w:r>
      <w:r w:rsidRPr="00210012">
        <w:rPr>
          <w:rFonts w:cstheme="minorHAnsi"/>
          <w:lang w:val="en-GB"/>
        </w:rPr>
        <w:t>.</w:t>
      </w:r>
      <w:r w:rsidR="00482614">
        <w:rPr>
          <w:rFonts w:cstheme="minorHAnsi"/>
          <w:lang w:val="en-GB"/>
        </w:rPr>
        <w:t xml:space="preserve"> </w:t>
      </w:r>
      <w:r>
        <w:rPr>
          <w:rFonts w:cstheme="minorHAnsi"/>
          <w:lang w:val="en-GB"/>
        </w:rPr>
        <w:t>From an institutional perspective, typically a conference of the parties is created as a forum to</w:t>
      </w:r>
      <w:r w:rsidR="00482614">
        <w:rPr>
          <w:rFonts w:cstheme="minorHAnsi"/>
          <w:lang w:val="en-GB"/>
        </w:rPr>
        <w:t xml:space="preserve"> continue dialogue with a view to achieving</w:t>
      </w:r>
      <w:r>
        <w:rPr>
          <w:rFonts w:cstheme="minorHAnsi"/>
          <w:lang w:val="en-GB"/>
        </w:rPr>
        <w:t xml:space="preserve"> consensus</w:t>
      </w:r>
      <w:r w:rsidR="00482614">
        <w:rPr>
          <w:rFonts w:cstheme="minorHAnsi"/>
          <w:lang w:val="en-GB"/>
        </w:rPr>
        <w:t xml:space="preserve"> together with</w:t>
      </w:r>
      <w:r>
        <w:rPr>
          <w:rFonts w:cstheme="minorHAnsi"/>
          <w:lang w:val="en-GB"/>
        </w:rPr>
        <w:t xml:space="preserve"> a compliance committee that </w:t>
      </w:r>
      <w:r w:rsidR="005E5850">
        <w:rPr>
          <w:rFonts w:cstheme="minorHAnsi"/>
          <w:lang w:val="en-GB"/>
        </w:rPr>
        <w:t>focuses on assisting State Parties in achieving best practices.  Part IV of the draft convention follows that model.</w:t>
      </w:r>
    </w:p>
    <w:p w14:paraId="6A6726B1" w14:textId="097BEEB0" w:rsidR="00D648B0" w:rsidRDefault="005E5850" w:rsidP="005E5850">
      <w:pPr>
        <w:rPr>
          <w:rFonts w:cstheme="minorHAnsi"/>
          <w:lang w:val="en-GB"/>
        </w:rPr>
      </w:pPr>
      <w:r>
        <w:rPr>
          <w:rFonts w:cstheme="minorHAnsi"/>
          <w:lang w:val="en-GB"/>
        </w:rPr>
        <w:t xml:space="preserve">A conference of the parties is not unique in international human rights law.  The most recent ‘modern’ core human rights treaty, the Convention on the Rights of Persons with Disabilities already includes a conference of the parties.  Notably, in the most recent draft of the Business and Human Rights Treaty a conference of the parties is </w:t>
      </w:r>
      <w:r w:rsidR="0057791A">
        <w:rPr>
          <w:rFonts w:cstheme="minorHAnsi"/>
          <w:lang w:val="en-GB"/>
        </w:rPr>
        <w:t>provided for</w:t>
      </w:r>
      <w:r>
        <w:rPr>
          <w:rFonts w:cstheme="minorHAnsi"/>
          <w:lang w:val="en-GB"/>
        </w:rPr>
        <w:t xml:space="preserve"> as well.  </w:t>
      </w:r>
      <w:r w:rsidRPr="005E5850">
        <w:rPr>
          <w:rFonts w:cstheme="minorHAnsi"/>
          <w:lang w:val="en-GB"/>
        </w:rPr>
        <w:t>A conference of the parties could serve as the global forum for discussions on development and human rights.  Given that the realization of the right to development requires the cooperation of a wide variety of stakeholders, the conference would ideally be broadly accessible: to State parties (who alone would have voting rights), but also to States that are not a party to the Convention,</w:t>
      </w:r>
      <w:r>
        <w:rPr>
          <w:rFonts w:cstheme="minorHAnsi"/>
          <w:lang w:val="en-GB"/>
        </w:rPr>
        <w:t xml:space="preserve"> so that they remain involved in the dialogue of the right to development.  In addition, the Conference of the parties should be easily accessible </w:t>
      </w:r>
      <w:r w:rsidRPr="005E5850">
        <w:rPr>
          <w:rFonts w:cstheme="minorHAnsi"/>
          <w:lang w:val="en-GB"/>
        </w:rPr>
        <w:t>to non-State actors</w:t>
      </w:r>
      <w:r w:rsidR="00693BA7">
        <w:rPr>
          <w:rFonts w:cstheme="minorHAnsi"/>
          <w:lang w:val="en-GB"/>
        </w:rPr>
        <w:t xml:space="preserve">, </w:t>
      </w:r>
      <w:r>
        <w:rPr>
          <w:rFonts w:cstheme="minorHAnsi"/>
          <w:lang w:val="en-GB"/>
        </w:rPr>
        <w:t>given their significant impact on the realization of the right to development</w:t>
      </w:r>
      <w:r w:rsidR="00D648B0">
        <w:rPr>
          <w:rFonts w:cstheme="minorHAnsi"/>
          <w:lang w:val="en-GB"/>
        </w:rPr>
        <w:t xml:space="preserve">, </w:t>
      </w:r>
      <w:r w:rsidR="0057791A">
        <w:rPr>
          <w:rFonts w:cstheme="minorHAnsi"/>
          <w:lang w:val="en-GB"/>
        </w:rPr>
        <w:t xml:space="preserve">- non-State actors being </w:t>
      </w:r>
      <w:r w:rsidR="00D648B0">
        <w:rPr>
          <w:rFonts w:cstheme="minorHAnsi"/>
          <w:lang w:val="en-GB"/>
        </w:rPr>
        <w:t xml:space="preserve">broadly defined as including intergovernmental organisations, civil society </w:t>
      </w:r>
      <w:r w:rsidRPr="005E5850">
        <w:rPr>
          <w:rFonts w:cstheme="minorHAnsi"/>
          <w:lang w:val="en-GB"/>
        </w:rPr>
        <w:t>the epistemic community</w:t>
      </w:r>
      <w:r w:rsidR="00693BA7">
        <w:rPr>
          <w:rFonts w:cstheme="minorHAnsi"/>
          <w:lang w:val="en-GB"/>
        </w:rPr>
        <w:t xml:space="preserve"> – not unlike the Intergovernmental Working Group today.</w:t>
      </w:r>
    </w:p>
    <w:p w14:paraId="281054D0" w14:textId="3DA2C985" w:rsidR="005E5850" w:rsidRDefault="005E5850" w:rsidP="005E5850">
      <w:pPr>
        <w:rPr>
          <w:rFonts w:cstheme="minorHAnsi"/>
          <w:lang w:val="en-GB"/>
        </w:rPr>
      </w:pPr>
      <w:r w:rsidRPr="005E5850">
        <w:rPr>
          <w:rFonts w:cstheme="minorHAnsi"/>
          <w:lang w:val="en-GB"/>
        </w:rPr>
        <w:t>Apart from acting as a forum for debate, the conference</w:t>
      </w:r>
      <w:r w:rsidR="00693BA7">
        <w:rPr>
          <w:rFonts w:cstheme="minorHAnsi"/>
          <w:lang w:val="en-GB"/>
        </w:rPr>
        <w:t xml:space="preserve"> of the parties</w:t>
      </w:r>
      <w:r w:rsidRPr="005E5850">
        <w:rPr>
          <w:rFonts w:cstheme="minorHAnsi"/>
          <w:lang w:val="en-GB"/>
        </w:rPr>
        <w:t xml:space="preserve"> could </w:t>
      </w:r>
      <w:r w:rsidR="00D648B0">
        <w:rPr>
          <w:rFonts w:cstheme="minorHAnsi"/>
          <w:lang w:val="en-GB"/>
        </w:rPr>
        <w:t>examine</w:t>
      </w:r>
      <w:r w:rsidRPr="005E5850">
        <w:rPr>
          <w:rFonts w:cstheme="minorHAnsi"/>
          <w:lang w:val="en-GB"/>
        </w:rPr>
        <w:t xml:space="preserve"> implementation</w:t>
      </w:r>
      <w:r>
        <w:rPr>
          <w:rFonts w:cstheme="minorHAnsi"/>
          <w:lang w:val="en-GB"/>
        </w:rPr>
        <w:t xml:space="preserve"> by States (the draft suggests that States could provide reports on a voluntary </w:t>
      </w:r>
      <w:r w:rsidR="006601E6">
        <w:rPr>
          <w:rFonts w:cstheme="minorHAnsi"/>
          <w:lang w:val="en-GB"/>
        </w:rPr>
        <w:t xml:space="preserve">basis) </w:t>
      </w:r>
      <w:r w:rsidR="006601E6" w:rsidRPr="005E5850">
        <w:rPr>
          <w:rFonts w:cstheme="minorHAnsi"/>
          <w:lang w:val="en-GB"/>
        </w:rPr>
        <w:t>and</w:t>
      </w:r>
      <w:r w:rsidRPr="005E5850">
        <w:rPr>
          <w:rFonts w:cstheme="minorHAnsi"/>
          <w:lang w:val="en-GB"/>
        </w:rPr>
        <w:t xml:space="preserve"> engage in law-making</w:t>
      </w:r>
      <w:r>
        <w:rPr>
          <w:rFonts w:cstheme="minorHAnsi"/>
          <w:lang w:val="en-GB"/>
        </w:rPr>
        <w:t xml:space="preserve"> on issues pertaining to the right to development on which </w:t>
      </w:r>
      <w:r w:rsidR="00D648B0">
        <w:rPr>
          <w:rFonts w:cstheme="minorHAnsi"/>
          <w:lang w:val="en-GB"/>
        </w:rPr>
        <w:t xml:space="preserve">consensus is </w:t>
      </w:r>
      <w:r w:rsidR="00D648B0">
        <w:rPr>
          <w:rFonts w:cstheme="minorHAnsi"/>
          <w:lang w:val="en-GB"/>
        </w:rPr>
        <w:lastRenderedPageBreak/>
        <w:t>gradually achieved</w:t>
      </w:r>
      <w:r>
        <w:rPr>
          <w:rFonts w:cstheme="minorHAnsi"/>
          <w:lang w:val="en-GB"/>
        </w:rPr>
        <w:t xml:space="preserve">.  Such additional </w:t>
      </w:r>
      <w:r w:rsidR="00D648B0">
        <w:rPr>
          <w:rFonts w:cstheme="minorHAnsi"/>
          <w:lang w:val="en-GB"/>
        </w:rPr>
        <w:t>‘laws</w:t>
      </w:r>
      <w:r w:rsidR="006601E6">
        <w:rPr>
          <w:rFonts w:cstheme="minorHAnsi"/>
          <w:lang w:val="en-GB"/>
        </w:rPr>
        <w:t>’,</w:t>
      </w:r>
      <w:r w:rsidR="00D648B0">
        <w:rPr>
          <w:rFonts w:cstheme="minorHAnsi"/>
          <w:lang w:val="en-GB"/>
        </w:rPr>
        <w:t xml:space="preserve"> actually </w:t>
      </w:r>
      <w:r w:rsidR="006601E6">
        <w:rPr>
          <w:rFonts w:cstheme="minorHAnsi"/>
          <w:lang w:val="en-GB"/>
        </w:rPr>
        <w:t>instruments, could</w:t>
      </w:r>
      <w:r>
        <w:rPr>
          <w:rFonts w:cstheme="minorHAnsi"/>
          <w:lang w:val="en-GB"/>
        </w:rPr>
        <w:t xml:space="preserve"> take the </w:t>
      </w:r>
      <w:r w:rsidR="006601E6">
        <w:rPr>
          <w:rFonts w:cstheme="minorHAnsi"/>
          <w:lang w:val="en-GB"/>
        </w:rPr>
        <w:t xml:space="preserve">form </w:t>
      </w:r>
      <w:r w:rsidR="006601E6" w:rsidRPr="005E5850">
        <w:rPr>
          <w:rFonts w:cstheme="minorHAnsi"/>
          <w:lang w:val="en-GB"/>
        </w:rPr>
        <w:t>of</w:t>
      </w:r>
      <w:r w:rsidRPr="005E5850">
        <w:rPr>
          <w:rFonts w:cstheme="minorHAnsi"/>
          <w:lang w:val="en-GB"/>
        </w:rPr>
        <w:t xml:space="preserve"> protocols</w:t>
      </w:r>
      <w:r w:rsidR="00693BA7">
        <w:rPr>
          <w:rFonts w:cstheme="minorHAnsi"/>
          <w:lang w:val="en-GB"/>
        </w:rPr>
        <w:t xml:space="preserve"> (as envisaged in Article 26)</w:t>
      </w:r>
      <w:r w:rsidRPr="005E5850">
        <w:rPr>
          <w:rFonts w:cstheme="minorHAnsi"/>
          <w:lang w:val="en-GB"/>
        </w:rPr>
        <w:t xml:space="preserve"> or </w:t>
      </w:r>
      <w:r w:rsidR="00D648B0">
        <w:rPr>
          <w:rFonts w:cstheme="minorHAnsi"/>
          <w:lang w:val="en-GB"/>
        </w:rPr>
        <w:t xml:space="preserve">soft law </w:t>
      </w:r>
      <w:r w:rsidRPr="005E5850">
        <w:rPr>
          <w:rFonts w:cstheme="minorHAnsi"/>
          <w:lang w:val="en-GB"/>
        </w:rPr>
        <w:t>guidelines.</w:t>
      </w:r>
    </w:p>
    <w:p w14:paraId="48202623" w14:textId="77777777" w:rsidR="009A2A4E" w:rsidRDefault="00D648B0" w:rsidP="005E5850">
      <w:pPr>
        <w:rPr>
          <w:rFonts w:cstheme="minorHAnsi"/>
          <w:lang w:val="en-GB"/>
        </w:rPr>
      </w:pPr>
      <w:r>
        <w:rPr>
          <w:rFonts w:cstheme="minorHAnsi"/>
          <w:lang w:val="en-GB"/>
        </w:rPr>
        <w:t xml:space="preserve">It is proposed that the conference of the parties </w:t>
      </w:r>
      <w:r w:rsidR="00693BA7">
        <w:rPr>
          <w:rFonts w:cstheme="minorHAnsi"/>
          <w:lang w:val="en-GB"/>
        </w:rPr>
        <w:t>is</w:t>
      </w:r>
      <w:r>
        <w:rPr>
          <w:rFonts w:cstheme="minorHAnsi"/>
          <w:lang w:val="en-GB"/>
        </w:rPr>
        <w:t xml:space="preserve"> complemented </w:t>
      </w:r>
      <w:r w:rsidR="00693BA7">
        <w:rPr>
          <w:rFonts w:cstheme="minorHAnsi"/>
          <w:lang w:val="en-GB"/>
        </w:rPr>
        <w:t xml:space="preserve">by a compliance committee – that is called ‘Implementation Mechanism’ in the draft Convention (Article 27).  </w:t>
      </w:r>
    </w:p>
    <w:p w14:paraId="1420234B" w14:textId="6CA591FF" w:rsidR="00D648B0" w:rsidRDefault="00693BA7" w:rsidP="005E5850">
      <w:pPr>
        <w:rPr>
          <w:rFonts w:cstheme="minorHAnsi"/>
          <w:lang w:val="en-GB"/>
        </w:rPr>
      </w:pPr>
      <w:r>
        <w:rPr>
          <w:rFonts w:cstheme="minorHAnsi"/>
          <w:lang w:val="en-GB"/>
        </w:rPr>
        <w:t xml:space="preserve">The Conference of the Parties is tasked with </w:t>
      </w:r>
      <w:r w:rsidR="009A2A4E">
        <w:rPr>
          <w:rFonts w:cstheme="minorHAnsi"/>
          <w:lang w:val="en-GB"/>
        </w:rPr>
        <w:t>establishing</w:t>
      </w:r>
      <w:r w:rsidR="00D26FCB">
        <w:rPr>
          <w:rFonts w:cstheme="minorHAnsi"/>
          <w:lang w:val="en-GB"/>
        </w:rPr>
        <w:t xml:space="preserve"> at its first session</w:t>
      </w:r>
      <w:r>
        <w:rPr>
          <w:rFonts w:cstheme="minorHAnsi"/>
          <w:lang w:val="en-GB"/>
        </w:rPr>
        <w:t xml:space="preserve"> the implementation mechanism</w:t>
      </w:r>
      <w:r w:rsidR="00D26FCB">
        <w:rPr>
          <w:rFonts w:cstheme="minorHAnsi"/>
          <w:lang w:val="en-GB"/>
        </w:rPr>
        <w:t xml:space="preserve"> including deciding on the number of members (the initial Commentary suggested five members as in the current Expert Mechanism on the Right to Development), the procedural rules and the details of the mandate.  S</w:t>
      </w:r>
      <w:r w:rsidR="009A2A4E">
        <w:rPr>
          <w:rFonts w:cstheme="minorHAnsi"/>
          <w:lang w:val="en-GB"/>
        </w:rPr>
        <w:t xml:space="preserve">ome of the </w:t>
      </w:r>
      <w:r w:rsidR="006601E6">
        <w:rPr>
          <w:rFonts w:cstheme="minorHAnsi"/>
          <w:lang w:val="en-GB"/>
        </w:rPr>
        <w:t>basic features</w:t>
      </w:r>
      <w:r w:rsidR="009A2A4E">
        <w:rPr>
          <w:rFonts w:cstheme="minorHAnsi"/>
          <w:lang w:val="en-GB"/>
        </w:rPr>
        <w:t xml:space="preserve"> of the future mechanism are</w:t>
      </w:r>
      <w:r w:rsidR="00D26FCB">
        <w:rPr>
          <w:rFonts w:cstheme="minorHAnsi"/>
          <w:lang w:val="en-GB"/>
        </w:rPr>
        <w:t xml:space="preserve"> nevertheless</w:t>
      </w:r>
      <w:r w:rsidR="009A2A4E">
        <w:rPr>
          <w:rFonts w:cstheme="minorHAnsi"/>
          <w:lang w:val="en-GB"/>
        </w:rPr>
        <w:t xml:space="preserve"> included in the draft Convention.  </w:t>
      </w:r>
    </w:p>
    <w:p w14:paraId="77160EC0" w14:textId="18FDCEC7" w:rsidR="009A2A4E" w:rsidRDefault="009A2A4E" w:rsidP="005E5850">
      <w:pPr>
        <w:rPr>
          <w:lang w:val="en-US"/>
        </w:rPr>
      </w:pPr>
      <w:r>
        <w:rPr>
          <w:rFonts w:cstheme="minorHAnsi"/>
          <w:lang w:val="en-GB"/>
        </w:rPr>
        <w:t>The</w:t>
      </w:r>
      <w:r w:rsidR="0057791A">
        <w:rPr>
          <w:rFonts w:cstheme="minorHAnsi"/>
          <w:lang w:val="en-GB"/>
        </w:rPr>
        <w:t xml:space="preserve"> </w:t>
      </w:r>
      <w:r w:rsidR="006601E6">
        <w:rPr>
          <w:rFonts w:cstheme="minorHAnsi"/>
          <w:lang w:val="en-GB"/>
        </w:rPr>
        <w:t>proposed Implementation</w:t>
      </w:r>
      <w:r>
        <w:rPr>
          <w:rFonts w:cstheme="minorHAnsi"/>
          <w:lang w:val="en-GB"/>
        </w:rPr>
        <w:t xml:space="preserve"> Mechanism </w:t>
      </w:r>
      <w:r w:rsidR="0057791A">
        <w:rPr>
          <w:rFonts w:cstheme="minorHAnsi"/>
          <w:lang w:val="en-GB"/>
        </w:rPr>
        <w:t>is</w:t>
      </w:r>
      <w:r>
        <w:rPr>
          <w:rFonts w:cstheme="minorHAnsi"/>
          <w:lang w:val="en-GB"/>
        </w:rPr>
        <w:t xml:space="preserve"> composed – as is the usual practice in human rights treaties </w:t>
      </w:r>
      <w:r w:rsidR="006601E6">
        <w:rPr>
          <w:rFonts w:cstheme="minorHAnsi"/>
          <w:lang w:val="en-GB"/>
        </w:rPr>
        <w:t>- of</w:t>
      </w:r>
      <w:r>
        <w:rPr>
          <w:rFonts w:cstheme="minorHAnsi"/>
          <w:lang w:val="en-GB"/>
        </w:rPr>
        <w:t xml:space="preserve"> individual experts.  The composition of the mechanism is dealt with in subparagraph 2 of Article 27, which was revised as compared to the initial version </w:t>
      </w:r>
      <w:r w:rsidR="0057791A">
        <w:rPr>
          <w:rFonts w:cstheme="minorHAnsi"/>
          <w:lang w:val="en-GB"/>
        </w:rPr>
        <w:t>of</w:t>
      </w:r>
      <w:r>
        <w:rPr>
          <w:rFonts w:cstheme="minorHAnsi"/>
          <w:lang w:val="en-GB"/>
        </w:rPr>
        <w:t xml:space="preserve"> the draft</w:t>
      </w:r>
      <w:r w:rsidR="0057791A">
        <w:rPr>
          <w:rFonts w:cstheme="minorHAnsi"/>
          <w:lang w:val="en-GB"/>
        </w:rPr>
        <w:t xml:space="preserve"> convention </w:t>
      </w:r>
      <w:r w:rsidR="006601E6">
        <w:rPr>
          <w:rFonts w:cstheme="minorHAnsi"/>
          <w:lang w:val="en-GB"/>
        </w:rPr>
        <w:t>regarding</w:t>
      </w:r>
      <w:r>
        <w:rPr>
          <w:rFonts w:cstheme="minorHAnsi"/>
          <w:lang w:val="en-GB"/>
        </w:rPr>
        <w:t xml:space="preserve"> the need to ensure proper balance within the mechanism, </w:t>
      </w:r>
      <w:r w:rsidR="006601E6">
        <w:rPr>
          <w:rFonts w:cstheme="minorHAnsi"/>
          <w:lang w:val="en-GB"/>
        </w:rPr>
        <w:t>considering</w:t>
      </w:r>
      <w:r>
        <w:rPr>
          <w:rFonts w:cstheme="minorHAnsi"/>
          <w:lang w:val="en-GB"/>
        </w:rPr>
        <w:t xml:space="preserve"> suggestions made.  The text now reads that</w:t>
      </w:r>
      <w:r w:rsidRPr="009A2A4E">
        <w:rPr>
          <w:lang w:val="en-US"/>
        </w:rPr>
        <w:t xml:space="preserve"> </w:t>
      </w:r>
      <w:r w:rsidRPr="009A2A4E">
        <w:rPr>
          <w:lang w:val="en-US"/>
        </w:rPr>
        <w:t xml:space="preserve">consideration </w:t>
      </w:r>
      <w:r>
        <w:rPr>
          <w:lang w:val="en-US"/>
        </w:rPr>
        <w:t xml:space="preserve">should be </w:t>
      </w:r>
      <w:r w:rsidRPr="009A2A4E">
        <w:rPr>
          <w:lang w:val="en-US"/>
        </w:rPr>
        <w:t>given to</w:t>
      </w:r>
      <w:r w:rsidRPr="009A2A4E">
        <w:rPr>
          <w:b/>
          <w:bCs/>
          <w:lang w:val="en-US"/>
        </w:rPr>
        <w:t xml:space="preserve">, </w:t>
      </w:r>
      <w:r w:rsidRPr="00D26FCB">
        <w:rPr>
          <w:lang w:val="en-US"/>
        </w:rPr>
        <w:t>inter alia, gender balance and equitable, geographic representation as well as to an appropriate representation of different legal systems</w:t>
      </w:r>
      <w:r w:rsidRPr="00D26FCB">
        <w:rPr>
          <w:lang w:val="en-US"/>
        </w:rPr>
        <w:t>.</w:t>
      </w:r>
    </w:p>
    <w:p w14:paraId="342A224B" w14:textId="7F4EEBDB" w:rsidR="009A2A4E" w:rsidRDefault="009A2A4E" w:rsidP="009A2A4E">
      <w:pPr>
        <w:pStyle w:val="SingleTxtG"/>
        <w:ind w:left="0"/>
        <w:rPr>
          <w:lang w:val="en-GB"/>
        </w:rPr>
      </w:pPr>
      <w:r>
        <w:rPr>
          <w:lang w:val="en-US"/>
        </w:rPr>
        <w:t xml:space="preserve">Crucially the draft Convention provides that the </w:t>
      </w:r>
      <w:r w:rsidR="00D26FCB">
        <w:rPr>
          <w:lang w:val="en-US"/>
        </w:rPr>
        <w:t>objective</w:t>
      </w:r>
      <w:r>
        <w:rPr>
          <w:lang w:val="en-US"/>
        </w:rPr>
        <w:t xml:space="preserve"> of the Implementation Mechanism is </w:t>
      </w:r>
      <w:r w:rsidR="00D23913">
        <w:rPr>
          <w:lang w:val="en-US"/>
        </w:rPr>
        <w:t>“</w:t>
      </w:r>
      <w:r>
        <w:rPr>
          <w:lang w:val="en-GB"/>
        </w:rPr>
        <w:t>to facilitate, coordinate and assist, in a non-adversarial and non-punitive manner, the implementation and promotion of compliance with the provisions of the present Convention</w:t>
      </w:r>
      <w:r w:rsidR="00D23913">
        <w:rPr>
          <w:lang w:val="en-GB"/>
        </w:rPr>
        <w:t>”</w:t>
      </w:r>
      <w:r>
        <w:rPr>
          <w:lang w:val="en-GB"/>
        </w:rPr>
        <w:t>.</w:t>
      </w:r>
      <w:r w:rsidR="00D26FCB">
        <w:rPr>
          <w:lang w:val="en-GB"/>
        </w:rPr>
        <w:t xml:space="preserve">  In short, the purpose of the Implementation </w:t>
      </w:r>
      <w:r w:rsidR="00D23913">
        <w:rPr>
          <w:lang w:val="en-GB"/>
        </w:rPr>
        <w:t xml:space="preserve">Mechanism is to assist states in removing obstacles to the realization of the right to development, at the request of the Conference of the </w:t>
      </w:r>
      <w:r w:rsidR="006601E6">
        <w:rPr>
          <w:lang w:val="en-GB"/>
        </w:rPr>
        <w:t>Parties (</w:t>
      </w:r>
      <w:r w:rsidR="00D23913">
        <w:rPr>
          <w:lang w:val="en-GB"/>
        </w:rPr>
        <w:t xml:space="preserve">for instance after having </w:t>
      </w:r>
      <w:r w:rsidR="006601E6">
        <w:rPr>
          <w:lang w:val="en-GB"/>
        </w:rPr>
        <w:t>reviewed a</w:t>
      </w:r>
      <w:r w:rsidR="00D23913">
        <w:rPr>
          <w:lang w:val="en-GB"/>
        </w:rPr>
        <w:t xml:space="preserve"> voluntary report by a State party).</w:t>
      </w:r>
    </w:p>
    <w:p w14:paraId="42726A0F" w14:textId="689E7CA7" w:rsidR="00D23913" w:rsidRDefault="00D23913" w:rsidP="009A2A4E">
      <w:pPr>
        <w:pStyle w:val="SingleTxtG"/>
        <w:ind w:left="0"/>
        <w:rPr>
          <w:lang w:val="en-GB"/>
        </w:rPr>
      </w:pPr>
      <w:r>
        <w:rPr>
          <w:lang w:val="en-GB"/>
        </w:rPr>
        <w:t>The same approach is taken in Article 27, paragraph 3c which triggered a few comments during the round of consultations.  The proposed article 27 (3) does not provide for a complaints procedure.  It enables the Implementation Mechanism to address situations</w:t>
      </w:r>
      <w:r w:rsidRPr="00D23913">
        <w:rPr>
          <w:lang w:val="en-GB"/>
        </w:rPr>
        <w:t xml:space="preserve"> where</w:t>
      </w:r>
      <w:r w:rsidR="0097247F">
        <w:rPr>
          <w:lang w:val="en-GB"/>
        </w:rPr>
        <w:t xml:space="preserve"> lack of cooperation by</w:t>
      </w:r>
      <w:r w:rsidRPr="00D23913">
        <w:rPr>
          <w:lang w:val="en-GB"/>
        </w:rPr>
        <w:t xml:space="preserve"> States</w:t>
      </w:r>
      <w:r w:rsidR="001A181D">
        <w:rPr>
          <w:lang w:val="en-GB"/>
        </w:rPr>
        <w:t xml:space="preserve"> involving a State party to the Convention</w:t>
      </w:r>
      <w:r w:rsidRPr="00D23913">
        <w:rPr>
          <w:lang w:val="en-GB"/>
        </w:rPr>
        <w:t xml:space="preserve"> </w:t>
      </w:r>
      <w:r w:rsidR="0097247F">
        <w:rPr>
          <w:lang w:val="en-GB"/>
        </w:rPr>
        <w:t>adversely affects the</w:t>
      </w:r>
      <w:r w:rsidRPr="00D23913">
        <w:rPr>
          <w:lang w:val="en-GB"/>
        </w:rPr>
        <w:t xml:space="preserve"> </w:t>
      </w:r>
      <w:r w:rsidR="0097247F">
        <w:rPr>
          <w:lang w:val="en-GB"/>
        </w:rPr>
        <w:t xml:space="preserve">right to development. </w:t>
      </w:r>
      <w:r w:rsidR="00AB7435">
        <w:rPr>
          <w:lang w:val="en-GB"/>
        </w:rPr>
        <w:t xml:space="preserve">Equally </w:t>
      </w:r>
      <w:r w:rsidR="0097247F">
        <w:rPr>
          <w:lang w:val="en-GB"/>
        </w:rPr>
        <w:t>in th</w:t>
      </w:r>
      <w:r w:rsidR="00AB7435">
        <w:rPr>
          <w:lang w:val="en-GB"/>
        </w:rPr>
        <w:t>is</w:t>
      </w:r>
      <w:r w:rsidR="0097247F">
        <w:rPr>
          <w:lang w:val="en-GB"/>
        </w:rPr>
        <w:t xml:space="preserve"> context, the Implementation </w:t>
      </w:r>
      <w:r w:rsidR="006601E6">
        <w:rPr>
          <w:lang w:val="en-GB"/>
        </w:rPr>
        <w:t xml:space="preserve">Mechanism </w:t>
      </w:r>
      <w:r w:rsidR="006601E6" w:rsidRPr="00D23913">
        <w:rPr>
          <w:lang w:val="en-GB"/>
        </w:rPr>
        <w:t>would</w:t>
      </w:r>
      <w:r w:rsidR="0097247F">
        <w:rPr>
          <w:lang w:val="en-GB"/>
        </w:rPr>
        <w:t xml:space="preserve"> seek to </w:t>
      </w:r>
      <w:r w:rsidRPr="00D23913">
        <w:rPr>
          <w:lang w:val="en-GB"/>
        </w:rPr>
        <w:t xml:space="preserve">“facilitate, coordinate and assist, in a non-adversarial and non-punitive manner, the implementation and promotion of compliance with the provisions of the present Convention”. </w:t>
      </w:r>
      <w:r w:rsidR="0097247F">
        <w:rPr>
          <w:lang w:val="en-GB"/>
        </w:rPr>
        <w:t xml:space="preserve"> </w:t>
      </w:r>
      <w:r w:rsidRPr="00D23913">
        <w:rPr>
          <w:lang w:val="en-GB"/>
        </w:rPr>
        <w:t xml:space="preserve">This language excludes any process of naming and shaming. </w:t>
      </w:r>
      <w:r w:rsidR="00AB7435">
        <w:rPr>
          <w:lang w:val="en-GB"/>
        </w:rPr>
        <w:t>The Implementation Mechanism’s</w:t>
      </w:r>
      <w:r w:rsidR="0097247F">
        <w:rPr>
          <w:lang w:val="en-GB"/>
        </w:rPr>
        <w:t xml:space="preserve"> review </w:t>
      </w:r>
      <w:r w:rsidR="00AB7435">
        <w:rPr>
          <w:lang w:val="en-GB"/>
        </w:rPr>
        <w:t>w</w:t>
      </w:r>
      <w:r w:rsidR="0097247F">
        <w:rPr>
          <w:lang w:val="en-GB"/>
        </w:rPr>
        <w:t>ould</w:t>
      </w:r>
      <w:r w:rsidRPr="00D23913">
        <w:rPr>
          <w:lang w:val="en-GB"/>
        </w:rPr>
        <w:t xml:space="preserve"> </w:t>
      </w:r>
      <w:r w:rsidR="0097247F">
        <w:rPr>
          <w:lang w:val="en-GB"/>
        </w:rPr>
        <w:t>result in</w:t>
      </w:r>
      <w:r w:rsidRPr="00D23913">
        <w:rPr>
          <w:lang w:val="en-GB"/>
        </w:rPr>
        <w:t xml:space="preserve"> observations and suggestions on facilitating the discharge of the duty to cooperate by States in a manner that helps realize the right to development better.</w:t>
      </w:r>
    </w:p>
    <w:p w14:paraId="56CB4CED" w14:textId="6CF886D8" w:rsidR="0098562B" w:rsidRDefault="0097247F" w:rsidP="009A2A4E">
      <w:pPr>
        <w:pStyle w:val="SingleTxtG"/>
        <w:ind w:left="0"/>
        <w:rPr>
          <w:rFonts w:cstheme="minorHAnsi"/>
          <w:lang w:val="en-US"/>
        </w:rPr>
      </w:pPr>
      <w:r w:rsidRPr="0097247F">
        <w:rPr>
          <w:lang w:val="en-US"/>
        </w:rPr>
        <w:t>Article 27, para 3c focuses entirely on the duty</w:t>
      </w:r>
      <w:r>
        <w:rPr>
          <w:lang w:val="en-US"/>
        </w:rPr>
        <w:t xml:space="preserve"> to cooperate, and thus provides added value as compared to the </w:t>
      </w:r>
      <w:r w:rsidRPr="0097247F">
        <w:rPr>
          <w:rFonts w:cstheme="minorHAnsi"/>
          <w:lang w:val="en-US"/>
        </w:rPr>
        <w:t xml:space="preserve">existing human rights treaty bodies that focus on </w:t>
      </w:r>
      <w:r w:rsidR="00AB7435">
        <w:rPr>
          <w:rFonts w:cstheme="minorHAnsi"/>
          <w:lang w:val="en-US"/>
        </w:rPr>
        <w:t>unilateral single</w:t>
      </w:r>
      <w:r w:rsidRPr="0097247F">
        <w:rPr>
          <w:rFonts w:cstheme="minorHAnsi"/>
          <w:lang w:val="en-US"/>
        </w:rPr>
        <w:t xml:space="preserve"> State obligations.</w:t>
      </w:r>
      <w:r w:rsidR="0098562B" w:rsidRPr="0098562B">
        <w:t xml:space="preserve"> </w:t>
      </w:r>
      <w:r w:rsidR="0098562B" w:rsidRPr="0098562B">
        <w:rPr>
          <w:rFonts w:cstheme="minorHAnsi"/>
          <w:lang w:val="en-US"/>
        </w:rPr>
        <w:t>Domestic legal proceedings also face obstacles in dealing with inter-State cooperation given</w:t>
      </w:r>
      <w:r w:rsidR="00AB7435">
        <w:rPr>
          <w:rFonts w:cstheme="minorHAnsi"/>
          <w:lang w:val="en-US"/>
        </w:rPr>
        <w:t xml:space="preserve"> </w:t>
      </w:r>
      <w:r w:rsidR="0098562B" w:rsidRPr="0098562B">
        <w:rPr>
          <w:rFonts w:cstheme="minorHAnsi"/>
          <w:lang w:val="en-US"/>
        </w:rPr>
        <w:t>foreign State immunities.</w:t>
      </w:r>
      <w:r w:rsidRPr="0097247F">
        <w:rPr>
          <w:rFonts w:cstheme="minorHAnsi"/>
          <w:lang w:val="en-US"/>
        </w:rPr>
        <w:t xml:space="preserve"> </w:t>
      </w:r>
      <w:r w:rsidR="0098562B">
        <w:rPr>
          <w:rFonts w:cstheme="minorHAnsi"/>
          <w:lang w:val="en-US"/>
        </w:rPr>
        <w:t>The</w:t>
      </w:r>
      <w:r w:rsidR="0098562B" w:rsidRPr="0098562B">
        <w:rPr>
          <w:rFonts w:cstheme="minorHAnsi"/>
          <w:lang w:val="en-US"/>
        </w:rPr>
        <w:t xml:space="preserve"> focus in the </w:t>
      </w:r>
      <w:r w:rsidR="0098562B">
        <w:rPr>
          <w:rFonts w:cstheme="minorHAnsi"/>
          <w:lang w:val="en-US"/>
        </w:rPr>
        <w:t xml:space="preserve">draft </w:t>
      </w:r>
      <w:r w:rsidR="0098562B" w:rsidRPr="0098562B">
        <w:rPr>
          <w:rFonts w:cstheme="minorHAnsi"/>
          <w:lang w:val="en-US"/>
        </w:rPr>
        <w:t xml:space="preserve">Convention on the implementation of the duty will cooperate </w:t>
      </w:r>
      <w:r w:rsidR="0098562B">
        <w:rPr>
          <w:rFonts w:cstheme="minorHAnsi"/>
          <w:lang w:val="en-US"/>
        </w:rPr>
        <w:t xml:space="preserve">seeks to </w:t>
      </w:r>
      <w:r w:rsidR="0098562B" w:rsidRPr="0098562B">
        <w:rPr>
          <w:rFonts w:cstheme="minorHAnsi"/>
          <w:lang w:val="en-US"/>
        </w:rPr>
        <w:t>fill th</w:t>
      </w:r>
      <w:r w:rsidR="0098562B">
        <w:rPr>
          <w:rFonts w:cstheme="minorHAnsi"/>
          <w:lang w:val="en-US"/>
        </w:rPr>
        <w:t>is</w:t>
      </w:r>
      <w:r w:rsidR="0098562B" w:rsidRPr="0098562B">
        <w:rPr>
          <w:rFonts w:cstheme="minorHAnsi"/>
          <w:lang w:val="en-US"/>
        </w:rPr>
        <w:t xml:space="preserve"> ga</w:t>
      </w:r>
      <w:r w:rsidR="00523FAE">
        <w:rPr>
          <w:rFonts w:cstheme="minorHAnsi"/>
          <w:lang w:val="en-US"/>
        </w:rPr>
        <w:t xml:space="preserve">p, </w:t>
      </w:r>
      <w:r w:rsidR="006601E6">
        <w:rPr>
          <w:rFonts w:cstheme="minorHAnsi"/>
          <w:lang w:val="en-US"/>
        </w:rPr>
        <w:t>i.e.,</w:t>
      </w:r>
      <w:r w:rsidR="00523FAE">
        <w:rPr>
          <w:rFonts w:cstheme="minorHAnsi"/>
          <w:lang w:val="en-US"/>
        </w:rPr>
        <w:t xml:space="preserve"> to add value to the existing human rights treaties competencies, rather than to duplicate.</w:t>
      </w:r>
    </w:p>
    <w:p w14:paraId="4AD49772" w14:textId="1F39D053" w:rsidR="0097247F" w:rsidRPr="00C6787D" w:rsidRDefault="0097247F" w:rsidP="009A2A4E">
      <w:pPr>
        <w:pStyle w:val="SingleTxtG"/>
        <w:ind w:left="0"/>
        <w:rPr>
          <w:rFonts w:cstheme="minorHAnsi"/>
          <w:lang w:val="en-GB"/>
        </w:rPr>
      </w:pPr>
      <w:r w:rsidRPr="0097247F">
        <w:rPr>
          <w:rFonts w:cstheme="minorHAnsi"/>
          <w:lang w:val="en-US"/>
        </w:rPr>
        <w:t xml:space="preserve">The </w:t>
      </w:r>
      <w:r w:rsidR="00C6787D">
        <w:rPr>
          <w:rFonts w:cstheme="minorHAnsi"/>
          <w:lang w:val="en-US"/>
        </w:rPr>
        <w:t>proposal</w:t>
      </w:r>
      <w:r w:rsidR="00AB7435">
        <w:rPr>
          <w:rFonts w:cstheme="minorHAnsi"/>
          <w:lang w:val="en-US"/>
        </w:rPr>
        <w:t xml:space="preserve"> in Article 27, para 3c</w:t>
      </w:r>
      <w:r w:rsidRPr="0097247F">
        <w:rPr>
          <w:rFonts w:cstheme="minorHAnsi"/>
          <w:lang w:val="en-US"/>
        </w:rPr>
        <w:t xml:space="preserve"> is to </w:t>
      </w:r>
      <w:r w:rsidRPr="0097247F">
        <w:rPr>
          <w:rFonts w:cstheme="minorHAnsi"/>
          <w:lang w:val="en-US"/>
        </w:rPr>
        <w:t xml:space="preserve">start from the lived experience of </w:t>
      </w:r>
      <w:r w:rsidRPr="0097247F">
        <w:rPr>
          <w:rFonts w:cstheme="minorHAnsi"/>
          <w:lang w:val="en-US"/>
        </w:rPr>
        <w:t>individual</w:t>
      </w:r>
      <w:r w:rsidRPr="0097247F">
        <w:rPr>
          <w:rFonts w:cstheme="minorHAnsi"/>
          <w:lang w:val="en-US"/>
        </w:rPr>
        <w:t xml:space="preserve"> </w:t>
      </w:r>
      <w:r w:rsidRPr="0097247F">
        <w:rPr>
          <w:rFonts w:cstheme="minorHAnsi"/>
          <w:lang w:val="en-US"/>
        </w:rPr>
        <w:t>and peoples</w:t>
      </w:r>
      <w:r w:rsidRPr="0097247F">
        <w:rPr>
          <w:rFonts w:cstheme="minorHAnsi"/>
          <w:lang w:val="en-US"/>
        </w:rPr>
        <w:t xml:space="preserve"> as holders</w:t>
      </w:r>
      <w:r w:rsidRPr="0097247F">
        <w:rPr>
          <w:rFonts w:cstheme="minorHAnsi"/>
          <w:lang w:val="en-US"/>
        </w:rPr>
        <w:t xml:space="preserve"> of the right to developmen</w:t>
      </w:r>
      <w:r w:rsidRPr="0097247F">
        <w:rPr>
          <w:rFonts w:ascii="Calibri" w:hAnsi="Calibri" w:cs="Calibri"/>
          <w:lang w:val="en-US"/>
        </w:rPr>
        <w:t xml:space="preserve">t. </w:t>
      </w:r>
      <w:r w:rsidR="00C6787D">
        <w:rPr>
          <w:rFonts w:ascii="Calibri" w:hAnsi="Calibri" w:cs="Calibri"/>
          <w:lang w:val="en-US"/>
        </w:rPr>
        <w:t xml:space="preserve">After all, the </w:t>
      </w:r>
      <w:r w:rsidR="00C6787D" w:rsidRPr="00C6787D">
        <w:rPr>
          <w:rFonts w:ascii="Calibri" w:hAnsi="Calibri" w:cs="Calibri"/>
          <w:lang w:val="en-US"/>
        </w:rPr>
        <w:t>substantive test for any new global human rights instrument is whether it assists the rights holders in achieving better protection against threats to their human dignity</w:t>
      </w:r>
      <w:r w:rsidR="00C6787D">
        <w:rPr>
          <w:rFonts w:ascii="Calibri" w:hAnsi="Calibri" w:cs="Calibri"/>
          <w:lang w:val="en-US"/>
        </w:rPr>
        <w:t xml:space="preserve">.  </w:t>
      </w:r>
      <w:r w:rsidRPr="0097247F">
        <w:rPr>
          <w:rFonts w:ascii="Calibri" w:hAnsi="Calibri" w:cs="Calibri"/>
          <w:lang w:val="en-US"/>
        </w:rPr>
        <w:t>In practice,</w:t>
      </w:r>
      <w:r w:rsidR="0098562B">
        <w:rPr>
          <w:rFonts w:ascii="Calibri" w:hAnsi="Calibri" w:cs="Calibri"/>
          <w:lang w:val="en-US"/>
        </w:rPr>
        <w:t xml:space="preserve"> on the ground,</w:t>
      </w:r>
      <w:r w:rsidRPr="0097247F">
        <w:rPr>
          <w:rFonts w:ascii="Calibri" w:hAnsi="Calibri" w:cs="Calibri"/>
          <w:lang w:val="en-US"/>
        </w:rPr>
        <w:t xml:space="preserve"> the human dignity of rights holders is often affected not only by the domestic State, but also by third States </w:t>
      </w:r>
      <w:r w:rsidR="0098562B">
        <w:rPr>
          <w:rFonts w:ascii="Calibri" w:hAnsi="Calibri" w:cs="Calibri"/>
          <w:lang w:val="en-US"/>
        </w:rPr>
        <w:t>(</w:t>
      </w:r>
      <w:r w:rsidRPr="0097247F">
        <w:rPr>
          <w:rFonts w:ascii="Calibri" w:hAnsi="Calibri" w:cs="Calibri"/>
          <w:lang w:val="en-US"/>
        </w:rPr>
        <w:t>and non-State external actors</w:t>
      </w:r>
      <w:r w:rsidR="0098562B">
        <w:rPr>
          <w:rFonts w:ascii="Calibri" w:hAnsi="Calibri" w:cs="Calibri"/>
          <w:lang w:val="en-US"/>
        </w:rPr>
        <w:t>).  In such a situation, inter-State cooperation as provided for in the Convention will be required to achieve the best possible protection for the rights holders.  More still needs</w:t>
      </w:r>
      <w:r w:rsidR="00C6787D">
        <w:rPr>
          <w:rFonts w:ascii="Calibri" w:hAnsi="Calibri" w:cs="Calibri"/>
          <w:lang w:val="en-US"/>
        </w:rPr>
        <w:t xml:space="preserve"> to</w:t>
      </w:r>
      <w:r w:rsidR="0098562B">
        <w:rPr>
          <w:rFonts w:ascii="Calibri" w:hAnsi="Calibri" w:cs="Calibri"/>
          <w:lang w:val="en-US"/>
        </w:rPr>
        <w:t xml:space="preserve"> </w:t>
      </w:r>
      <w:r w:rsidR="00AB7435">
        <w:rPr>
          <w:rFonts w:ascii="Calibri" w:hAnsi="Calibri" w:cs="Calibri"/>
          <w:lang w:val="en-US"/>
        </w:rPr>
        <w:t xml:space="preserve">be </w:t>
      </w:r>
      <w:r w:rsidR="0098562B">
        <w:rPr>
          <w:rFonts w:ascii="Calibri" w:hAnsi="Calibri" w:cs="Calibri"/>
          <w:lang w:val="en-US"/>
        </w:rPr>
        <w:t>done</w:t>
      </w:r>
      <w:r w:rsidR="00AB7435">
        <w:rPr>
          <w:rFonts w:ascii="Calibri" w:hAnsi="Calibri" w:cs="Calibri"/>
          <w:lang w:val="en-US"/>
        </w:rPr>
        <w:t xml:space="preserve"> perhaps</w:t>
      </w:r>
      <w:r w:rsidR="0098562B">
        <w:rPr>
          <w:rFonts w:ascii="Calibri" w:hAnsi="Calibri" w:cs="Calibri"/>
          <w:lang w:val="en-US"/>
        </w:rPr>
        <w:t xml:space="preserve"> to operationalize this low-angle </w:t>
      </w:r>
      <w:r w:rsidR="0098562B">
        <w:rPr>
          <w:rFonts w:ascii="Calibri" w:hAnsi="Calibri" w:cs="Calibri"/>
          <w:lang w:val="en-US"/>
        </w:rPr>
        <w:lastRenderedPageBreak/>
        <w:t>(from the bottom up</w:t>
      </w:r>
      <w:r w:rsidR="00AB7435">
        <w:rPr>
          <w:rFonts w:ascii="Calibri" w:hAnsi="Calibri" w:cs="Calibri"/>
          <w:lang w:val="en-US"/>
        </w:rPr>
        <w:t>)</w:t>
      </w:r>
      <w:r w:rsidR="0098562B">
        <w:rPr>
          <w:rFonts w:ascii="Calibri" w:hAnsi="Calibri" w:cs="Calibri"/>
          <w:lang w:val="en-US"/>
        </w:rPr>
        <w:t xml:space="preserve"> view of the duty to cooperate, and</w:t>
      </w:r>
      <w:r w:rsidR="001A181D">
        <w:rPr>
          <w:rFonts w:ascii="Calibri" w:hAnsi="Calibri" w:cs="Calibri"/>
          <w:lang w:val="en-US"/>
        </w:rPr>
        <w:t xml:space="preserve"> it is</w:t>
      </w:r>
      <w:r w:rsidR="0098562B">
        <w:rPr>
          <w:rFonts w:ascii="Calibri" w:hAnsi="Calibri" w:cs="Calibri"/>
          <w:lang w:val="en-US"/>
        </w:rPr>
        <w:t xml:space="preserve"> in this context that the Implementation Mechanism could play an important role in promoting best practices as to information-sharing, mediation, good faith negotiations and the like.</w:t>
      </w:r>
      <w:r w:rsidR="00AB7435">
        <w:rPr>
          <w:rFonts w:ascii="Calibri" w:hAnsi="Calibri" w:cs="Calibri"/>
          <w:lang w:val="en-US"/>
        </w:rPr>
        <w:t xml:space="preserve"> This is also why at this stage it is more appropriate to establish</w:t>
      </w:r>
      <w:r w:rsidR="00AB7435" w:rsidRPr="00C6787D">
        <w:rPr>
          <w:rFonts w:cstheme="minorHAnsi"/>
          <w:lang w:val="en-GB"/>
        </w:rPr>
        <w:t xml:space="preserve"> a compliance committee that aims at encouraging best practices, and in situations of non-compliance focusses on recommending improvement</w:t>
      </w:r>
      <w:r w:rsidR="00AB7435">
        <w:rPr>
          <w:rFonts w:cstheme="minorHAnsi"/>
          <w:lang w:val="en-GB"/>
        </w:rPr>
        <w:t xml:space="preserve">, </w:t>
      </w:r>
      <w:r w:rsidR="00C6787D">
        <w:rPr>
          <w:rFonts w:cstheme="minorHAnsi"/>
          <w:lang w:val="en-GB"/>
        </w:rPr>
        <w:t>r</w:t>
      </w:r>
      <w:r w:rsidR="00C6787D" w:rsidRPr="00C6787D">
        <w:rPr>
          <w:rFonts w:cstheme="minorHAnsi"/>
          <w:lang w:val="en-GB"/>
        </w:rPr>
        <w:t>ather than a quasi-judicial mechanism</w:t>
      </w:r>
      <w:r w:rsidR="00AB7435">
        <w:rPr>
          <w:rFonts w:cstheme="minorHAnsi"/>
          <w:lang w:val="en-GB"/>
        </w:rPr>
        <w:t xml:space="preserve"> focusing on violations.</w:t>
      </w:r>
    </w:p>
    <w:p w14:paraId="32DBFE3C" w14:textId="740719BB" w:rsidR="00C6787D" w:rsidRDefault="00C6787D" w:rsidP="00C6787D">
      <w:pPr>
        <w:rPr>
          <w:rFonts w:cstheme="minorHAnsi"/>
          <w:lang w:val="en-GB"/>
        </w:rPr>
      </w:pPr>
      <w:r w:rsidRPr="00C6787D">
        <w:rPr>
          <w:rFonts w:cstheme="minorHAnsi"/>
          <w:lang w:val="en-GB"/>
        </w:rPr>
        <w:t>It would be up to the Conference of the parties to decide at a later stage whether, in addition to the compliance committee, a complaints procedure on violations of the right to development should be established, through the adoption of an optional protocol.</w:t>
      </w:r>
    </w:p>
    <w:p w14:paraId="093F1EE9" w14:textId="31826FC8" w:rsidR="00C6787D" w:rsidRPr="00C6787D" w:rsidRDefault="00C6787D" w:rsidP="00C6787D">
      <w:pPr>
        <w:rPr>
          <w:rFonts w:cstheme="minorHAnsi"/>
          <w:lang w:val="en-GB"/>
        </w:rPr>
      </w:pPr>
      <w:r>
        <w:rPr>
          <w:rFonts w:cstheme="minorHAnsi"/>
          <w:lang w:val="en-GB"/>
        </w:rPr>
        <w:t>Thank you.</w:t>
      </w:r>
    </w:p>
    <w:p w14:paraId="589F513E" w14:textId="77777777" w:rsidR="00C6787D" w:rsidRPr="00C6787D" w:rsidRDefault="00C6787D" w:rsidP="009A2A4E">
      <w:pPr>
        <w:pStyle w:val="SingleTxtG"/>
        <w:ind w:left="0"/>
        <w:rPr>
          <w:rFonts w:cstheme="minorHAnsi"/>
          <w:lang w:val="en-GB"/>
        </w:rPr>
      </w:pPr>
    </w:p>
    <w:p w14:paraId="32AB4FA4" w14:textId="77777777" w:rsidR="009A4DAE" w:rsidRPr="009A4DAE" w:rsidRDefault="009A4DAE">
      <w:pPr>
        <w:rPr>
          <w:lang w:val="en-US"/>
        </w:rPr>
      </w:pPr>
    </w:p>
    <w:sectPr w:rsidR="009A4DAE" w:rsidRPr="009A4D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4620D" w14:textId="77777777" w:rsidR="00A74062" w:rsidRDefault="00A74062" w:rsidP="009A4DAE">
      <w:pPr>
        <w:spacing w:after="0" w:line="240" w:lineRule="auto"/>
      </w:pPr>
      <w:r>
        <w:separator/>
      </w:r>
    </w:p>
  </w:endnote>
  <w:endnote w:type="continuationSeparator" w:id="0">
    <w:p w14:paraId="41C154E4" w14:textId="77777777" w:rsidR="00A74062" w:rsidRDefault="00A74062" w:rsidP="009A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5574" w14:textId="77777777" w:rsidR="00A74062" w:rsidRDefault="00A74062" w:rsidP="009A4DAE">
      <w:pPr>
        <w:spacing w:after="0" w:line="240" w:lineRule="auto"/>
      </w:pPr>
      <w:r>
        <w:separator/>
      </w:r>
    </w:p>
  </w:footnote>
  <w:footnote w:type="continuationSeparator" w:id="0">
    <w:p w14:paraId="328106A0" w14:textId="77777777" w:rsidR="00A74062" w:rsidRDefault="00A74062" w:rsidP="009A4D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AE"/>
    <w:rsid w:val="001A181D"/>
    <w:rsid w:val="00210012"/>
    <w:rsid w:val="00482614"/>
    <w:rsid w:val="00523FAE"/>
    <w:rsid w:val="0057791A"/>
    <w:rsid w:val="005E5850"/>
    <w:rsid w:val="006601E6"/>
    <w:rsid w:val="00693BA7"/>
    <w:rsid w:val="00751E94"/>
    <w:rsid w:val="00754FC9"/>
    <w:rsid w:val="008A42D7"/>
    <w:rsid w:val="00915105"/>
    <w:rsid w:val="0097247F"/>
    <w:rsid w:val="0098562B"/>
    <w:rsid w:val="009A2A4E"/>
    <w:rsid w:val="009A4DAE"/>
    <w:rsid w:val="00A74062"/>
    <w:rsid w:val="00AB7435"/>
    <w:rsid w:val="00C6787D"/>
    <w:rsid w:val="00D23913"/>
    <w:rsid w:val="00D26FCB"/>
    <w:rsid w:val="00D648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700D"/>
  <w15:chartTrackingRefBased/>
  <w15:docId w15:val="{9F38190F-BEA0-40FB-A2B8-11C6E69E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aliases w:val="FA Fu,FA Fußnotentext,Footnote Text Char Char Char Char Char,Footnote Text Char Char Char Char,Texto nota pie Car,Footnote reference,Footnote Text Char Char Char,Texto nota pie [MM],Texto nota pie [MM] Car,FA Fuﬂnotentext,Fußnotentextf,fn"/>
    <w:basedOn w:val="Standaard"/>
    <w:link w:val="VoetnoottekstChar"/>
    <w:uiPriority w:val="99"/>
    <w:unhideWhenUsed/>
    <w:rsid w:val="009A4DAE"/>
    <w:pPr>
      <w:spacing w:after="0" w:line="240" w:lineRule="auto"/>
    </w:pPr>
    <w:rPr>
      <w:sz w:val="20"/>
      <w:szCs w:val="20"/>
      <w:lang w:val="en-US"/>
    </w:rPr>
  </w:style>
  <w:style w:type="character" w:customStyle="1" w:styleId="VoetnoottekstChar">
    <w:name w:val="Voetnoottekst Char"/>
    <w:aliases w:val="FA Fu Char,FA Fußnotentext Char,Footnote Text Char Char Char Char Char Char,Footnote Text Char Char Char Char Char1,Texto nota pie Car Char,Footnote reference Char,Footnote Text Char Char Char Char1,Texto nota pie [MM] Char,fn Char"/>
    <w:basedOn w:val="Standaardalinea-lettertype"/>
    <w:link w:val="Voetnoottekst"/>
    <w:uiPriority w:val="99"/>
    <w:rsid w:val="009A4DAE"/>
    <w:rPr>
      <w:sz w:val="20"/>
      <w:szCs w:val="20"/>
      <w:lang w:val="en-US"/>
    </w:rPr>
  </w:style>
  <w:style w:type="character" w:styleId="Voetnootmarkering">
    <w:name w:val="footnote reference"/>
    <w:aliases w:val="Footnotes refss Char Char Char Char Char,Appel note de bas de page Char Char Char Char Char,BVI fnr Char Char Char Char Char,16 Point Char Char Char Char Char,Footnotes refss,Appel note de bas de pag,Footnotes refss Char Char1"/>
    <w:basedOn w:val="Standaardalinea-lettertype"/>
    <w:link w:val="FootnotesrefssCharCharCharChar"/>
    <w:uiPriority w:val="99"/>
    <w:unhideWhenUsed/>
    <w:rsid w:val="009A4DAE"/>
    <w:rPr>
      <w:vertAlign w:val="superscript"/>
    </w:rPr>
  </w:style>
  <w:style w:type="character" w:styleId="Hyperlink">
    <w:name w:val="Hyperlink"/>
    <w:basedOn w:val="Standaardalinea-lettertype"/>
    <w:uiPriority w:val="99"/>
    <w:unhideWhenUsed/>
    <w:rsid w:val="009A4DAE"/>
    <w:rPr>
      <w:color w:val="0563C1" w:themeColor="hyperlink"/>
      <w:u w:val="single"/>
    </w:rPr>
  </w:style>
  <w:style w:type="paragraph" w:customStyle="1" w:styleId="FootnotesrefssCharCharCharChar">
    <w:name w:val="Footnotes refss Char Char Char Char"/>
    <w:aliases w:val="Appel note de bas de page Char Char Char Char,BVI fnr Char Char Char Char,16 Point Char Char Char Char,Superscript 6 Point Char Char Char Char"/>
    <w:basedOn w:val="Standaard"/>
    <w:next w:val="Standaard"/>
    <w:link w:val="Voetnootmarkering"/>
    <w:uiPriority w:val="99"/>
    <w:rsid w:val="009A4DAE"/>
    <w:pPr>
      <w:spacing w:after="600" w:line="240" w:lineRule="auto"/>
      <w:jc w:val="center"/>
    </w:pPr>
    <w:rPr>
      <w:vertAlign w:val="superscript"/>
    </w:rPr>
  </w:style>
  <w:style w:type="character" w:customStyle="1" w:styleId="SingleTxtGChar">
    <w:name w:val="_ Single Txt_G Char"/>
    <w:link w:val="SingleTxtG"/>
    <w:qFormat/>
    <w:locked/>
    <w:rsid w:val="009A2A4E"/>
    <w:rPr>
      <w:lang w:val="x-none"/>
    </w:rPr>
  </w:style>
  <w:style w:type="paragraph" w:customStyle="1" w:styleId="SingleTxtG">
    <w:name w:val="_ Single Txt_G"/>
    <w:basedOn w:val="Standaard"/>
    <w:link w:val="SingleTxtGChar"/>
    <w:qFormat/>
    <w:rsid w:val="009A2A4E"/>
    <w:pPr>
      <w:suppressAutoHyphens/>
      <w:spacing w:after="120" w:line="240" w:lineRule="atLeast"/>
      <w:ind w:left="1134" w:right="1134"/>
      <w:jc w:val="both"/>
    </w:pPr>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27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Item 4.3 Consideration of the draft convention on the right to development - Part III Articles 22-24, Part IV and Part V</Category>
    <Doctype xmlns="d42e65b2-cf21-49c1-b27d-d23f90380c0e">input</Doctype>
    <Contributor xmlns="d42e65b2-cf21-49c1-b27d-d23f90380c0e">De Feyter</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67570FE-A1E8-43F7-89F9-B7D52A044CED}"/>
</file>

<file path=customXml/itemProps2.xml><?xml version="1.0" encoding="utf-8"?>
<ds:datastoreItem xmlns:ds="http://schemas.openxmlformats.org/officeDocument/2006/customXml" ds:itemID="{1288093F-2580-469F-A65E-9F399C8AEC55}"/>
</file>

<file path=customXml/itemProps3.xml><?xml version="1.0" encoding="utf-8"?>
<ds:datastoreItem xmlns:ds="http://schemas.openxmlformats.org/officeDocument/2006/customXml" ds:itemID="{CA0BF158-9557-4E80-9077-DE7EBA5D9AC4}"/>
</file>

<file path=docProps/app.xml><?xml version="1.0" encoding="utf-8"?>
<Properties xmlns="http://schemas.openxmlformats.org/officeDocument/2006/extended-properties" xmlns:vt="http://schemas.openxmlformats.org/officeDocument/2006/docPropsVTypes">
  <Template>Normal.dotm</Template>
  <TotalTime>2</TotalTime>
  <Pages>3</Pages>
  <Words>1366</Words>
  <Characters>7515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De Feyter</dc:creator>
  <cp:keywords/>
  <dc:description/>
  <cp:lastModifiedBy>Koen De Feyter</cp:lastModifiedBy>
  <cp:revision>2</cp:revision>
  <dcterms:created xsi:type="dcterms:W3CDTF">2022-05-18T09:37:00Z</dcterms:created>
  <dcterms:modified xsi:type="dcterms:W3CDTF">2022-05-18T09:37:00Z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