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0EAD" w14:textId="379901C2" w:rsidR="00A5671E" w:rsidRDefault="00A5671E" w:rsidP="00513C82">
      <w:pPr>
        <w:pStyle w:val="SingleTxtG"/>
        <w:rPr>
          <w:b/>
          <w:bCs/>
          <w:lang w:val="en-US"/>
        </w:rPr>
      </w:pPr>
      <w:r w:rsidRPr="00A5671E">
        <w:rPr>
          <w:b/>
          <w:bCs/>
          <w:lang w:val="en-US"/>
        </w:rPr>
        <w:t>Articles 13-15 Koen De Feyter/Wednesday</w:t>
      </w:r>
      <w:r>
        <w:rPr>
          <w:b/>
          <w:bCs/>
          <w:lang w:val="en-US"/>
        </w:rPr>
        <w:t xml:space="preserve"> AM</w:t>
      </w:r>
    </w:p>
    <w:p w14:paraId="03E550D0" w14:textId="0F59ED2B" w:rsidR="00A5671E" w:rsidRDefault="00A5671E" w:rsidP="00513C82">
      <w:pPr>
        <w:pStyle w:val="SingleTxtG"/>
        <w:rPr>
          <w:b/>
          <w:bCs/>
          <w:lang w:val="en-US"/>
        </w:rPr>
      </w:pPr>
    </w:p>
    <w:p w14:paraId="07EC478B" w14:textId="5871C444" w:rsidR="00A5671E" w:rsidRDefault="00A5671E" w:rsidP="00513C82">
      <w:pPr>
        <w:pStyle w:val="SingleTxtG"/>
        <w:rPr>
          <w:b/>
          <w:bCs/>
          <w:lang w:val="en-US"/>
        </w:rPr>
      </w:pPr>
      <w:r>
        <w:rPr>
          <w:b/>
          <w:bCs/>
          <w:lang w:val="en-US"/>
        </w:rPr>
        <w:t>Article 13:</w:t>
      </w:r>
      <w:r w:rsidR="00933247">
        <w:rPr>
          <w:b/>
          <w:bCs/>
          <w:lang w:val="en-US"/>
        </w:rPr>
        <w:t xml:space="preserve"> Duty to cooperate</w:t>
      </w:r>
    </w:p>
    <w:p w14:paraId="55725FCF" w14:textId="731BCD66" w:rsidR="005E63B2" w:rsidRDefault="005E63B2" w:rsidP="00513C82">
      <w:pPr>
        <w:pStyle w:val="SingleTxtG"/>
        <w:rPr>
          <w:lang w:val="en-US"/>
        </w:rPr>
      </w:pPr>
      <w:r>
        <w:rPr>
          <w:lang w:val="en-US"/>
        </w:rPr>
        <w:t xml:space="preserve">The </w:t>
      </w:r>
      <w:r w:rsidR="006445EA">
        <w:rPr>
          <w:lang w:val="en-US"/>
        </w:rPr>
        <w:t>o</w:t>
      </w:r>
      <w:r w:rsidR="00A5671E">
        <w:rPr>
          <w:lang w:val="en-US"/>
        </w:rPr>
        <w:t>verriding concern</w:t>
      </w:r>
      <w:r w:rsidR="006445EA">
        <w:rPr>
          <w:lang w:val="en-US"/>
        </w:rPr>
        <w:t xml:space="preserve"> of the drafting group</w:t>
      </w:r>
      <w:r>
        <w:rPr>
          <w:lang w:val="en-US"/>
        </w:rPr>
        <w:t xml:space="preserve"> in considering all the suggestions</w:t>
      </w:r>
      <w:r w:rsidR="006445EA">
        <w:rPr>
          <w:lang w:val="en-US"/>
        </w:rPr>
        <w:t xml:space="preserve"> </w:t>
      </w:r>
      <w:r>
        <w:rPr>
          <w:lang w:val="en-US"/>
        </w:rPr>
        <w:t>made was to</w:t>
      </w:r>
      <w:r w:rsidR="00A5671E">
        <w:rPr>
          <w:lang w:val="en-US"/>
        </w:rPr>
        <w:t xml:space="preserve"> ensure that the provision</w:t>
      </w:r>
      <w:r>
        <w:rPr>
          <w:lang w:val="en-US"/>
        </w:rPr>
        <w:t xml:space="preserve"> on the duty to cooperate</w:t>
      </w:r>
      <w:r w:rsidR="00A5671E">
        <w:rPr>
          <w:lang w:val="en-US"/>
        </w:rPr>
        <w:t xml:space="preserve"> is fully in line with existing international law, and in particular with articles 1(3) and 55 of the UN Charter: </w:t>
      </w:r>
      <w:r w:rsidR="006445EA">
        <w:rPr>
          <w:lang w:val="en-US"/>
        </w:rPr>
        <w:t>as</w:t>
      </w:r>
      <w:r w:rsidR="00A5671E">
        <w:rPr>
          <w:lang w:val="en-US"/>
        </w:rPr>
        <w:t xml:space="preserve"> </w:t>
      </w:r>
      <w:r w:rsidR="00542134">
        <w:rPr>
          <w:lang w:val="en-US"/>
        </w:rPr>
        <w:t xml:space="preserve">the </w:t>
      </w:r>
      <w:r w:rsidR="00542134" w:rsidRPr="00542134">
        <w:rPr>
          <w:i/>
          <w:iCs/>
          <w:lang w:val="en-US"/>
        </w:rPr>
        <w:t>first paragraph</w:t>
      </w:r>
      <w:r w:rsidR="00A5671E">
        <w:rPr>
          <w:lang w:val="en-US"/>
        </w:rPr>
        <w:t xml:space="preserve"> </w:t>
      </w:r>
      <w:r w:rsidR="00542134">
        <w:rPr>
          <w:lang w:val="en-US"/>
        </w:rPr>
        <w:t xml:space="preserve">of Article </w:t>
      </w:r>
      <w:r w:rsidR="00A5671E">
        <w:rPr>
          <w:lang w:val="en-US"/>
        </w:rPr>
        <w:t>13</w:t>
      </w:r>
      <w:r w:rsidR="006445EA">
        <w:rPr>
          <w:lang w:val="en-US"/>
        </w:rPr>
        <w:t xml:space="preserve"> indicates</w:t>
      </w:r>
      <w:r w:rsidR="00A5671E">
        <w:rPr>
          <w:lang w:val="en-US"/>
        </w:rPr>
        <w:t xml:space="preserve">: the Convention </w:t>
      </w:r>
      <w:r w:rsidR="00A5671E" w:rsidRPr="00A5671E">
        <w:rPr>
          <w:b/>
          <w:bCs/>
          <w:lang w:val="en-US"/>
        </w:rPr>
        <w:t>reaffirms</w:t>
      </w:r>
      <w:r w:rsidR="00A5671E">
        <w:rPr>
          <w:lang w:val="en-US"/>
        </w:rPr>
        <w:t xml:space="preserve"> the duty to cooperate and seeks to foster </w:t>
      </w:r>
      <w:r w:rsidR="00542134">
        <w:rPr>
          <w:lang w:val="en-US"/>
        </w:rPr>
        <w:t xml:space="preserve">its </w:t>
      </w:r>
      <w:r w:rsidR="00A5671E">
        <w:rPr>
          <w:lang w:val="en-US"/>
        </w:rPr>
        <w:t xml:space="preserve">implementation.  </w:t>
      </w:r>
      <w:r w:rsidR="00542134">
        <w:rPr>
          <w:lang w:val="en-US"/>
        </w:rPr>
        <w:t>Some</w:t>
      </w:r>
      <w:r w:rsidR="00A5671E">
        <w:rPr>
          <w:lang w:val="en-US"/>
        </w:rPr>
        <w:t xml:space="preserve"> suggest</w:t>
      </w:r>
      <w:r w:rsidR="00542134">
        <w:rPr>
          <w:lang w:val="en-US"/>
        </w:rPr>
        <w:t>ions</w:t>
      </w:r>
      <w:r w:rsidR="00A5671E">
        <w:rPr>
          <w:lang w:val="en-US"/>
        </w:rPr>
        <w:t xml:space="preserve"> by various States and non-State actors </w:t>
      </w:r>
      <w:r w:rsidR="00542134">
        <w:rPr>
          <w:lang w:val="en-US"/>
        </w:rPr>
        <w:t>adding</w:t>
      </w:r>
      <w:r w:rsidR="00A5671E">
        <w:rPr>
          <w:lang w:val="en-US"/>
        </w:rPr>
        <w:t xml:space="preserve"> to the Charter language </w:t>
      </w:r>
      <w:r w:rsidR="00542134">
        <w:rPr>
          <w:lang w:val="en-US"/>
        </w:rPr>
        <w:t xml:space="preserve">were nevertheless considered helpful to </w:t>
      </w:r>
      <w:r w:rsidR="00A5671E">
        <w:rPr>
          <w:lang w:val="en-US"/>
        </w:rPr>
        <w:t>ensure implementation</w:t>
      </w:r>
      <w:r w:rsidR="00542134">
        <w:rPr>
          <w:lang w:val="en-US"/>
        </w:rPr>
        <w:t xml:space="preserve"> of the duty to cooperate</w:t>
      </w:r>
      <w:r w:rsidR="00A5671E">
        <w:rPr>
          <w:lang w:val="en-US"/>
        </w:rPr>
        <w:t xml:space="preserve"> in an international context that has evolved since 1945</w:t>
      </w:r>
      <w:r w:rsidR="00542134">
        <w:rPr>
          <w:lang w:val="en-US"/>
        </w:rPr>
        <w:t xml:space="preserve"> and therefore retained; in no way do these suggestions appear to go against the intentions of the drafters of the Charter and they should not prove controversial.</w:t>
      </w:r>
    </w:p>
    <w:p w14:paraId="57A77C57" w14:textId="58FCEE78" w:rsidR="00A5671E" w:rsidRDefault="00A5671E" w:rsidP="005E63B2">
      <w:pPr>
        <w:pStyle w:val="SingleTxtG"/>
        <w:rPr>
          <w:lang w:val="en-US"/>
        </w:rPr>
      </w:pPr>
      <w:r>
        <w:rPr>
          <w:lang w:val="en-US"/>
        </w:rPr>
        <w:t xml:space="preserve">Examples of </w:t>
      </w:r>
      <w:r w:rsidR="005E63B2">
        <w:rPr>
          <w:lang w:val="en-US"/>
        </w:rPr>
        <w:t xml:space="preserve">such additions in the </w:t>
      </w:r>
      <w:r w:rsidR="005E63B2" w:rsidRPr="00542134">
        <w:rPr>
          <w:lang w:val="en-US"/>
        </w:rPr>
        <w:t>first paragraph</w:t>
      </w:r>
      <w:r w:rsidR="005E63B2">
        <w:rPr>
          <w:lang w:val="en-US"/>
        </w:rPr>
        <w:t xml:space="preserve"> of Article 13</w:t>
      </w:r>
      <w:r>
        <w:rPr>
          <w:lang w:val="en-US"/>
        </w:rPr>
        <w:t xml:space="preserve"> include the addition of the word ‘technological’ in </w:t>
      </w:r>
      <w:r w:rsidR="005E63B2">
        <w:rPr>
          <w:lang w:val="en-US"/>
        </w:rPr>
        <w:t xml:space="preserve">subpara </w:t>
      </w:r>
      <w:r>
        <w:rPr>
          <w:lang w:val="en-US"/>
        </w:rPr>
        <w:t>a</w:t>
      </w:r>
      <w:r w:rsidR="005E63B2">
        <w:rPr>
          <w:lang w:val="en-US"/>
        </w:rPr>
        <w:t>;</w:t>
      </w:r>
      <w:r>
        <w:rPr>
          <w:lang w:val="en-US"/>
        </w:rPr>
        <w:t xml:space="preserve"> </w:t>
      </w:r>
      <w:r w:rsidR="005E63B2">
        <w:rPr>
          <w:lang w:val="en-US"/>
        </w:rPr>
        <w:t xml:space="preserve">the new b that emphasizes </w:t>
      </w:r>
      <w:r w:rsidR="006445EA">
        <w:rPr>
          <w:lang w:val="en-US"/>
        </w:rPr>
        <w:t>that ending</w:t>
      </w:r>
      <w:r w:rsidR="005E63B2">
        <w:rPr>
          <w:lang w:val="en-US"/>
        </w:rPr>
        <w:t xml:space="preserve"> poverty is a primary goal of international cooperation; </w:t>
      </w:r>
      <w:r w:rsidR="006445EA">
        <w:rPr>
          <w:lang w:val="en-US"/>
        </w:rPr>
        <w:t>similarly, ‘</w:t>
      </w:r>
      <w:r w:rsidR="005E63B2">
        <w:rPr>
          <w:lang w:val="en-US"/>
        </w:rPr>
        <w:t xml:space="preserve">decent work’ </w:t>
      </w:r>
      <w:r w:rsidR="00AE3D16">
        <w:rPr>
          <w:lang w:val="en-US"/>
        </w:rPr>
        <w:t xml:space="preserve">was added </w:t>
      </w:r>
      <w:r w:rsidR="005E63B2">
        <w:rPr>
          <w:lang w:val="en-US"/>
        </w:rPr>
        <w:t>in c</w:t>
      </w:r>
      <w:r w:rsidR="00AE3D16">
        <w:rPr>
          <w:lang w:val="en-US"/>
        </w:rPr>
        <w:t xml:space="preserve"> in recognition of the important international agenda </w:t>
      </w:r>
      <w:r w:rsidR="006445EA">
        <w:rPr>
          <w:lang w:val="en-US"/>
        </w:rPr>
        <w:t>on this issue.</w:t>
      </w:r>
    </w:p>
    <w:p w14:paraId="0C486F92" w14:textId="77777777" w:rsidR="00AE3D16" w:rsidRPr="00AE3D16" w:rsidRDefault="007809D3" w:rsidP="00AE3D16">
      <w:pPr>
        <w:shd w:val="clear" w:color="auto" w:fill="FFFFFF"/>
        <w:spacing w:before="100" w:beforeAutospacing="1" w:after="100" w:afterAutospacing="1" w:line="240" w:lineRule="auto"/>
        <w:ind w:left="1134" w:right="360"/>
        <w:rPr>
          <w:rFonts w:ascii="Helvetica" w:eastAsia="Times New Roman" w:hAnsi="Helvetica" w:cs="Times New Roman"/>
          <w:color w:val="333333"/>
          <w:sz w:val="18"/>
          <w:szCs w:val="18"/>
          <w:lang w:val="en-US" w:eastAsia="nl-BE"/>
        </w:rPr>
      </w:pPr>
      <w:r>
        <w:rPr>
          <w:lang w:val="en-US"/>
        </w:rPr>
        <w:t xml:space="preserve">The </w:t>
      </w:r>
      <w:r w:rsidRPr="006445EA">
        <w:rPr>
          <w:i/>
          <w:iCs/>
          <w:lang w:val="en-US"/>
        </w:rPr>
        <w:t>second paragraph</w:t>
      </w:r>
      <w:r>
        <w:rPr>
          <w:lang w:val="en-US"/>
        </w:rPr>
        <w:t xml:space="preserve"> of Article 13 has remained largely as it was in the previous draft. </w:t>
      </w:r>
    </w:p>
    <w:p w14:paraId="18FAAF4D" w14:textId="37BF9607" w:rsidR="00AE3D16" w:rsidRDefault="007809D3" w:rsidP="00AE3D16">
      <w:pPr>
        <w:shd w:val="clear" w:color="auto" w:fill="FFFFFF"/>
        <w:spacing w:before="100" w:beforeAutospacing="1" w:after="100" w:afterAutospacing="1" w:line="240" w:lineRule="auto"/>
        <w:ind w:left="1134" w:right="360"/>
        <w:rPr>
          <w:lang w:val="en-US"/>
        </w:rPr>
      </w:pPr>
      <w:r>
        <w:rPr>
          <w:lang w:val="en-US"/>
        </w:rPr>
        <w:t xml:space="preserve">In the </w:t>
      </w:r>
      <w:r w:rsidRPr="006445EA">
        <w:rPr>
          <w:i/>
          <w:iCs/>
          <w:lang w:val="en-US"/>
        </w:rPr>
        <w:t>third paragraph</w:t>
      </w:r>
      <w:r>
        <w:rPr>
          <w:lang w:val="en-US"/>
        </w:rPr>
        <w:t xml:space="preserve">, a reference to ‘internationally recognized development cooperation principles’ was added.  The text now reads that financing for development efforts should </w:t>
      </w:r>
      <w:r w:rsidR="006445EA">
        <w:rPr>
          <w:lang w:val="en-US"/>
        </w:rPr>
        <w:t>comply</w:t>
      </w:r>
      <w:r>
        <w:rPr>
          <w:lang w:val="en-US"/>
        </w:rPr>
        <w:t xml:space="preserve"> not only with the Convention but also with international development cooperation principles</w:t>
      </w:r>
      <w:r w:rsidR="00AE3D16">
        <w:rPr>
          <w:lang w:val="en-US"/>
        </w:rPr>
        <w:t>.</w:t>
      </w:r>
    </w:p>
    <w:p w14:paraId="0AEA37BB" w14:textId="6423E354" w:rsidR="007809D3" w:rsidRDefault="007809D3" w:rsidP="00AE3D16">
      <w:pPr>
        <w:shd w:val="clear" w:color="auto" w:fill="FFFFFF"/>
        <w:spacing w:before="100" w:beforeAutospacing="1" w:after="100" w:afterAutospacing="1" w:line="240" w:lineRule="auto"/>
        <w:ind w:left="1134" w:right="360"/>
        <w:rPr>
          <w:rFonts w:ascii="Helvetica" w:eastAsia="Times New Roman" w:hAnsi="Helvetica" w:cs="Times New Roman"/>
          <w:b/>
          <w:bCs/>
          <w:color w:val="333333"/>
          <w:sz w:val="16"/>
          <w:szCs w:val="16"/>
          <w:lang w:val="en-US" w:eastAsia="nl-BE"/>
        </w:rPr>
      </w:pPr>
      <w:r>
        <w:rPr>
          <w:lang w:val="en-US"/>
        </w:rPr>
        <w:t>[</w:t>
      </w:r>
      <w:r w:rsidRPr="007809D3">
        <w:rPr>
          <w:sz w:val="16"/>
          <w:szCs w:val="16"/>
          <w:lang w:val="en-US"/>
        </w:rPr>
        <w:t>such as</w:t>
      </w:r>
      <w:r w:rsidR="00AE3D16">
        <w:rPr>
          <w:sz w:val="16"/>
          <w:szCs w:val="16"/>
          <w:lang w:val="en-US"/>
        </w:rPr>
        <w:t>:</w:t>
      </w:r>
      <w:r w:rsidRPr="007809D3">
        <w:rPr>
          <w:sz w:val="16"/>
          <w:szCs w:val="16"/>
          <w:lang w:val="en-US"/>
        </w:rPr>
        <w:t xml:space="preserve"> </w:t>
      </w:r>
      <w:r w:rsidRPr="007809D3">
        <w:rPr>
          <w:rFonts w:ascii="Helvetica" w:eastAsia="Times New Roman" w:hAnsi="Helvetica" w:cs="Times New Roman"/>
          <w:b/>
          <w:bCs/>
          <w:color w:val="333333"/>
          <w:sz w:val="16"/>
          <w:szCs w:val="16"/>
          <w:lang w:val="en-US" w:eastAsia="nl-BE"/>
        </w:rPr>
        <w:t>Ownership:</w:t>
      </w:r>
      <w:r w:rsidRPr="007809D3">
        <w:rPr>
          <w:rFonts w:ascii="Helvetica" w:eastAsia="Times New Roman" w:hAnsi="Helvetica" w:cs="Times New Roman"/>
          <w:color w:val="333333"/>
          <w:sz w:val="16"/>
          <w:szCs w:val="16"/>
          <w:lang w:val="en-US" w:eastAsia="nl-BE"/>
        </w:rPr>
        <w:t> Developing countries set their own strategies for poverty reduction, improve their institutions and tackle corruption</w:t>
      </w:r>
      <w:r w:rsidRPr="007809D3">
        <w:rPr>
          <w:rFonts w:ascii="Helvetica" w:eastAsia="Times New Roman" w:hAnsi="Helvetica" w:cs="Times New Roman"/>
          <w:color w:val="333333"/>
          <w:sz w:val="16"/>
          <w:szCs w:val="16"/>
          <w:lang w:val="en-US" w:eastAsia="nl-BE"/>
        </w:rPr>
        <w:t xml:space="preserve">; </w:t>
      </w:r>
      <w:r w:rsidRPr="007809D3">
        <w:rPr>
          <w:rFonts w:ascii="Helvetica" w:eastAsia="Times New Roman" w:hAnsi="Helvetica" w:cs="Times New Roman"/>
          <w:b/>
          <w:bCs/>
          <w:color w:val="333333"/>
          <w:sz w:val="16"/>
          <w:szCs w:val="16"/>
          <w:lang w:val="en-US" w:eastAsia="nl-BE"/>
        </w:rPr>
        <w:t>Alignment:</w:t>
      </w:r>
      <w:r w:rsidRPr="007809D3">
        <w:rPr>
          <w:rFonts w:ascii="Helvetica" w:eastAsia="Times New Roman" w:hAnsi="Helvetica" w:cs="Times New Roman"/>
          <w:color w:val="333333"/>
          <w:sz w:val="16"/>
          <w:szCs w:val="16"/>
          <w:lang w:val="en-US" w:eastAsia="nl-BE"/>
        </w:rPr>
        <w:t> Donor countries align behind these objectives and use local systems.</w:t>
      </w:r>
      <w:r w:rsidRPr="007809D3">
        <w:rPr>
          <w:rFonts w:ascii="Helvetica" w:eastAsia="Times New Roman" w:hAnsi="Helvetica" w:cs="Times New Roman"/>
          <w:color w:val="333333"/>
          <w:sz w:val="16"/>
          <w:szCs w:val="16"/>
          <w:lang w:val="en-US" w:eastAsia="nl-BE"/>
        </w:rPr>
        <w:t xml:space="preserve">; </w:t>
      </w:r>
      <w:r w:rsidRPr="007809D3">
        <w:rPr>
          <w:rFonts w:ascii="Helvetica" w:eastAsia="Times New Roman" w:hAnsi="Helvetica" w:cs="Times New Roman"/>
          <w:b/>
          <w:bCs/>
          <w:color w:val="333333"/>
          <w:sz w:val="16"/>
          <w:szCs w:val="16"/>
          <w:lang w:val="en-US" w:eastAsia="nl-BE"/>
        </w:rPr>
        <w:t>Harmonisation:</w:t>
      </w:r>
      <w:r w:rsidRPr="007809D3">
        <w:rPr>
          <w:rFonts w:ascii="Helvetica" w:eastAsia="Times New Roman" w:hAnsi="Helvetica" w:cs="Times New Roman"/>
          <w:color w:val="333333"/>
          <w:sz w:val="16"/>
          <w:szCs w:val="16"/>
          <w:lang w:val="en-US" w:eastAsia="nl-BE"/>
        </w:rPr>
        <w:t> Donor countries coordinate, simplify procedures and share information to avoid duplication.</w:t>
      </w:r>
      <w:r w:rsidRPr="007809D3">
        <w:rPr>
          <w:rFonts w:ascii="Helvetica" w:eastAsia="Times New Roman" w:hAnsi="Helvetica" w:cs="Times New Roman"/>
          <w:color w:val="333333"/>
          <w:sz w:val="16"/>
          <w:szCs w:val="16"/>
          <w:lang w:val="en-US" w:eastAsia="nl-BE"/>
        </w:rPr>
        <w:t xml:space="preserve">; </w:t>
      </w:r>
      <w:r w:rsidRPr="007809D3">
        <w:rPr>
          <w:rFonts w:ascii="Helvetica" w:eastAsia="Times New Roman" w:hAnsi="Helvetica" w:cs="Times New Roman"/>
          <w:b/>
          <w:bCs/>
          <w:color w:val="333333"/>
          <w:sz w:val="16"/>
          <w:szCs w:val="16"/>
          <w:lang w:val="en-US" w:eastAsia="nl-BE"/>
        </w:rPr>
        <w:t>Results:</w:t>
      </w:r>
      <w:r w:rsidRPr="007809D3">
        <w:rPr>
          <w:rFonts w:ascii="Helvetica" w:eastAsia="Times New Roman" w:hAnsi="Helvetica" w:cs="Times New Roman"/>
          <w:color w:val="333333"/>
          <w:sz w:val="16"/>
          <w:szCs w:val="16"/>
          <w:lang w:val="en-US" w:eastAsia="nl-BE"/>
        </w:rPr>
        <w:t> Developing countries and donors shift focus to development results and results get measured</w:t>
      </w:r>
      <w:r w:rsidRPr="007809D3">
        <w:rPr>
          <w:rFonts w:ascii="Helvetica" w:eastAsia="Times New Roman" w:hAnsi="Helvetica" w:cs="Times New Roman"/>
          <w:color w:val="333333"/>
          <w:sz w:val="16"/>
          <w:szCs w:val="16"/>
          <w:lang w:val="en-US" w:eastAsia="nl-BE"/>
        </w:rPr>
        <w:t>;</w:t>
      </w:r>
      <w:r w:rsidRPr="007809D3">
        <w:rPr>
          <w:rFonts w:ascii="Helvetica" w:eastAsia="Times New Roman" w:hAnsi="Helvetica" w:cs="Times New Roman"/>
          <w:b/>
          <w:bCs/>
          <w:color w:val="333333"/>
          <w:sz w:val="16"/>
          <w:szCs w:val="16"/>
          <w:lang w:val="en-US" w:eastAsia="nl-BE"/>
        </w:rPr>
        <w:t> Mutual</w:t>
      </w:r>
      <w:r w:rsidRPr="007809D3">
        <w:rPr>
          <w:rFonts w:ascii="Helvetica" w:eastAsia="Times New Roman" w:hAnsi="Helvetica" w:cs="Times New Roman"/>
          <w:color w:val="333333"/>
          <w:sz w:val="16"/>
          <w:szCs w:val="16"/>
          <w:lang w:val="en-US" w:eastAsia="nl-BE"/>
        </w:rPr>
        <w:t> </w:t>
      </w:r>
      <w:r w:rsidRPr="007809D3">
        <w:rPr>
          <w:rFonts w:ascii="Helvetica" w:eastAsia="Times New Roman" w:hAnsi="Helvetica" w:cs="Times New Roman"/>
          <w:b/>
          <w:bCs/>
          <w:color w:val="333333"/>
          <w:sz w:val="16"/>
          <w:szCs w:val="16"/>
          <w:lang w:val="en-US" w:eastAsia="nl-BE"/>
        </w:rPr>
        <w:t>accountability</w:t>
      </w:r>
      <w:r w:rsidRPr="007809D3">
        <w:rPr>
          <w:rFonts w:ascii="Helvetica" w:eastAsia="Times New Roman" w:hAnsi="Helvetica" w:cs="Times New Roman"/>
          <w:b/>
          <w:bCs/>
          <w:color w:val="333333"/>
          <w:sz w:val="16"/>
          <w:szCs w:val="16"/>
          <w:lang w:val="en-US" w:eastAsia="nl-BE"/>
        </w:rPr>
        <w:t>]</w:t>
      </w:r>
    </w:p>
    <w:p w14:paraId="72BFCF5B" w14:textId="231E063F" w:rsidR="00AE3D16" w:rsidRDefault="00AE3D16" w:rsidP="00AE3D16">
      <w:pPr>
        <w:pStyle w:val="SingleTxtG"/>
        <w:ind w:right="0"/>
        <w:rPr>
          <w:lang w:val="en-US"/>
        </w:rPr>
      </w:pPr>
      <w:r w:rsidRPr="00AE3D16">
        <w:rPr>
          <w:rFonts w:ascii="Calibri" w:eastAsia="Times New Roman" w:hAnsi="Calibri" w:cs="Calibri"/>
          <w:color w:val="333333"/>
          <w:lang w:val="en-US" w:eastAsia="nl-BE"/>
        </w:rPr>
        <w:t xml:space="preserve">As to </w:t>
      </w:r>
      <w:r w:rsidR="006445EA">
        <w:rPr>
          <w:rFonts w:ascii="Calibri" w:eastAsia="Times New Roman" w:hAnsi="Calibri" w:cs="Calibri"/>
          <w:color w:val="333333"/>
          <w:lang w:val="en-US" w:eastAsia="nl-BE"/>
        </w:rPr>
        <w:t xml:space="preserve">the </w:t>
      </w:r>
      <w:r w:rsidR="006445EA" w:rsidRPr="006445EA">
        <w:rPr>
          <w:rFonts w:ascii="Calibri" w:eastAsia="Times New Roman" w:hAnsi="Calibri" w:cs="Calibri"/>
          <w:i/>
          <w:iCs/>
          <w:color w:val="333333"/>
          <w:lang w:val="en-US" w:eastAsia="nl-BE"/>
        </w:rPr>
        <w:t xml:space="preserve">fourth </w:t>
      </w:r>
      <w:r w:rsidRPr="006445EA">
        <w:rPr>
          <w:rFonts w:ascii="Calibri" w:eastAsia="Times New Roman" w:hAnsi="Calibri" w:cs="Calibri"/>
          <w:i/>
          <w:iCs/>
          <w:color w:val="333333"/>
          <w:lang w:val="en-US" w:eastAsia="nl-BE"/>
        </w:rPr>
        <w:t>paragraph</w:t>
      </w:r>
      <w:r>
        <w:rPr>
          <w:rFonts w:ascii="Calibri" w:eastAsia="Times New Roman" w:hAnsi="Calibri" w:cs="Calibri"/>
          <w:color w:val="333333"/>
          <w:lang w:val="en-US" w:eastAsia="nl-BE"/>
        </w:rPr>
        <w:t>,</w:t>
      </w:r>
      <w:r w:rsidRPr="00AE3D16">
        <w:rPr>
          <w:lang w:val="en-GB"/>
        </w:rPr>
        <w:t xml:space="preserve"> </w:t>
      </w:r>
      <w:r w:rsidR="006445EA">
        <w:rPr>
          <w:lang w:val="en-GB"/>
        </w:rPr>
        <w:t>t</w:t>
      </w:r>
      <w:r>
        <w:rPr>
          <w:lang w:val="en-GB"/>
        </w:rPr>
        <w:t xml:space="preserve">he commentaries to the </w:t>
      </w:r>
      <w:r>
        <w:rPr>
          <w:lang w:val="en-GB"/>
        </w:rPr>
        <w:t>initial</w:t>
      </w:r>
      <w:r>
        <w:rPr>
          <w:lang w:val="en-GB"/>
        </w:rPr>
        <w:t xml:space="preserve"> </w:t>
      </w:r>
      <w:r>
        <w:rPr>
          <w:lang w:val="en-GB"/>
        </w:rPr>
        <w:t>d</w:t>
      </w:r>
      <w:r>
        <w:rPr>
          <w:lang w:val="en-GB"/>
        </w:rPr>
        <w:t>raft</w:t>
      </w:r>
      <w:r w:rsidR="00AC36B3">
        <w:rPr>
          <w:lang w:val="en-GB"/>
        </w:rPr>
        <w:t xml:space="preserve"> </w:t>
      </w:r>
      <w:r>
        <w:rPr>
          <w:lang w:val="en-GB"/>
        </w:rPr>
        <w:t xml:space="preserve">pointed out that the words </w:t>
      </w:r>
      <w:r w:rsidR="00AC36B3">
        <w:rPr>
          <w:lang w:val="en-GB"/>
        </w:rPr>
        <w:t>used</w:t>
      </w:r>
      <w:r>
        <w:rPr>
          <w:lang w:val="en-GB"/>
        </w:rPr>
        <w:t xml:space="preserve"> in </w:t>
      </w:r>
      <w:r w:rsidRPr="00E93875">
        <w:rPr>
          <w:lang w:val="en-US"/>
        </w:rPr>
        <w:t>the</w:t>
      </w:r>
      <w:r>
        <w:rPr>
          <w:lang w:val="en-US"/>
        </w:rPr>
        <w:t xml:space="preserve"> </w:t>
      </w:r>
      <w:r w:rsidRPr="00E93875">
        <w:rPr>
          <w:lang w:val="en-US"/>
        </w:rPr>
        <w:t xml:space="preserve">sub-paragraphs </w:t>
      </w:r>
      <w:r w:rsidR="006445EA">
        <w:rPr>
          <w:lang w:val="en-US"/>
        </w:rPr>
        <w:t>are</w:t>
      </w:r>
      <w:r w:rsidR="006445EA" w:rsidRPr="00E93875">
        <w:rPr>
          <w:lang w:val="en-US"/>
        </w:rPr>
        <w:t xml:space="preserve"> a</w:t>
      </w:r>
      <w:r>
        <w:rPr>
          <w:lang w:val="en-US"/>
        </w:rPr>
        <w:t xml:space="preserve"> </w:t>
      </w:r>
      <w:r w:rsidRPr="00E93875">
        <w:rPr>
          <w:i/>
          <w:iCs/>
          <w:lang w:val="en-US"/>
        </w:rPr>
        <w:t xml:space="preserve">verbatim </w:t>
      </w:r>
      <w:r w:rsidRPr="00E93875">
        <w:rPr>
          <w:lang w:val="en-US"/>
        </w:rPr>
        <w:t xml:space="preserve">reproduction of the consensually agreed text of the 2030 Agenda. </w:t>
      </w:r>
      <w:r w:rsidR="00AC36B3">
        <w:rPr>
          <w:lang w:val="en-US"/>
        </w:rPr>
        <w:t>N</w:t>
      </w:r>
      <w:r w:rsidRPr="00E93875">
        <w:rPr>
          <w:lang w:val="en-US"/>
        </w:rPr>
        <w:t>one of these sub-paragraphs constitute new obligations on States. Their inclusion in the draft convention merely alludes to the fact that operationalizing the right to development for realizing the 2030 Agenda, as with any development agenda at the international level, inheres the duty to cooperate.</w:t>
      </w:r>
      <w:r>
        <w:rPr>
          <w:lang w:val="en-US"/>
        </w:rPr>
        <w:t xml:space="preserve"> As such, the Expert Drafting Group does not recommend modifying the language employed in these sub-paragraphs, unless they help strengthen the provisions substantially. </w:t>
      </w:r>
    </w:p>
    <w:p w14:paraId="0A088556" w14:textId="68D2880A" w:rsidR="00AE3D16" w:rsidRDefault="00AE3D16" w:rsidP="00AE3D16">
      <w:pPr>
        <w:pStyle w:val="SingleTxtG"/>
        <w:ind w:right="0"/>
        <w:rPr>
          <w:lang w:val="en-US"/>
        </w:rPr>
      </w:pPr>
      <w:r>
        <w:rPr>
          <w:lang w:val="en-US"/>
        </w:rPr>
        <w:t xml:space="preserve">In subpara </w:t>
      </w:r>
      <w:r w:rsidR="006445EA">
        <w:rPr>
          <w:lang w:val="en-US"/>
        </w:rPr>
        <w:t>the</w:t>
      </w:r>
      <w:r>
        <w:rPr>
          <w:lang w:val="en-US"/>
        </w:rPr>
        <w:t xml:space="preserve"> words ‘transparent’ and ‘inclusive’ were added as additional requirements of the multilateral trading system (essentially</w:t>
      </w:r>
      <w:r w:rsidR="00AC36B3">
        <w:rPr>
          <w:lang w:val="en-US"/>
        </w:rPr>
        <w:t xml:space="preserve"> consisting </w:t>
      </w:r>
      <w:r>
        <w:rPr>
          <w:lang w:val="en-US"/>
        </w:rPr>
        <w:t xml:space="preserve"> today </w:t>
      </w:r>
      <w:r w:rsidR="00AC36B3">
        <w:rPr>
          <w:lang w:val="en-US"/>
        </w:rPr>
        <w:t xml:space="preserve">of </w:t>
      </w:r>
      <w:r>
        <w:rPr>
          <w:lang w:val="en-US"/>
        </w:rPr>
        <w:t>the WTO)</w:t>
      </w:r>
    </w:p>
    <w:p w14:paraId="6779E32F" w14:textId="4F7D218D" w:rsidR="00FD727E" w:rsidRDefault="00FD727E" w:rsidP="00AE3D16">
      <w:pPr>
        <w:pStyle w:val="SingleTxtG"/>
        <w:ind w:right="0"/>
        <w:rPr>
          <w:lang w:val="en-US"/>
        </w:rPr>
      </w:pPr>
      <w:r>
        <w:rPr>
          <w:lang w:val="en-US"/>
        </w:rPr>
        <w:t>In subparas b</w:t>
      </w:r>
      <w:r w:rsidR="00AC36B3">
        <w:rPr>
          <w:lang w:val="en-US"/>
        </w:rPr>
        <w:t xml:space="preserve">, </w:t>
      </w:r>
      <w:r>
        <w:rPr>
          <w:lang w:val="en-US"/>
        </w:rPr>
        <w:t>d and e references to least developed countries were added, emphasizing the importance of fully reflecting their needs in the draft Convention.</w:t>
      </w:r>
    </w:p>
    <w:p w14:paraId="18357D8A" w14:textId="224B4762" w:rsidR="00FD727E" w:rsidRDefault="00FD727E" w:rsidP="00AE3D16">
      <w:pPr>
        <w:pStyle w:val="SingleTxtG"/>
        <w:ind w:right="0"/>
        <w:rPr>
          <w:lang w:val="en-US"/>
        </w:rPr>
      </w:pPr>
      <w:r>
        <w:rPr>
          <w:lang w:val="en-US"/>
        </w:rPr>
        <w:t>As compared to the previous draft</w:t>
      </w:r>
      <w:r w:rsidR="00A06017">
        <w:rPr>
          <w:lang w:val="en-US"/>
        </w:rPr>
        <w:t xml:space="preserve">, </w:t>
      </w:r>
      <w:r w:rsidR="006445EA">
        <w:rPr>
          <w:lang w:val="en-US"/>
        </w:rPr>
        <w:t>a few</w:t>
      </w:r>
      <w:r w:rsidR="00A06017">
        <w:rPr>
          <w:lang w:val="en-US"/>
        </w:rPr>
        <w:t xml:space="preserve"> paragraphs were added:</w:t>
      </w:r>
    </w:p>
    <w:p w14:paraId="38CD1DE1" w14:textId="03D75D8C" w:rsidR="00A06017" w:rsidRDefault="006445EA" w:rsidP="00A06017">
      <w:pPr>
        <w:pStyle w:val="SingleTxtG"/>
        <w:numPr>
          <w:ilvl w:val="0"/>
          <w:numId w:val="3"/>
        </w:numPr>
        <w:ind w:right="0"/>
        <w:rPr>
          <w:lang w:val="en-US"/>
        </w:rPr>
      </w:pPr>
      <w:r w:rsidRPr="00A06017">
        <w:rPr>
          <w:lang w:val="en-US"/>
        </w:rPr>
        <w:t>Subpara e</w:t>
      </w:r>
      <w:r w:rsidR="00A06017" w:rsidRPr="00A06017">
        <w:rPr>
          <w:lang w:val="en-US"/>
        </w:rPr>
        <w:t xml:space="preserve"> on support to </w:t>
      </w:r>
      <w:r w:rsidR="00A06017">
        <w:rPr>
          <w:lang w:val="en-US"/>
        </w:rPr>
        <w:t>enhancing capacity on disaggregated data collection;</w:t>
      </w:r>
    </w:p>
    <w:p w14:paraId="0A785539" w14:textId="79032EF0" w:rsidR="00A06017" w:rsidRDefault="00A06017" w:rsidP="00A06017">
      <w:pPr>
        <w:pStyle w:val="SingleTxtG"/>
        <w:numPr>
          <w:ilvl w:val="0"/>
          <w:numId w:val="3"/>
        </w:numPr>
        <w:ind w:right="0"/>
        <w:rPr>
          <w:lang w:val="en-US"/>
        </w:rPr>
      </w:pPr>
      <w:r>
        <w:rPr>
          <w:lang w:val="en-US"/>
        </w:rPr>
        <w:t>Subpara h on the duty to cooperate on tackling climate change</w:t>
      </w:r>
    </w:p>
    <w:p w14:paraId="0A2C9B1C" w14:textId="26A18AD8" w:rsidR="00A06017" w:rsidRDefault="00A06017" w:rsidP="00A06017">
      <w:pPr>
        <w:pStyle w:val="SingleTxtG"/>
        <w:numPr>
          <w:ilvl w:val="0"/>
          <w:numId w:val="3"/>
        </w:numPr>
        <w:ind w:right="0"/>
        <w:rPr>
          <w:lang w:val="fr-FR"/>
        </w:rPr>
      </w:pPr>
      <w:r w:rsidRPr="00A06017">
        <w:rPr>
          <w:lang w:val="fr-FR"/>
        </w:rPr>
        <w:lastRenderedPageBreak/>
        <w:t>Subpara j on illicit f</w:t>
      </w:r>
      <w:r>
        <w:rPr>
          <w:lang w:val="fr-FR"/>
        </w:rPr>
        <w:t>inancial flows</w:t>
      </w:r>
    </w:p>
    <w:p w14:paraId="1E58543E" w14:textId="7B955B2C" w:rsidR="00A06017" w:rsidRDefault="00A06017" w:rsidP="00A06017">
      <w:pPr>
        <w:pStyle w:val="SingleTxtG"/>
        <w:numPr>
          <w:ilvl w:val="0"/>
          <w:numId w:val="3"/>
        </w:numPr>
        <w:ind w:right="0"/>
        <w:rPr>
          <w:lang w:val="en-US"/>
        </w:rPr>
      </w:pPr>
      <w:r w:rsidRPr="00A06017">
        <w:rPr>
          <w:lang w:val="en-US"/>
        </w:rPr>
        <w:t>Subpara k on debt s</w:t>
      </w:r>
      <w:r>
        <w:rPr>
          <w:lang w:val="en-US"/>
        </w:rPr>
        <w:t>ustainability.</w:t>
      </w:r>
    </w:p>
    <w:p w14:paraId="2BD7A610" w14:textId="2616A882" w:rsidR="00933247" w:rsidRDefault="00933247" w:rsidP="00933247">
      <w:pPr>
        <w:pStyle w:val="SingleTxtG"/>
        <w:ind w:right="0"/>
        <w:rPr>
          <w:lang w:val="en-US"/>
        </w:rPr>
      </w:pPr>
      <w:r>
        <w:rPr>
          <w:lang w:val="en-US"/>
        </w:rPr>
        <w:t>The language used in these provisions was taken from previously agreed international instruments, primarily again the 2030 Agenda.</w:t>
      </w:r>
    </w:p>
    <w:p w14:paraId="4E4B5952" w14:textId="3BAE6D51" w:rsidR="00933247" w:rsidRDefault="00933247" w:rsidP="00933247">
      <w:pPr>
        <w:pStyle w:val="SingleTxtG"/>
        <w:ind w:right="0"/>
        <w:rPr>
          <w:lang w:val="en-US"/>
        </w:rPr>
      </w:pPr>
    </w:p>
    <w:p w14:paraId="07C4FCB8" w14:textId="1F4D5553" w:rsidR="00137AB2" w:rsidRPr="00137AB2" w:rsidRDefault="00933247" w:rsidP="00137AB2">
      <w:pPr>
        <w:pStyle w:val="SingleTxtG"/>
        <w:ind w:right="0"/>
        <w:rPr>
          <w:b/>
          <w:bCs/>
          <w:lang w:val="en-US"/>
        </w:rPr>
      </w:pPr>
      <w:r w:rsidRPr="00933247">
        <w:rPr>
          <w:b/>
          <w:bCs/>
          <w:lang w:val="en-US"/>
        </w:rPr>
        <w:t>Article 14</w:t>
      </w:r>
      <w:r>
        <w:rPr>
          <w:b/>
          <w:bCs/>
          <w:lang w:val="en-US"/>
        </w:rPr>
        <w:t xml:space="preserve"> Coercive Measures</w:t>
      </w:r>
    </w:p>
    <w:p w14:paraId="71DF3F22" w14:textId="74F88460" w:rsidR="00137AB2" w:rsidRPr="00137AB2" w:rsidRDefault="00137AB2" w:rsidP="00137AB2">
      <w:pPr>
        <w:pStyle w:val="SingleTxtG"/>
        <w:ind w:right="0"/>
        <w:rPr>
          <w:lang w:val="en-US"/>
        </w:rPr>
      </w:pPr>
      <w:r w:rsidRPr="00137AB2">
        <w:rPr>
          <w:lang w:val="en-US"/>
        </w:rPr>
        <w:t>The te</w:t>
      </w:r>
      <w:r>
        <w:rPr>
          <w:lang w:val="en-US"/>
        </w:rPr>
        <w:t xml:space="preserve">xt </w:t>
      </w:r>
      <w:r w:rsidRPr="00137AB2">
        <w:rPr>
          <w:lang w:val="en-US"/>
        </w:rPr>
        <w:t>of Article 14 h</w:t>
      </w:r>
      <w:r>
        <w:rPr>
          <w:lang w:val="en-US"/>
        </w:rPr>
        <w:t xml:space="preserve">as </w:t>
      </w:r>
      <w:r w:rsidR="006445EA">
        <w:rPr>
          <w:lang w:val="en-US"/>
        </w:rPr>
        <w:t>remained as</w:t>
      </w:r>
      <w:r>
        <w:rPr>
          <w:lang w:val="en-US"/>
        </w:rPr>
        <w:t xml:space="preserve"> it was in the initial draft of the Convention, although some suggestions were made to add elements to it.</w:t>
      </w:r>
    </w:p>
    <w:p w14:paraId="4CCEE336" w14:textId="74CF0EF7" w:rsidR="00137AB2" w:rsidRDefault="00137AB2" w:rsidP="00137AB2">
      <w:pPr>
        <w:pStyle w:val="SingleTxtG"/>
        <w:ind w:right="0"/>
        <w:rPr>
          <w:lang w:val="en-US"/>
        </w:rPr>
      </w:pPr>
      <w:r w:rsidRPr="005534DE">
        <w:t xml:space="preserve">As explained in the commentaries to the </w:t>
      </w:r>
      <w:r>
        <w:rPr>
          <w:lang w:val="en-US"/>
        </w:rPr>
        <w:t xml:space="preserve">first draft </w:t>
      </w:r>
      <w:r w:rsidRPr="005534DE">
        <w:t xml:space="preserve">in view of the fact that discussions on the </w:t>
      </w:r>
      <w:r w:rsidRPr="00E93875">
        <w:t xml:space="preserve">precise elements </w:t>
      </w:r>
      <w:r w:rsidRPr="004716F8">
        <w:rPr>
          <w:lang w:val="en-US"/>
        </w:rPr>
        <w:t>of “unilateral coercive measures” are</w:t>
      </w:r>
      <w:r w:rsidRPr="00E93875">
        <w:t xml:space="preserve"> a work in progress</w:t>
      </w:r>
      <w:r w:rsidRPr="004716F8">
        <w:rPr>
          <w:lang w:val="en-US"/>
        </w:rPr>
        <w:t xml:space="preserve">, and to ensure coverage of all illegal coercive measures whether unilateral or by two or more States collectively, </w:t>
      </w:r>
      <w:r w:rsidRPr="00E93875">
        <w:t xml:space="preserve">it is best to rely on agreed and long-established language. </w:t>
      </w:r>
      <w:r w:rsidRPr="004716F8">
        <w:rPr>
          <w:lang w:val="en-US"/>
        </w:rPr>
        <w:t>As such, this paragraph</w:t>
      </w:r>
      <w:r w:rsidRPr="00E93875">
        <w:t xml:space="preserve"> incorporates </w:t>
      </w:r>
      <w:r w:rsidRPr="004716F8">
        <w:rPr>
          <w:i/>
          <w:iCs/>
        </w:rPr>
        <w:t xml:space="preserve">verbatim </w:t>
      </w:r>
      <w:r w:rsidRPr="00E93875">
        <w:t xml:space="preserve">the most well-known articulation of the principle as enshrined in the </w:t>
      </w:r>
      <w:r w:rsidRPr="004716F8">
        <w:rPr>
          <w:lang w:val="en-US"/>
        </w:rPr>
        <w:t xml:space="preserve">UN Declaration on Principles of International Law Concerning Friendly Relations and Cooperation among States in accordance with the Charter of the United Nations, adopted by the UNGA in resolution 2625 (XXV) of 1970. This declaration recognizes fundamental principles firmly embedded in international law and are as such indisputable and not subject to controversy. The </w:t>
      </w:r>
      <w:r>
        <w:rPr>
          <w:lang w:val="en-US"/>
        </w:rPr>
        <w:t>Expert Drafting Group</w:t>
      </w:r>
      <w:r w:rsidRPr="004716F8">
        <w:rPr>
          <w:lang w:val="en-US"/>
        </w:rPr>
        <w:t xml:space="preserve"> therefore strongly recommends retaining the language as it is and bypassing all current efforts at defining “unilateral coercive measures”.</w:t>
      </w:r>
    </w:p>
    <w:p w14:paraId="467E1450" w14:textId="6DDE2131" w:rsidR="00137AB2" w:rsidRPr="00137AB2" w:rsidRDefault="00137AB2" w:rsidP="00137AB2">
      <w:pPr>
        <w:pStyle w:val="SingleTxtG"/>
        <w:ind w:right="0"/>
        <w:rPr>
          <w:b/>
          <w:bCs/>
          <w:lang w:val="en-US"/>
        </w:rPr>
      </w:pPr>
    </w:p>
    <w:p w14:paraId="7DAC56B9" w14:textId="6052B3CF" w:rsidR="00137AB2" w:rsidRDefault="00137AB2" w:rsidP="00137AB2">
      <w:pPr>
        <w:pStyle w:val="SingleTxtG"/>
        <w:ind w:right="0"/>
        <w:rPr>
          <w:b/>
          <w:bCs/>
          <w:lang w:val="en-US"/>
        </w:rPr>
      </w:pPr>
      <w:r w:rsidRPr="00137AB2">
        <w:rPr>
          <w:b/>
          <w:bCs/>
          <w:lang w:val="en-US"/>
        </w:rPr>
        <w:t>Article 15 Specific and remedial measures</w:t>
      </w:r>
    </w:p>
    <w:p w14:paraId="5FC907E7" w14:textId="3E4124DA" w:rsidR="00AD44E4" w:rsidRDefault="00AD44E4" w:rsidP="00137AB2">
      <w:pPr>
        <w:pStyle w:val="SingleTxtG"/>
        <w:ind w:right="0"/>
        <w:rPr>
          <w:b/>
          <w:bCs/>
          <w:lang w:val="en-US"/>
        </w:rPr>
      </w:pPr>
    </w:p>
    <w:p w14:paraId="342C306F" w14:textId="0AAD81AB" w:rsidR="00AD44E4" w:rsidRDefault="00AD44E4" w:rsidP="00AD44E4">
      <w:pPr>
        <w:pStyle w:val="SingleTxtG"/>
        <w:ind w:right="0"/>
        <w:rPr>
          <w:lang w:val="en-US"/>
        </w:rPr>
      </w:pPr>
      <w:r>
        <w:rPr>
          <w:lang w:val="en-US"/>
        </w:rPr>
        <w:t xml:space="preserve">The heading of Article 15 now reads ‘Specific and remedial measures’ in stead of ‘Special measures’. </w:t>
      </w:r>
      <w:r w:rsidRPr="00E93875">
        <w:t>CRPD uses the term “specific measures”.</w:t>
      </w:r>
      <w:r w:rsidR="00DE352C" w:rsidRPr="00E93875">
        <w:t xml:space="preserve"> </w:t>
      </w:r>
      <w:r w:rsidRPr="00E93875">
        <w:t>None of the core human rights treaties uses the terms “remedial measures”. However, the title of draft article 15 introduces this term in addition to the commonly used “special measures” to indicate that while some right-holders and States may need “special measures” due to situations not necessarily resulting from denials of their rights or other injustices (for instance, children that are vulnerable owing to their age, or States that are vulnerable to natural hazards), some do need measures aimed at remedying historical injustices or marginalization (for instance, indigenous peoples, afro-descendants, or least developed countries with a colonial past). The essence of the right to development is that development is not a charity but a right. As such, measures which are aimed at providing assistance to those who have been denied their abilities to enjoy or realize the right to development ought not to be treated only as “special measures”, but as something they are entitled to as a matter of right. This is captured by the term “remedial measures”.</w:t>
      </w:r>
      <w:r>
        <w:rPr>
          <w:lang w:val="en-US"/>
        </w:rPr>
        <w:t xml:space="preserve"> As such, the Expert Drafting Group recommends </w:t>
      </w:r>
      <w:r>
        <w:rPr>
          <w:lang w:val="en-US"/>
        </w:rPr>
        <w:t>the current title.</w:t>
      </w:r>
    </w:p>
    <w:p w14:paraId="5644AA4E" w14:textId="77777777" w:rsidR="00385A60" w:rsidRDefault="00385A60" w:rsidP="00385A60">
      <w:pPr>
        <w:pStyle w:val="SingleTxtG"/>
        <w:ind w:left="747" w:right="0"/>
        <w:rPr>
          <w:lang w:val="en-GB"/>
        </w:rPr>
      </w:pPr>
    </w:p>
    <w:p w14:paraId="6F70BA1A" w14:textId="68AD44AC" w:rsidR="00385A60" w:rsidRDefault="00385A60" w:rsidP="00385A60">
      <w:pPr>
        <w:pStyle w:val="SingleTxtG"/>
        <w:ind w:right="0"/>
        <w:rPr>
          <w:lang w:val="en-GB"/>
        </w:rPr>
      </w:pPr>
      <w:r>
        <w:rPr>
          <w:lang w:val="en-GB"/>
        </w:rPr>
        <w:t xml:space="preserve">A </w:t>
      </w:r>
      <w:r w:rsidRPr="003978B6">
        <w:rPr>
          <w:lang w:val="en-GB"/>
        </w:rPr>
        <w:t xml:space="preserve">number of respondents recommended more specificity in the text of </w:t>
      </w:r>
      <w:r>
        <w:rPr>
          <w:lang w:val="en-GB"/>
        </w:rPr>
        <w:t>first</w:t>
      </w:r>
      <w:r w:rsidRPr="003978B6">
        <w:rPr>
          <w:lang w:val="en-GB"/>
        </w:rPr>
        <w:t xml:space="preserve"> paragraph</w:t>
      </w:r>
      <w:r>
        <w:rPr>
          <w:lang w:val="en-GB"/>
        </w:rPr>
        <w:t xml:space="preserve"> of Article 15.</w:t>
      </w:r>
      <w:r w:rsidRPr="00385A60">
        <w:rPr>
          <w:lang w:val="en-GB"/>
        </w:rPr>
        <w:t xml:space="preserve"> </w:t>
      </w:r>
      <w:r>
        <w:rPr>
          <w:lang w:val="en-GB"/>
        </w:rPr>
        <w:t xml:space="preserve">The Expert Drafting Group </w:t>
      </w:r>
      <w:r>
        <w:rPr>
          <w:lang w:val="en-GB"/>
        </w:rPr>
        <w:t xml:space="preserve">attempted a revision of the text in response, </w:t>
      </w:r>
      <w:r>
        <w:rPr>
          <w:lang w:val="en-GB"/>
        </w:rPr>
        <w:t>using the language of draft article 8(1) which enlists a number of grounds for discrimination that must be prohibited. It suggests retaining the broad words “marginalization and vulnerability” but qualifying those with the forms of discrimination in draft article 8(1). It also accept</w:t>
      </w:r>
      <w:r>
        <w:rPr>
          <w:lang w:val="en-GB"/>
        </w:rPr>
        <w:t>ed</w:t>
      </w:r>
      <w:r>
        <w:rPr>
          <w:lang w:val="en-GB"/>
        </w:rPr>
        <w:t xml:space="preserve"> the recommendation for inclusion of “human rights defenders”. </w:t>
      </w:r>
      <w:r w:rsidRPr="005A50E6">
        <w:rPr>
          <w:lang w:val="en-GB"/>
        </w:rPr>
        <w:t xml:space="preserve"> </w:t>
      </w:r>
    </w:p>
    <w:p w14:paraId="5A305FC9" w14:textId="168BA8DB" w:rsidR="00385A60" w:rsidRPr="005A50E6" w:rsidRDefault="00385A60" w:rsidP="00385A60">
      <w:pPr>
        <w:pStyle w:val="SingleTxtG"/>
        <w:ind w:right="0"/>
        <w:rPr>
          <w:lang w:val="en-GB"/>
        </w:rPr>
      </w:pPr>
      <w:r>
        <w:rPr>
          <w:lang w:val="en-GB"/>
        </w:rPr>
        <w:lastRenderedPageBreak/>
        <w:t>In the second paragraph, the reference to ‘vulnerable States’ was deleted (due to its legal ambiguity) and a reference to ‘least developed countries’ added.</w:t>
      </w:r>
    </w:p>
    <w:p w14:paraId="047916DA" w14:textId="64A20F2E" w:rsidR="005E63B2" w:rsidRDefault="005E63B2" w:rsidP="00385A60">
      <w:pPr>
        <w:pStyle w:val="SingleTxtG"/>
        <w:ind w:right="0"/>
        <w:rPr>
          <w:lang w:val="en-US"/>
        </w:rPr>
      </w:pPr>
      <w:r>
        <w:rPr>
          <w:lang w:val="en-US"/>
        </w:rPr>
        <w:t xml:space="preserve">I have not dealt with all </w:t>
      </w:r>
      <w:r w:rsidR="00385A60">
        <w:rPr>
          <w:lang w:val="en-US"/>
        </w:rPr>
        <w:t xml:space="preserve">revisions or </w:t>
      </w:r>
      <w:r w:rsidR="00775F25">
        <w:rPr>
          <w:lang w:val="en-US"/>
        </w:rPr>
        <w:t>proposals</w:t>
      </w:r>
      <w:r>
        <w:rPr>
          <w:lang w:val="en-US"/>
        </w:rPr>
        <w:t xml:space="preserve"> in this oral statement, but</w:t>
      </w:r>
      <w:r w:rsidR="00385A60">
        <w:rPr>
          <w:lang w:val="en-US"/>
        </w:rPr>
        <w:t xml:space="preserve"> hope to have covered the main changes, and am open</w:t>
      </w:r>
      <w:r>
        <w:rPr>
          <w:lang w:val="en-US"/>
        </w:rPr>
        <w:t xml:space="preserve"> to offer further clarification</w:t>
      </w:r>
      <w:r w:rsidR="00DE352C">
        <w:rPr>
          <w:lang w:val="en-US"/>
        </w:rPr>
        <w:t xml:space="preserve"> </w:t>
      </w:r>
      <w:r w:rsidR="00385A60">
        <w:rPr>
          <w:lang w:val="en-US"/>
        </w:rPr>
        <w:t>during</w:t>
      </w:r>
      <w:r>
        <w:rPr>
          <w:lang w:val="en-US"/>
        </w:rPr>
        <w:t xml:space="preserve"> the Q&amp;A session.</w:t>
      </w:r>
    </w:p>
    <w:p w14:paraId="382D3EE3" w14:textId="14A8720A" w:rsidR="00DE352C" w:rsidRPr="00385A60" w:rsidRDefault="00DE352C" w:rsidP="00385A60">
      <w:pPr>
        <w:pStyle w:val="SingleTxtG"/>
        <w:ind w:right="0"/>
        <w:rPr>
          <w:b/>
          <w:bCs/>
          <w:lang w:val="en-GB"/>
        </w:rPr>
      </w:pPr>
      <w:r>
        <w:rPr>
          <w:lang w:val="en-US"/>
        </w:rPr>
        <w:t>Thank you.</w:t>
      </w:r>
    </w:p>
    <w:p w14:paraId="00378A98" w14:textId="77777777" w:rsidR="00915105" w:rsidRPr="00513C82" w:rsidRDefault="00915105">
      <w:pPr>
        <w:rPr>
          <w:lang w:val="en-GB"/>
        </w:rPr>
      </w:pPr>
    </w:p>
    <w:sectPr w:rsidR="00915105" w:rsidRPr="00513C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25340" w14:textId="77777777" w:rsidR="00346E8F" w:rsidRDefault="00346E8F" w:rsidP="00AD44E4">
      <w:pPr>
        <w:spacing w:after="0" w:line="240" w:lineRule="auto"/>
      </w:pPr>
      <w:r>
        <w:separator/>
      </w:r>
    </w:p>
  </w:endnote>
  <w:endnote w:type="continuationSeparator" w:id="0">
    <w:p w14:paraId="09CA5180" w14:textId="77777777" w:rsidR="00346E8F" w:rsidRDefault="00346E8F" w:rsidP="00AD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1B80" w14:textId="77777777" w:rsidR="00346E8F" w:rsidRDefault="00346E8F" w:rsidP="00AD44E4">
      <w:pPr>
        <w:spacing w:after="0" w:line="240" w:lineRule="auto"/>
      </w:pPr>
      <w:r>
        <w:separator/>
      </w:r>
    </w:p>
  </w:footnote>
  <w:footnote w:type="continuationSeparator" w:id="0">
    <w:p w14:paraId="458C2F4B" w14:textId="77777777" w:rsidR="00346E8F" w:rsidRDefault="00346E8F" w:rsidP="00AD4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95E"/>
    <w:multiLevelType w:val="hybridMultilevel"/>
    <w:tmpl w:val="245E785E"/>
    <w:lvl w:ilvl="0" w:tplc="A2F2B10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0FD721A"/>
    <w:multiLevelType w:val="hybridMultilevel"/>
    <w:tmpl w:val="6FD82812"/>
    <w:lvl w:ilvl="0" w:tplc="A2F2B10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14315322"/>
    <w:multiLevelType w:val="hybridMultilevel"/>
    <w:tmpl w:val="1F56A064"/>
    <w:lvl w:ilvl="0" w:tplc="E984F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AA1B87"/>
    <w:multiLevelType w:val="multilevel"/>
    <w:tmpl w:val="865E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0254A9"/>
    <w:multiLevelType w:val="hybridMultilevel"/>
    <w:tmpl w:val="5890E03E"/>
    <w:lvl w:ilvl="0" w:tplc="778252C2">
      <w:start w:val="1"/>
      <w:numFmt w:val="bullet"/>
      <w:lvlText w:val="-"/>
      <w:lvlJc w:val="left"/>
      <w:pPr>
        <w:ind w:left="1494" w:hanging="360"/>
      </w:pPr>
      <w:rPr>
        <w:rFonts w:ascii="Calibri" w:eastAsiaTheme="minorHAnsi" w:hAnsi="Calibri" w:cs="Calibr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5" w15:restartNumberingAfterBreak="0">
    <w:nsid w:val="7435663E"/>
    <w:multiLevelType w:val="hybridMultilevel"/>
    <w:tmpl w:val="AC0A8B2C"/>
    <w:lvl w:ilvl="0" w:tplc="A2F2B10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2"/>
    <w:rsid w:val="000F3811"/>
    <w:rsid w:val="00137AB2"/>
    <w:rsid w:val="00176A21"/>
    <w:rsid w:val="00346E8F"/>
    <w:rsid w:val="00385A60"/>
    <w:rsid w:val="00513C82"/>
    <w:rsid w:val="00542134"/>
    <w:rsid w:val="005E63B2"/>
    <w:rsid w:val="006445EA"/>
    <w:rsid w:val="00775F25"/>
    <w:rsid w:val="007809D3"/>
    <w:rsid w:val="00915105"/>
    <w:rsid w:val="00933247"/>
    <w:rsid w:val="00A06017"/>
    <w:rsid w:val="00A5671E"/>
    <w:rsid w:val="00AC36B3"/>
    <w:rsid w:val="00AD44E4"/>
    <w:rsid w:val="00AE3D16"/>
    <w:rsid w:val="00DE352C"/>
    <w:rsid w:val="00FD72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B965"/>
  <w15:chartTrackingRefBased/>
  <w15:docId w15:val="{1857EEC7-0697-48DE-9ED3-07F2342E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ingleTxtGChar">
    <w:name w:val="_ Single Txt_G Char"/>
    <w:link w:val="SingleTxtG"/>
    <w:qFormat/>
    <w:locked/>
    <w:rsid w:val="00513C82"/>
    <w:rPr>
      <w:lang w:val="x-none"/>
    </w:rPr>
  </w:style>
  <w:style w:type="paragraph" w:customStyle="1" w:styleId="SingleTxtG">
    <w:name w:val="_ Single Txt_G"/>
    <w:basedOn w:val="Standaard"/>
    <w:link w:val="SingleTxtGChar"/>
    <w:qFormat/>
    <w:rsid w:val="00513C82"/>
    <w:pPr>
      <w:suppressAutoHyphens/>
      <w:spacing w:after="120" w:line="240" w:lineRule="atLeast"/>
      <w:ind w:left="1134" w:right="1134"/>
      <w:jc w:val="both"/>
    </w:pPr>
    <w:rPr>
      <w:lang w:val="x-none"/>
    </w:rPr>
  </w:style>
  <w:style w:type="character" w:styleId="Verwijzingopmerking">
    <w:name w:val="annotation reference"/>
    <w:basedOn w:val="Standaardalinea-lettertype"/>
    <w:uiPriority w:val="99"/>
    <w:semiHidden/>
    <w:unhideWhenUsed/>
    <w:rsid w:val="00AD44E4"/>
    <w:rPr>
      <w:sz w:val="16"/>
      <w:szCs w:val="16"/>
    </w:rPr>
  </w:style>
  <w:style w:type="paragraph" w:styleId="Tekstopmerking">
    <w:name w:val="annotation text"/>
    <w:basedOn w:val="Standaard"/>
    <w:link w:val="TekstopmerkingChar"/>
    <w:uiPriority w:val="99"/>
    <w:semiHidden/>
    <w:unhideWhenUsed/>
    <w:rsid w:val="00AD44E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D44E4"/>
    <w:rPr>
      <w:sz w:val="20"/>
      <w:szCs w:val="20"/>
    </w:rPr>
  </w:style>
  <w:style w:type="paragraph" w:styleId="Onderwerpvanopmerking">
    <w:name w:val="annotation subject"/>
    <w:basedOn w:val="Tekstopmerking"/>
    <w:next w:val="Tekstopmerking"/>
    <w:link w:val="OnderwerpvanopmerkingChar"/>
    <w:uiPriority w:val="99"/>
    <w:semiHidden/>
    <w:unhideWhenUsed/>
    <w:rsid w:val="00AD44E4"/>
    <w:rPr>
      <w:b/>
      <w:bCs/>
    </w:rPr>
  </w:style>
  <w:style w:type="character" w:customStyle="1" w:styleId="OnderwerpvanopmerkingChar">
    <w:name w:val="Onderwerp van opmerking Char"/>
    <w:basedOn w:val="TekstopmerkingChar"/>
    <w:link w:val="Onderwerpvanopmerking"/>
    <w:uiPriority w:val="99"/>
    <w:semiHidden/>
    <w:rsid w:val="00AD44E4"/>
    <w:rPr>
      <w:b/>
      <w:bCs/>
      <w:sz w:val="20"/>
      <w:szCs w:val="20"/>
    </w:rPr>
  </w:style>
  <w:style w:type="character" w:customStyle="1" w:styleId="VoetnoottekstChar">
    <w:name w:val="Voetnoottekst Char"/>
    <w:aliases w:val="Footnote Text Char Car Car Char,Footnote Text Char Car Car Car Car Car Char,Footnote Text Char Car Car Car Car Char,fn Char,footnote text Char,Footnotes Char,Footnote ak Char,ft Char,fn cafc Char,fn Char Char Char,5_G Char,FA Fu Char"/>
    <w:basedOn w:val="Standaardalinea-lettertype"/>
    <w:link w:val="Voetnoottekst"/>
    <w:uiPriority w:val="99"/>
    <w:locked/>
    <w:rsid w:val="00AD44E4"/>
    <w:rPr>
      <w:rFonts w:ascii="Mangal" w:hAnsi="Mangal" w:cs="Mangal"/>
      <w:sz w:val="20"/>
      <w:szCs w:val="18"/>
    </w:rPr>
  </w:style>
  <w:style w:type="paragraph" w:styleId="Voetnoottekst">
    <w:name w:val="footnote text"/>
    <w:aliases w:val="Footnote Text Char Car Car,Footnote Text Char Car Car Car Car Car,Footnote Text Char Car Car Car Car,fn,footnote text,Footnotes,Footnote ak,ft,fn cafc,fn Char Char,footnote text Char Char,Footnotes Char Char,Footnote ak Char Char,5_G,FA Fu"/>
    <w:basedOn w:val="Standaard"/>
    <w:link w:val="VoetnoottekstChar"/>
    <w:uiPriority w:val="99"/>
    <w:unhideWhenUsed/>
    <w:qFormat/>
    <w:rsid w:val="00AD44E4"/>
    <w:pPr>
      <w:spacing w:after="0" w:line="240" w:lineRule="auto"/>
    </w:pPr>
    <w:rPr>
      <w:rFonts w:ascii="Mangal" w:hAnsi="Mangal" w:cs="Mangal"/>
      <w:sz w:val="20"/>
      <w:szCs w:val="18"/>
    </w:rPr>
  </w:style>
  <w:style w:type="character" w:customStyle="1" w:styleId="VoetnoottekstChar1">
    <w:name w:val="Voetnoottekst Char1"/>
    <w:basedOn w:val="Standaardalinea-lettertype"/>
    <w:uiPriority w:val="99"/>
    <w:semiHidden/>
    <w:rsid w:val="00AD44E4"/>
    <w:rPr>
      <w:sz w:val="20"/>
      <w:szCs w:val="20"/>
    </w:rPr>
  </w:style>
  <w:style w:type="character" w:styleId="Voetnootmarkering">
    <w:name w:val="footnote reference"/>
    <w:aliases w:val="Ref,de nota al pie,註腳內容,de nota al pie + (Asian) MS Mincho,11 pt,4_G,Footnotes refss,Footnote Refernece,Appel note de bas de p.,Footnote Ref,16 Point,Superscript 6 Point,Footnote number,ftref,BVI fnr,BVI fnr Car Car,BVI fnr Car"/>
    <w:basedOn w:val="Standaardalinea-lettertype"/>
    <w:link w:val="4GCharCharChar"/>
    <w:uiPriority w:val="99"/>
    <w:unhideWhenUsed/>
    <w:qFormat/>
    <w:rsid w:val="00AD44E4"/>
    <w:rPr>
      <w:vertAlign w:val="superscript"/>
    </w:rPr>
  </w:style>
  <w:style w:type="paragraph" w:customStyle="1" w:styleId="4GCharCharChar">
    <w:name w:val="4_G Char Char Char"/>
    <w:aliases w:val="ftref Char Char Char,16 Point Char Char Char,Superscript 6 Point Char Char Char Char Char Char"/>
    <w:basedOn w:val="Standaard"/>
    <w:link w:val="Voetnootmarkering"/>
    <w:uiPriority w:val="99"/>
    <w:rsid w:val="00AD44E4"/>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920">
      <w:bodyDiv w:val="1"/>
      <w:marLeft w:val="0"/>
      <w:marRight w:val="0"/>
      <w:marTop w:val="0"/>
      <w:marBottom w:val="0"/>
      <w:divBdr>
        <w:top w:val="none" w:sz="0" w:space="0" w:color="auto"/>
        <w:left w:val="none" w:sz="0" w:space="0" w:color="auto"/>
        <w:bottom w:val="none" w:sz="0" w:space="0" w:color="auto"/>
        <w:right w:val="none" w:sz="0" w:space="0" w:color="auto"/>
      </w:divBdr>
    </w:div>
    <w:div w:id="1191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4.3 Consideration of the draft convention on the right to development - Part III Articles 8-15</Category>
    <Doctype xmlns="d42e65b2-cf21-49c1-b27d-d23f90380c0e">input</Doctype>
    <Contributor xmlns="d42e65b2-cf21-49c1-b27d-d23f90380c0e">De Feyter</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983953C-76AF-4D82-8604-8EFA68F3E0E5}"/>
</file>

<file path=customXml/itemProps2.xml><?xml version="1.0" encoding="utf-8"?>
<ds:datastoreItem xmlns:ds="http://schemas.openxmlformats.org/officeDocument/2006/customXml" ds:itemID="{2B0D7C34-6ACA-4360-A773-0FE59F1B08DD}"/>
</file>

<file path=customXml/itemProps3.xml><?xml version="1.0" encoding="utf-8"?>
<ds:datastoreItem xmlns:ds="http://schemas.openxmlformats.org/officeDocument/2006/customXml" ds:itemID="{985F1B98-9BBD-4331-B04C-70E9CA5458DB}"/>
</file>

<file path=docProps/app.xml><?xml version="1.0" encoding="utf-8"?>
<Properties xmlns="http://schemas.openxmlformats.org/officeDocument/2006/extended-properties" xmlns:vt="http://schemas.openxmlformats.org/officeDocument/2006/docPropsVTypes">
  <Template>Normal.dotm</Template>
  <TotalTime>2</TotalTime>
  <Pages>3</Pages>
  <Words>1041</Words>
  <Characters>5731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De Feyter</dc:creator>
  <cp:keywords/>
  <dc:description/>
  <cp:lastModifiedBy>Koen De Feyter</cp:lastModifiedBy>
  <cp:revision>2</cp:revision>
  <dcterms:created xsi:type="dcterms:W3CDTF">2022-05-17T09:46:00Z</dcterms:created>
  <dcterms:modified xsi:type="dcterms:W3CDTF">2022-05-17T09:46:00Z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