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C0DDD" w14:textId="0A08685D" w:rsidR="009B1DD5" w:rsidRPr="009B1DD5" w:rsidRDefault="009B1DD5" w:rsidP="009B1DD5">
      <w:pPr>
        <w:jc w:val="center"/>
        <w:rPr>
          <w:b/>
          <w:lang w:val="es-MX"/>
        </w:rPr>
      </w:pPr>
      <w:bookmarkStart w:id="0" w:name="_GoBack"/>
      <w:bookmarkEnd w:id="0"/>
      <w:r w:rsidRPr="009B1DD5">
        <w:rPr>
          <w:b/>
          <w:lang w:val="es-MX"/>
        </w:rPr>
        <w:t>Insumos preparados por la Comisión de Derechos Humanos de la Ciudad de México con motivo de la convocatoria realizada</w:t>
      </w:r>
      <w:r w:rsidR="005772FD">
        <w:rPr>
          <w:b/>
          <w:lang w:val="es-MX"/>
        </w:rPr>
        <w:t xml:space="preserve"> en</w:t>
      </w:r>
      <w:r w:rsidRPr="009B1DD5">
        <w:rPr>
          <w:b/>
          <w:lang w:val="es-MX"/>
        </w:rPr>
        <w:t xml:space="preserve"> conmemoración del 30 aniversario de la Declaración</w:t>
      </w:r>
    </w:p>
    <w:p w14:paraId="2959BDDF" w14:textId="77777777" w:rsidR="009B1DD5" w:rsidRDefault="009B1DD5" w:rsidP="009B1DD5">
      <w:pPr>
        <w:rPr>
          <w:lang w:val="es-MX"/>
        </w:rPr>
      </w:pPr>
    </w:p>
    <w:p w14:paraId="15E7799A" w14:textId="77777777" w:rsidR="009B1DD5" w:rsidRPr="009B1DD5" w:rsidRDefault="009B1DD5" w:rsidP="009B1DD5">
      <w:pPr>
        <w:rPr>
          <w:lang w:val="es-MX"/>
        </w:rPr>
      </w:pPr>
      <w:r w:rsidRPr="009B1DD5">
        <w:rPr>
          <w:lang w:val="es-MX"/>
        </w:rPr>
        <w:t>La Comisión de Derechos Humanos de la Ciudad de México (CDHCM)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14:paraId="655FF756" w14:textId="77777777" w:rsidR="009B1DD5" w:rsidRPr="009B1DD5" w:rsidRDefault="009B1DD5" w:rsidP="009B1DD5">
      <w:pPr>
        <w:rPr>
          <w:lang w:val="es-MX"/>
        </w:rPr>
      </w:pPr>
    </w:p>
    <w:p w14:paraId="2DA07D1A" w14:textId="2C7598C7" w:rsidR="009B1DD5" w:rsidRPr="00325539" w:rsidRDefault="009B1DD5" w:rsidP="00325539">
      <w:pPr>
        <w:spacing w:line="240" w:lineRule="atLeast"/>
        <w:contextualSpacing/>
        <w:rPr>
          <w:b/>
          <w:lang w:val="es-MX"/>
        </w:rPr>
      </w:pPr>
      <w:r w:rsidRPr="00325539">
        <w:rPr>
          <w:b/>
          <w:lang w:val="es-MX"/>
        </w:rPr>
        <w:t>Información de la Institución</w:t>
      </w:r>
    </w:p>
    <w:p w14:paraId="474979AB" w14:textId="77777777" w:rsidR="009B1DD5" w:rsidRPr="009B1DD5" w:rsidRDefault="009B1DD5" w:rsidP="005772FD">
      <w:pPr>
        <w:contextualSpacing/>
        <w:rPr>
          <w:lang w:val="es-MX"/>
        </w:rPr>
      </w:pPr>
    </w:p>
    <w:p w14:paraId="68CD6ED8" w14:textId="618CE927" w:rsidR="009B1DD5" w:rsidRPr="009B1DD5" w:rsidRDefault="009B1DD5" w:rsidP="005772FD">
      <w:pPr>
        <w:contextualSpacing/>
        <w:rPr>
          <w:lang w:val="es-MX"/>
        </w:rPr>
      </w:pPr>
      <w:r w:rsidRPr="00325539">
        <w:rPr>
          <w:b/>
          <w:lang w:val="es-MX"/>
        </w:rPr>
        <w:t>País</w:t>
      </w:r>
      <w:r w:rsidRPr="009B1DD5">
        <w:rPr>
          <w:lang w:val="es-MX"/>
        </w:rPr>
        <w:t>: México</w:t>
      </w:r>
    </w:p>
    <w:p w14:paraId="5AE19B21" w14:textId="77777777" w:rsidR="009B1DD5" w:rsidRPr="009B1DD5" w:rsidRDefault="009B1DD5" w:rsidP="005772FD">
      <w:pPr>
        <w:contextualSpacing/>
        <w:rPr>
          <w:lang w:val="es-MX"/>
        </w:rPr>
      </w:pPr>
    </w:p>
    <w:p w14:paraId="28F75368" w14:textId="502A2C3D" w:rsidR="009B1DD5" w:rsidRPr="009B1DD5" w:rsidRDefault="009B1DD5" w:rsidP="005772FD">
      <w:pPr>
        <w:contextualSpacing/>
        <w:rPr>
          <w:lang w:val="es-MX"/>
        </w:rPr>
      </w:pPr>
      <w:r w:rsidRPr="00325539">
        <w:rPr>
          <w:b/>
          <w:lang w:val="es-MX"/>
        </w:rPr>
        <w:t>Nombre</w:t>
      </w:r>
      <w:r w:rsidRPr="009B1DD5">
        <w:rPr>
          <w:lang w:val="es-MX"/>
        </w:rPr>
        <w:t>: Comisión de Derechos Humanos de la Ciudad de México</w:t>
      </w:r>
    </w:p>
    <w:p w14:paraId="256FA63F" w14:textId="77777777" w:rsidR="009B1DD5" w:rsidRPr="009B1DD5" w:rsidRDefault="009B1DD5" w:rsidP="005772FD">
      <w:pPr>
        <w:contextualSpacing/>
        <w:rPr>
          <w:lang w:val="es-MX"/>
        </w:rPr>
      </w:pPr>
    </w:p>
    <w:p w14:paraId="7CF00276" w14:textId="2B096E6F" w:rsidR="009B1DD5" w:rsidRDefault="009B1DD5" w:rsidP="005772FD">
      <w:pPr>
        <w:contextualSpacing/>
        <w:rPr>
          <w:lang w:val="es-MX"/>
        </w:rPr>
      </w:pPr>
      <w:r w:rsidRPr="00325539">
        <w:rPr>
          <w:b/>
          <w:lang w:val="es-MX"/>
        </w:rPr>
        <w:t>Correo de contacto</w:t>
      </w:r>
      <w:r w:rsidRPr="009B1DD5">
        <w:rPr>
          <w:lang w:val="es-MX"/>
        </w:rPr>
        <w:t xml:space="preserve">: </w:t>
      </w:r>
      <w:hyperlink r:id="rId8" w:history="1">
        <w:r w:rsidRPr="009B1DD5">
          <w:rPr>
            <w:rStyle w:val="Hipervnculo"/>
            <w:lang w:val="es-MX"/>
          </w:rPr>
          <w:t>secretaria.ejecutiva@cdhcm.org.mx</w:t>
        </w:r>
      </w:hyperlink>
    </w:p>
    <w:p w14:paraId="3672CD6E" w14:textId="77777777" w:rsidR="009B1DD5" w:rsidRDefault="009B1DD5" w:rsidP="009B1DD5">
      <w:pPr>
        <w:rPr>
          <w:lang w:val="es-MX"/>
        </w:rPr>
      </w:pPr>
    </w:p>
    <w:p w14:paraId="22FC833A" w14:textId="77777777" w:rsidR="00BB118E" w:rsidRDefault="00BB118E" w:rsidP="00BB118E">
      <w:pPr>
        <w:pStyle w:val="Prrafodelista"/>
        <w:rPr>
          <w:b/>
          <w:sz w:val="24"/>
          <w:szCs w:val="24"/>
          <w:lang w:val="es-MX"/>
        </w:rPr>
      </w:pPr>
    </w:p>
    <w:p w14:paraId="7ABEB551" w14:textId="2E868312" w:rsidR="008127B4" w:rsidRPr="0088429F" w:rsidRDefault="008127B4" w:rsidP="0088429F">
      <w:pPr>
        <w:pStyle w:val="Prrafodelista"/>
        <w:numPr>
          <w:ilvl w:val="0"/>
          <w:numId w:val="1"/>
        </w:numPr>
        <w:rPr>
          <w:b/>
          <w:sz w:val="24"/>
          <w:szCs w:val="24"/>
          <w:lang w:val="es-MX"/>
        </w:rPr>
      </w:pPr>
      <w:r w:rsidRPr="0088429F">
        <w:rPr>
          <w:b/>
          <w:sz w:val="24"/>
          <w:szCs w:val="24"/>
          <w:lang w:val="es-MX"/>
        </w:rPr>
        <w:t>¿Podría compartir ejemplos de cómo la Declaración sobre la protección de todas las personas contra las desapariciones forzadas (en adelante, "la Declaración") ha contribuido al desarrollo de la legislación nacional en su país (o países en cuestión)? ¿Puede compartir ejemplos de disposiciones nacionales que se adoptaron en su país (o países de interés) como resultado de la implementación de la Declaración?</w:t>
      </w:r>
    </w:p>
    <w:p w14:paraId="7361F9FD" w14:textId="77777777" w:rsidR="000A14F4" w:rsidRDefault="000A14F4" w:rsidP="00992D79">
      <w:pPr>
        <w:rPr>
          <w:b/>
          <w:sz w:val="24"/>
          <w:szCs w:val="24"/>
          <w:lang w:val="es-MX"/>
        </w:rPr>
      </w:pPr>
    </w:p>
    <w:p w14:paraId="4C6AD0E7" w14:textId="49C87F50" w:rsidR="00C85C98" w:rsidRDefault="00821E88" w:rsidP="00992D79">
      <w:pPr>
        <w:rPr>
          <w:sz w:val="24"/>
          <w:szCs w:val="24"/>
          <w:lang w:val="es-MX"/>
        </w:rPr>
      </w:pPr>
      <w:r>
        <w:rPr>
          <w:sz w:val="24"/>
          <w:szCs w:val="24"/>
          <w:lang w:val="es-MX"/>
        </w:rPr>
        <w:t>Una de las más grandes contribuciones que tuvo la Declaración al desarrollo normativo</w:t>
      </w:r>
      <w:r w:rsidR="00564C08">
        <w:rPr>
          <w:sz w:val="24"/>
          <w:szCs w:val="24"/>
          <w:lang w:val="es-MX"/>
        </w:rPr>
        <w:t xml:space="preserve"> sobre</w:t>
      </w:r>
      <w:r>
        <w:rPr>
          <w:sz w:val="24"/>
          <w:szCs w:val="24"/>
          <w:lang w:val="es-MX"/>
        </w:rPr>
        <w:t xml:space="preserve"> desaparición forzada </w:t>
      </w:r>
      <w:r w:rsidR="00564C08">
        <w:rPr>
          <w:sz w:val="24"/>
          <w:szCs w:val="24"/>
          <w:lang w:val="es-MX"/>
        </w:rPr>
        <w:t xml:space="preserve">es </w:t>
      </w:r>
      <w:r>
        <w:rPr>
          <w:sz w:val="24"/>
          <w:szCs w:val="24"/>
          <w:lang w:val="es-MX"/>
        </w:rPr>
        <w:t xml:space="preserve">que </w:t>
      </w:r>
      <w:r w:rsidR="00564C08">
        <w:rPr>
          <w:sz w:val="24"/>
          <w:szCs w:val="24"/>
          <w:lang w:val="es-MX"/>
        </w:rPr>
        <w:t>fue</w:t>
      </w:r>
      <w:r>
        <w:rPr>
          <w:sz w:val="24"/>
          <w:szCs w:val="24"/>
          <w:lang w:val="es-MX"/>
        </w:rPr>
        <w:t xml:space="preserve"> el primer instrumento que </w:t>
      </w:r>
      <w:r w:rsidR="001119A7">
        <w:rPr>
          <w:sz w:val="24"/>
          <w:szCs w:val="24"/>
          <w:lang w:val="es-MX"/>
        </w:rPr>
        <w:t>le reconoció como una</w:t>
      </w:r>
      <w:r>
        <w:rPr>
          <w:sz w:val="24"/>
          <w:szCs w:val="24"/>
          <w:lang w:val="es-MX"/>
        </w:rPr>
        <w:t xml:space="preserve"> violación grave de los derechos humanos</w:t>
      </w:r>
      <w:r w:rsidR="00564C08">
        <w:rPr>
          <w:sz w:val="24"/>
          <w:szCs w:val="24"/>
          <w:lang w:val="es-MX"/>
        </w:rPr>
        <w:t xml:space="preserve">, </w:t>
      </w:r>
      <w:r w:rsidR="001119A7">
        <w:rPr>
          <w:sz w:val="24"/>
          <w:szCs w:val="24"/>
          <w:lang w:val="es-MX"/>
        </w:rPr>
        <w:t xml:space="preserve">además de que </w:t>
      </w:r>
      <w:r w:rsidR="00564C08">
        <w:rPr>
          <w:sz w:val="24"/>
          <w:szCs w:val="24"/>
          <w:lang w:val="es-MX"/>
        </w:rPr>
        <w:t xml:space="preserve">mencionó </w:t>
      </w:r>
      <w:r w:rsidR="001119A7">
        <w:rPr>
          <w:sz w:val="24"/>
          <w:szCs w:val="24"/>
          <w:lang w:val="es-MX"/>
        </w:rPr>
        <w:t>sus</w:t>
      </w:r>
      <w:r w:rsidR="00564C08">
        <w:rPr>
          <w:sz w:val="24"/>
          <w:szCs w:val="24"/>
          <w:lang w:val="es-MX"/>
        </w:rPr>
        <w:t xml:space="preserve"> elementos y </w:t>
      </w:r>
      <w:r w:rsidR="00403FC6">
        <w:rPr>
          <w:sz w:val="24"/>
          <w:szCs w:val="24"/>
          <w:lang w:val="es-MX"/>
        </w:rPr>
        <w:t>consecuencia</w:t>
      </w:r>
      <w:r w:rsidR="00564C08">
        <w:rPr>
          <w:sz w:val="24"/>
          <w:szCs w:val="24"/>
          <w:lang w:val="es-MX"/>
        </w:rPr>
        <w:t xml:space="preserve"> </w:t>
      </w:r>
      <w:r w:rsidR="001119A7">
        <w:rPr>
          <w:sz w:val="24"/>
          <w:szCs w:val="24"/>
          <w:lang w:val="es-MX"/>
        </w:rPr>
        <w:t>respecto a</w:t>
      </w:r>
      <w:r w:rsidR="00564C08">
        <w:rPr>
          <w:sz w:val="24"/>
          <w:szCs w:val="24"/>
          <w:lang w:val="es-MX"/>
        </w:rPr>
        <w:t xml:space="preserve"> obligaciones de los Estados y discutió por primera vez los diversos derechos que podr</w:t>
      </w:r>
      <w:r w:rsidR="00403FC6">
        <w:rPr>
          <w:sz w:val="24"/>
          <w:szCs w:val="24"/>
          <w:lang w:val="es-MX"/>
        </w:rPr>
        <w:t>ían verse vulnerados</w:t>
      </w:r>
      <w:r w:rsidR="001119A7">
        <w:rPr>
          <w:sz w:val="24"/>
          <w:szCs w:val="24"/>
          <w:lang w:val="es-MX"/>
        </w:rPr>
        <w:t xml:space="preserve">, siendo entonces el más notorio precedente para la conceptualización y reconocimiento normativo de la </w:t>
      </w:r>
      <w:r w:rsidR="00C85C98">
        <w:rPr>
          <w:sz w:val="24"/>
          <w:szCs w:val="24"/>
          <w:lang w:val="es-MX"/>
        </w:rPr>
        <w:t>desaparición</w:t>
      </w:r>
      <w:r w:rsidR="001119A7">
        <w:rPr>
          <w:sz w:val="24"/>
          <w:szCs w:val="24"/>
          <w:lang w:val="es-MX"/>
        </w:rPr>
        <w:t xml:space="preserve"> forzada. Su clara influencia en la base de</w:t>
      </w:r>
      <w:r w:rsidR="00C85C98">
        <w:rPr>
          <w:sz w:val="24"/>
          <w:szCs w:val="24"/>
          <w:lang w:val="es-MX"/>
        </w:rPr>
        <w:t xml:space="preserve"> otros instrumentos de naturaleza vinculante como</w:t>
      </w:r>
      <w:r w:rsidR="001119A7">
        <w:rPr>
          <w:sz w:val="24"/>
          <w:szCs w:val="24"/>
          <w:lang w:val="es-MX"/>
        </w:rPr>
        <w:t xml:space="preserve"> la </w:t>
      </w:r>
      <w:r w:rsidR="00403FC6">
        <w:rPr>
          <w:sz w:val="24"/>
          <w:szCs w:val="24"/>
          <w:lang w:val="es-MX"/>
        </w:rPr>
        <w:t>Convención Internacional</w:t>
      </w:r>
      <w:r w:rsidR="001119A7">
        <w:rPr>
          <w:sz w:val="24"/>
          <w:szCs w:val="24"/>
          <w:lang w:val="es-MX"/>
        </w:rPr>
        <w:t xml:space="preserve"> </w:t>
      </w:r>
      <w:r w:rsidR="001119A7" w:rsidRPr="001119A7">
        <w:rPr>
          <w:sz w:val="24"/>
          <w:szCs w:val="24"/>
          <w:lang w:val="es-MX"/>
        </w:rPr>
        <w:t>para la protección de todas las personas contra las desapariciones forzadas</w:t>
      </w:r>
      <w:r w:rsidR="00403FC6">
        <w:rPr>
          <w:sz w:val="24"/>
          <w:szCs w:val="24"/>
          <w:lang w:val="es-MX"/>
        </w:rPr>
        <w:t xml:space="preserve"> y </w:t>
      </w:r>
      <w:r w:rsidR="00C85C98">
        <w:rPr>
          <w:sz w:val="24"/>
          <w:szCs w:val="24"/>
          <w:lang w:val="es-MX"/>
        </w:rPr>
        <w:t>su homóloga de naturaleza interamericana</w:t>
      </w:r>
      <w:r w:rsidR="001119A7">
        <w:rPr>
          <w:sz w:val="24"/>
          <w:szCs w:val="24"/>
          <w:lang w:val="es-MX"/>
        </w:rPr>
        <w:t xml:space="preserve">, ha </w:t>
      </w:r>
      <w:r w:rsidR="00C85C98">
        <w:rPr>
          <w:sz w:val="24"/>
          <w:szCs w:val="24"/>
          <w:lang w:val="es-MX"/>
        </w:rPr>
        <w:t>contribuido</w:t>
      </w:r>
      <w:r w:rsidR="001119A7">
        <w:rPr>
          <w:sz w:val="24"/>
          <w:szCs w:val="24"/>
          <w:lang w:val="es-MX"/>
        </w:rPr>
        <w:t xml:space="preserve"> de manera indirecta en el desarrollo de la legislación nacional dentro del corpus iuris en la materia reconocido </w:t>
      </w:r>
      <w:r w:rsidR="00C85C98">
        <w:rPr>
          <w:sz w:val="24"/>
          <w:szCs w:val="24"/>
          <w:lang w:val="es-MX"/>
        </w:rPr>
        <w:t xml:space="preserve">en México en tanto la implementación y respeto de estos instrumentos son la base en materia de derechos humanos. </w:t>
      </w:r>
    </w:p>
    <w:p w14:paraId="38DD0F53" w14:textId="77777777" w:rsidR="00C85C98" w:rsidRDefault="00C85C98" w:rsidP="00992D79">
      <w:pPr>
        <w:rPr>
          <w:sz w:val="24"/>
          <w:szCs w:val="24"/>
          <w:lang w:val="es-MX"/>
        </w:rPr>
      </w:pPr>
    </w:p>
    <w:p w14:paraId="7A94F85C" w14:textId="3B2A5064" w:rsidR="00C80D8C" w:rsidRDefault="001119A7" w:rsidP="00992D79">
      <w:pPr>
        <w:rPr>
          <w:sz w:val="24"/>
          <w:szCs w:val="24"/>
          <w:lang w:val="es-MX"/>
        </w:rPr>
      </w:pPr>
      <w:r>
        <w:rPr>
          <w:sz w:val="24"/>
          <w:szCs w:val="24"/>
          <w:lang w:val="es-MX"/>
        </w:rPr>
        <w:t>Ejemplo de esto</w:t>
      </w:r>
      <w:r w:rsidR="00C85C98">
        <w:rPr>
          <w:sz w:val="24"/>
          <w:szCs w:val="24"/>
          <w:lang w:val="es-MX"/>
        </w:rPr>
        <w:t>,</w:t>
      </w:r>
      <w:r>
        <w:rPr>
          <w:sz w:val="24"/>
          <w:szCs w:val="24"/>
          <w:lang w:val="es-MX"/>
        </w:rPr>
        <w:t xml:space="preserve"> </w:t>
      </w:r>
      <w:r w:rsidR="00C85C98">
        <w:rPr>
          <w:sz w:val="24"/>
          <w:szCs w:val="24"/>
          <w:lang w:val="es-MX"/>
        </w:rPr>
        <w:t>se puede ver en la reforma constitucional de</w:t>
      </w:r>
      <w:r w:rsidR="00BB118E">
        <w:rPr>
          <w:sz w:val="24"/>
          <w:szCs w:val="24"/>
          <w:lang w:val="es-MX"/>
        </w:rPr>
        <w:t xml:space="preserve"> 10 de julio de 2015, </w:t>
      </w:r>
      <w:r w:rsidR="001A3B0F">
        <w:rPr>
          <w:sz w:val="24"/>
          <w:szCs w:val="24"/>
          <w:lang w:val="es-MX"/>
        </w:rPr>
        <w:t>se publicó</w:t>
      </w:r>
      <w:r w:rsidR="00BB118E">
        <w:rPr>
          <w:sz w:val="24"/>
          <w:szCs w:val="24"/>
          <w:lang w:val="es-MX"/>
        </w:rPr>
        <w:t xml:space="preserve"> en el Diario Oficial de la Federación (DOF) </w:t>
      </w:r>
      <w:r w:rsidR="00C85C98">
        <w:rPr>
          <w:sz w:val="24"/>
          <w:szCs w:val="24"/>
          <w:lang w:val="es-MX"/>
        </w:rPr>
        <w:t>la facultad del</w:t>
      </w:r>
      <w:r w:rsidR="00BB118E">
        <w:rPr>
          <w:sz w:val="24"/>
          <w:szCs w:val="24"/>
          <w:lang w:val="es-MX"/>
        </w:rPr>
        <w:t xml:space="preserve"> Congreso de la Unión </w:t>
      </w:r>
      <w:r w:rsidR="00FA5939">
        <w:rPr>
          <w:sz w:val="24"/>
          <w:szCs w:val="24"/>
          <w:lang w:val="es-MX"/>
        </w:rPr>
        <w:t xml:space="preserve">para </w:t>
      </w:r>
      <w:r w:rsidR="00BB118E">
        <w:rPr>
          <w:sz w:val="24"/>
          <w:szCs w:val="24"/>
          <w:lang w:val="es-MX"/>
        </w:rPr>
        <w:t xml:space="preserve">emitir </w:t>
      </w:r>
      <w:r w:rsidR="001A3B0F">
        <w:rPr>
          <w:sz w:val="24"/>
          <w:szCs w:val="24"/>
          <w:lang w:val="es-MX"/>
        </w:rPr>
        <w:t xml:space="preserve">La </w:t>
      </w:r>
      <w:hyperlink r:id="rId9" w:history="1">
        <w:r w:rsidR="001A3B0F">
          <w:rPr>
            <w:rStyle w:val="Hipervnculo"/>
            <w:sz w:val="24"/>
            <w:szCs w:val="24"/>
            <w:lang w:val="es-MX"/>
          </w:rPr>
          <w:t>Ley General e</w:t>
        </w:r>
        <w:r w:rsidR="001A3B0F" w:rsidRPr="00C80D8C">
          <w:rPr>
            <w:rStyle w:val="Hipervnculo"/>
            <w:sz w:val="24"/>
            <w:szCs w:val="24"/>
            <w:lang w:val="es-MX"/>
          </w:rPr>
          <w:t>n M</w:t>
        </w:r>
        <w:r w:rsidR="001A3B0F">
          <w:rPr>
            <w:rStyle w:val="Hipervnculo"/>
            <w:sz w:val="24"/>
            <w:szCs w:val="24"/>
            <w:lang w:val="es-MX"/>
          </w:rPr>
          <w:t>ateria de Desaparición Forzada d</w:t>
        </w:r>
        <w:r w:rsidR="001A3B0F" w:rsidRPr="00C80D8C">
          <w:rPr>
            <w:rStyle w:val="Hipervnculo"/>
            <w:sz w:val="24"/>
            <w:szCs w:val="24"/>
            <w:lang w:val="es-MX"/>
          </w:rPr>
          <w:t>e Personas</w:t>
        </w:r>
      </w:hyperlink>
      <w:r w:rsidR="00C85C98">
        <w:rPr>
          <w:sz w:val="24"/>
          <w:szCs w:val="24"/>
          <w:lang w:val="es-MX"/>
        </w:rPr>
        <w:t>.</w:t>
      </w:r>
      <w:r w:rsidR="00B6419E">
        <w:rPr>
          <w:sz w:val="24"/>
          <w:szCs w:val="24"/>
          <w:lang w:val="es-MX"/>
        </w:rPr>
        <w:t xml:space="preserve"> Es importante </w:t>
      </w:r>
      <w:r w:rsidR="00C85C98">
        <w:rPr>
          <w:sz w:val="24"/>
          <w:szCs w:val="24"/>
          <w:lang w:val="es-MX"/>
        </w:rPr>
        <w:t xml:space="preserve">mencionar que el </w:t>
      </w:r>
      <w:r w:rsidR="001A3B0F">
        <w:rPr>
          <w:sz w:val="24"/>
          <w:szCs w:val="24"/>
          <w:lang w:val="es-MX"/>
        </w:rPr>
        <w:t>E</w:t>
      </w:r>
      <w:r w:rsidR="00C85C98">
        <w:rPr>
          <w:sz w:val="24"/>
          <w:szCs w:val="24"/>
          <w:lang w:val="es-MX"/>
        </w:rPr>
        <w:t xml:space="preserve">stado Mexicano ya había sido sentenciado en 2010  por la Corte Interamericana de Derechos Humanos por la desaparición forzada del </w:t>
      </w:r>
      <w:hyperlink r:id="rId10" w:history="1">
        <w:r w:rsidR="00C85C98" w:rsidRPr="00C85C98">
          <w:rPr>
            <w:rStyle w:val="Hipervnculo"/>
            <w:sz w:val="24"/>
            <w:szCs w:val="24"/>
            <w:lang w:val="es-MX"/>
          </w:rPr>
          <w:t>señor Rosendo Radilla</w:t>
        </w:r>
      </w:hyperlink>
      <w:r w:rsidR="00C85C98">
        <w:rPr>
          <w:sz w:val="24"/>
          <w:szCs w:val="24"/>
          <w:lang w:val="es-MX"/>
        </w:rPr>
        <w:t xml:space="preserve"> con base en el estándar internacional existente cuya base se encuentra fundamentada en la citada Declaración</w:t>
      </w:r>
      <w:r w:rsidR="00BB118E">
        <w:rPr>
          <w:sz w:val="24"/>
          <w:szCs w:val="24"/>
          <w:lang w:val="es-MX"/>
        </w:rPr>
        <w:t>.</w:t>
      </w:r>
      <w:r w:rsidR="00FA5939">
        <w:rPr>
          <w:sz w:val="24"/>
          <w:szCs w:val="24"/>
          <w:lang w:val="es-MX"/>
        </w:rPr>
        <w:t xml:space="preserve"> Lo anterior, </w:t>
      </w:r>
      <w:r w:rsidR="00BC7C4D">
        <w:rPr>
          <w:sz w:val="24"/>
          <w:szCs w:val="24"/>
          <w:lang w:val="es-MX"/>
        </w:rPr>
        <w:t>guardando relación con</w:t>
      </w:r>
      <w:r w:rsidR="00B6419E">
        <w:rPr>
          <w:sz w:val="24"/>
          <w:szCs w:val="24"/>
          <w:lang w:val="es-MX"/>
        </w:rPr>
        <w:t xml:space="preserve"> </w:t>
      </w:r>
      <w:r w:rsidR="00992D79">
        <w:rPr>
          <w:sz w:val="24"/>
          <w:szCs w:val="24"/>
          <w:lang w:val="es-MX"/>
        </w:rPr>
        <w:t xml:space="preserve">los </w:t>
      </w:r>
      <w:r w:rsidR="00992D79" w:rsidRPr="003A1BF3">
        <w:rPr>
          <w:b/>
          <w:bCs/>
          <w:sz w:val="24"/>
          <w:szCs w:val="24"/>
          <w:lang w:val="es-MX"/>
        </w:rPr>
        <w:t>artículos 1, 2, 3 y 4 de la Declaración sobre la protección de todas las personas contra las desapariciones forzadas</w:t>
      </w:r>
      <w:r w:rsidR="001E30DE" w:rsidRPr="003A1BF3">
        <w:rPr>
          <w:b/>
          <w:bCs/>
          <w:sz w:val="24"/>
          <w:szCs w:val="24"/>
          <w:lang w:val="es-MX"/>
        </w:rPr>
        <w:t xml:space="preserve"> (Declaración)</w:t>
      </w:r>
      <w:r w:rsidR="00992D79">
        <w:rPr>
          <w:sz w:val="24"/>
          <w:szCs w:val="24"/>
          <w:lang w:val="es-MX"/>
        </w:rPr>
        <w:t xml:space="preserve">, y sus correspondientes </w:t>
      </w:r>
      <w:r w:rsidR="00BC7C4D">
        <w:rPr>
          <w:sz w:val="24"/>
          <w:szCs w:val="24"/>
          <w:lang w:val="es-MX"/>
        </w:rPr>
        <w:t xml:space="preserve">a la posterior </w:t>
      </w:r>
      <w:r w:rsidR="00992D79" w:rsidRPr="00992D79">
        <w:rPr>
          <w:sz w:val="24"/>
          <w:szCs w:val="24"/>
          <w:lang w:val="es-MX"/>
        </w:rPr>
        <w:t>Convención Internacional para la protección de todas las personas contra las desapariciones forzadas</w:t>
      </w:r>
      <w:r w:rsidR="001E30DE">
        <w:rPr>
          <w:sz w:val="24"/>
          <w:szCs w:val="24"/>
          <w:lang w:val="es-MX"/>
        </w:rPr>
        <w:t xml:space="preserve"> (CED)</w:t>
      </w:r>
      <w:r w:rsidR="00C80D8C">
        <w:rPr>
          <w:sz w:val="24"/>
          <w:szCs w:val="24"/>
          <w:lang w:val="es-MX"/>
        </w:rPr>
        <w:t>.</w:t>
      </w:r>
    </w:p>
    <w:p w14:paraId="622C84F5" w14:textId="6CF55749" w:rsidR="00C36B8B" w:rsidRDefault="00C36B8B" w:rsidP="00992D79">
      <w:pPr>
        <w:rPr>
          <w:sz w:val="24"/>
          <w:szCs w:val="24"/>
          <w:lang w:val="es-MX"/>
        </w:rPr>
      </w:pPr>
    </w:p>
    <w:p w14:paraId="60F5A3F0" w14:textId="313F1692" w:rsidR="00C36B8B" w:rsidRDefault="00C85C98" w:rsidP="00992D79">
      <w:pPr>
        <w:rPr>
          <w:sz w:val="24"/>
          <w:szCs w:val="24"/>
          <w:lang w:val="es-MX"/>
        </w:rPr>
      </w:pPr>
      <w:r>
        <w:rPr>
          <w:sz w:val="24"/>
          <w:szCs w:val="24"/>
          <w:lang w:val="es-MX"/>
        </w:rPr>
        <w:t>De ahí que</w:t>
      </w:r>
      <w:r w:rsidR="00992D79">
        <w:rPr>
          <w:sz w:val="24"/>
          <w:szCs w:val="24"/>
          <w:lang w:val="es-MX"/>
        </w:rPr>
        <w:t>, el 17 de noviembre de 2017, se public</w:t>
      </w:r>
      <w:r>
        <w:rPr>
          <w:sz w:val="24"/>
          <w:szCs w:val="24"/>
          <w:lang w:val="es-MX"/>
        </w:rPr>
        <w:t>ara</w:t>
      </w:r>
      <w:r w:rsidR="00992D79">
        <w:rPr>
          <w:sz w:val="24"/>
          <w:szCs w:val="24"/>
          <w:lang w:val="es-MX"/>
        </w:rPr>
        <w:t xml:space="preserve"> en el DOF </w:t>
      </w:r>
      <w:r w:rsidR="001A3B0F">
        <w:rPr>
          <w:sz w:val="24"/>
          <w:szCs w:val="24"/>
          <w:lang w:val="es-MX"/>
        </w:rPr>
        <w:t xml:space="preserve">la nueva </w:t>
      </w:r>
      <w:r w:rsidR="005772FD">
        <w:rPr>
          <w:sz w:val="24"/>
          <w:szCs w:val="24"/>
          <w:lang w:val="es-MX"/>
        </w:rPr>
        <w:t xml:space="preserve">ley en la materia, </w:t>
      </w:r>
      <w:r w:rsidR="00992D79">
        <w:rPr>
          <w:sz w:val="24"/>
          <w:szCs w:val="24"/>
          <w:lang w:val="es-MX"/>
        </w:rPr>
        <w:t xml:space="preserve">la </w:t>
      </w:r>
      <w:hyperlink r:id="rId11" w:history="1">
        <w:r w:rsidR="00992D79" w:rsidRPr="00D67F9C">
          <w:rPr>
            <w:rStyle w:val="Hipervnculo"/>
            <w:sz w:val="24"/>
            <w:szCs w:val="24"/>
            <w:lang w:val="es-MX"/>
          </w:rPr>
          <w:t xml:space="preserve">Ley General en </w:t>
        </w:r>
        <w:r w:rsidR="00C36B8B" w:rsidRPr="00D67F9C">
          <w:rPr>
            <w:rStyle w:val="Hipervnculo"/>
            <w:sz w:val="24"/>
            <w:szCs w:val="24"/>
            <w:lang w:val="es-MX"/>
          </w:rPr>
          <w:t>m</w:t>
        </w:r>
        <w:r w:rsidR="00992D79" w:rsidRPr="00D67F9C">
          <w:rPr>
            <w:rStyle w:val="Hipervnculo"/>
            <w:sz w:val="24"/>
            <w:szCs w:val="24"/>
            <w:lang w:val="es-MX"/>
          </w:rPr>
          <w:t xml:space="preserve">ateria de Desaparición Forzada de Personas, Desaparición cometida por Particulares y </w:t>
        </w:r>
        <w:r w:rsidR="00550652" w:rsidRPr="00D67F9C">
          <w:rPr>
            <w:rStyle w:val="Hipervnculo"/>
            <w:sz w:val="24"/>
            <w:szCs w:val="24"/>
            <w:lang w:val="es-MX"/>
          </w:rPr>
          <w:lastRenderedPageBreak/>
          <w:t>d</w:t>
        </w:r>
        <w:r w:rsidR="00992D79" w:rsidRPr="00D67F9C">
          <w:rPr>
            <w:rStyle w:val="Hipervnculo"/>
            <w:sz w:val="24"/>
            <w:szCs w:val="24"/>
            <w:lang w:val="es-MX"/>
          </w:rPr>
          <w:t xml:space="preserve">el Sistema Nacional </w:t>
        </w:r>
        <w:r w:rsidR="00550652" w:rsidRPr="00D67F9C">
          <w:rPr>
            <w:rStyle w:val="Hipervnculo"/>
            <w:sz w:val="24"/>
            <w:szCs w:val="24"/>
            <w:lang w:val="es-MX"/>
          </w:rPr>
          <w:t>d</w:t>
        </w:r>
        <w:r w:rsidR="00992D79" w:rsidRPr="00D67F9C">
          <w:rPr>
            <w:rStyle w:val="Hipervnculo"/>
            <w:sz w:val="24"/>
            <w:szCs w:val="24"/>
            <w:lang w:val="es-MX"/>
          </w:rPr>
          <w:t xml:space="preserve">e Búsqueda </w:t>
        </w:r>
        <w:r w:rsidR="00550652" w:rsidRPr="00D67F9C">
          <w:rPr>
            <w:rStyle w:val="Hipervnculo"/>
            <w:sz w:val="24"/>
            <w:szCs w:val="24"/>
            <w:lang w:val="es-MX"/>
          </w:rPr>
          <w:t>d</w:t>
        </w:r>
        <w:r w:rsidR="00992D79" w:rsidRPr="00D67F9C">
          <w:rPr>
            <w:rStyle w:val="Hipervnculo"/>
            <w:sz w:val="24"/>
            <w:szCs w:val="24"/>
            <w:lang w:val="es-MX"/>
          </w:rPr>
          <w:t>e Personas</w:t>
        </w:r>
      </w:hyperlink>
      <w:r w:rsidR="005772FD">
        <w:rPr>
          <w:rStyle w:val="Hipervnculo"/>
          <w:sz w:val="24"/>
          <w:szCs w:val="24"/>
          <w:lang w:val="es-MX"/>
        </w:rPr>
        <w:t xml:space="preserve"> </w:t>
      </w:r>
      <w:r w:rsidR="005772FD">
        <w:rPr>
          <w:sz w:val="24"/>
          <w:szCs w:val="24"/>
          <w:lang w:val="es-MX"/>
        </w:rPr>
        <w:t xml:space="preserve"> lo que marca la continuidad de la evolución jurídica en el tema. </w:t>
      </w:r>
    </w:p>
    <w:p w14:paraId="6994E13C" w14:textId="77777777" w:rsidR="001E30DE" w:rsidRDefault="001E30DE" w:rsidP="00992D79">
      <w:pPr>
        <w:rPr>
          <w:sz w:val="24"/>
          <w:szCs w:val="24"/>
          <w:lang w:val="es-MX"/>
        </w:rPr>
      </w:pPr>
    </w:p>
    <w:p w14:paraId="53E2E5D8" w14:textId="079588B8" w:rsidR="008127B4" w:rsidRPr="003A1BF3" w:rsidRDefault="008127B4" w:rsidP="003A1BF3">
      <w:pPr>
        <w:pStyle w:val="Prrafodelista"/>
        <w:numPr>
          <w:ilvl w:val="0"/>
          <w:numId w:val="1"/>
        </w:numPr>
        <w:rPr>
          <w:b/>
          <w:sz w:val="24"/>
          <w:szCs w:val="24"/>
          <w:lang w:val="es-MX"/>
        </w:rPr>
      </w:pPr>
      <w:r w:rsidRPr="003A1BF3">
        <w:rPr>
          <w:b/>
          <w:sz w:val="24"/>
          <w:szCs w:val="24"/>
          <w:lang w:val="es-MX"/>
        </w:rPr>
        <w:t xml:space="preserve">¿Puede indicar el estado de la </w:t>
      </w:r>
      <w:r w:rsidR="00061228" w:rsidRPr="003A1BF3">
        <w:rPr>
          <w:b/>
          <w:sz w:val="24"/>
          <w:szCs w:val="24"/>
          <w:lang w:val="es-MX"/>
        </w:rPr>
        <w:t>Declaración</w:t>
      </w:r>
      <w:r w:rsidRPr="003A1BF3">
        <w:rPr>
          <w:b/>
          <w:sz w:val="24"/>
          <w:szCs w:val="24"/>
          <w:lang w:val="es-MX"/>
        </w:rPr>
        <w:t xml:space="preserve"> en el ordenamiento jurídico interno de su país (o países en cuestión), es decir, con respecto a la legislación ordinaria?</w:t>
      </w:r>
    </w:p>
    <w:p w14:paraId="7185F91F" w14:textId="77777777" w:rsidR="00F242DD" w:rsidRPr="003A1BF3" w:rsidRDefault="00F242DD" w:rsidP="003A1BF3">
      <w:pPr>
        <w:pStyle w:val="Prrafodelista"/>
        <w:rPr>
          <w:b/>
          <w:sz w:val="24"/>
          <w:szCs w:val="24"/>
          <w:lang w:val="es-MX"/>
        </w:rPr>
      </w:pPr>
    </w:p>
    <w:p w14:paraId="42986F9A" w14:textId="2AB13349" w:rsidR="008127B4" w:rsidRDefault="00061228" w:rsidP="008127B4">
      <w:pPr>
        <w:rPr>
          <w:sz w:val="24"/>
          <w:szCs w:val="24"/>
          <w:lang w:val="es-MX"/>
        </w:rPr>
      </w:pPr>
      <w:r>
        <w:rPr>
          <w:sz w:val="24"/>
          <w:szCs w:val="24"/>
          <w:lang w:val="es-MX"/>
        </w:rPr>
        <w:t xml:space="preserve">La Declaración </w:t>
      </w:r>
      <w:r w:rsidR="00B91DE2">
        <w:rPr>
          <w:sz w:val="24"/>
          <w:szCs w:val="24"/>
          <w:lang w:val="es-MX"/>
        </w:rPr>
        <w:t>por su naturaleza jurídica</w:t>
      </w:r>
      <w:r w:rsidR="0010456B">
        <w:rPr>
          <w:sz w:val="24"/>
          <w:szCs w:val="24"/>
          <w:lang w:val="es-MX"/>
        </w:rPr>
        <w:t>, de acuerdo con la Convención de Viena sobre Derecho de los Tratados</w:t>
      </w:r>
      <w:r w:rsidR="00B91DE2">
        <w:rPr>
          <w:sz w:val="24"/>
          <w:szCs w:val="24"/>
          <w:lang w:val="es-MX"/>
        </w:rPr>
        <w:t xml:space="preserve"> </w:t>
      </w:r>
      <w:r>
        <w:rPr>
          <w:sz w:val="24"/>
          <w:szCs w:val="24"/>
          <w:lang w:val="es-MX"/>
        </w:rPr>
        <w:t xml:space="preserve">no </w:t>
      </w:r>
      <w:r w:rsidR="008B464A">
        <w:rPr>
          <w:sz w:val="24"/>
          <w:szCs w:val="24"/>
          <w:lang w:val="es-MX"/>
        </w:rPr>
        <w:t>tiene en</w:t>
      </w:r>
      <w:r w:rsidR="00B91DE2">
        <w:rPr>
          <w:sz w:val="24"/>
          <w:szCs w:val="24"/>
          <w:lang w:val="es-MX"/>
        </w:rPr>
        <w:t xml:space="preserve"> sí </w:t>
      </w:r>
      <w:r>
        <w:rPr>
          <w:sz w:val="24"/>
          <w:szCs w:val="24"/>
          <w:lang w:val="es-MX"/>
        </w:rPr>
        <w:t>carácter vinculante en el Estado mexicano. No obstante, en diversas ocasiones el Poder Judicial Federal ha hecho referencia en sus decisiones a diversos instrumentos internacionales de carácter declarativo en materia de derechos humanos, sin precisar su obligatoriedad</w:t>
      </w:r>
      <w:r w:rsidR="00FC5920">
        <w:rPr>
          <w:sz w:val="24"/>
          <w:szCs w:val="24"/>
          <w:lang w:val="es-MX"/>
        </w:rPr>
        <w:t xml:space="preserve"> </w:t>
      </w:r>
      <w:r w:rsidR="0010456B">
        <w:rPr>
          <w:sz w:val="24"/>
          <w:szCs w:val="24"/>
          <w:lang w:val="es-MX"/>
        </w:rPr>
        <w:t xml:space="preserve">como el caso de la Declaración </w:t>
      </w:r>
      <w:r w:rsidR="00FC5920">
        <w:rPr>
          <w:sz w:val="24"/>
          <w:szCs w:val="24"/>
          <w:lang w:val="es-MX"/>
        </w:rPr>
        <w:t xml:space="preserve">(P.e. </w:t>
      </w:r>
      <w:hyperlink r:id="rId12" w:history="1">
        <w:r w:rsidR="00FC5920" w:rsidRPr="00FC5920">
          <w:rPr>
            <w:rStyle w:val="Hipervnculo"/>
            <w:sz w:val="24"/>
            <w:szCs w:val="24"/>
            <w:lang w:val="es-MX"/>
          </w:rPr>
          <w:t>Tesis asilada I.1o.P.160 P (10a.)</w:t>
        </w:r>
      </w:hyperlink>
      <w:r w:rsidR="00FC5920">
        <w:rPr>
          <w:sz w:val="24"/>
          <w:szCs w:val="24"/>
          <w:lang w:val="es-MX"/>
        </w:rPr>
        <w:t>)</w:t>
      </w:r>
      <w:r>
        <w:rPr>
          <w:sz w:val="24"/>
          <w:szCs w:val="24"/>
          <w:lang w:val="es-MX"/>
        </w:rPr>
        <w:t xml:space="preserve">. Es de resaltar que tanto la CED como la CIDFP son instrumentos vinculantes para el Estado mexicano y con fundamento </w:t>
      </w:r>
      <w:r w:rsidR="007F488A">
        <w:rPr>
          <w:sz w:val="24"/>
          <w:szCs w:val="24"/>
          <w:lang w:val="es-MX"/>
        </w:rPr>
        <w:t>en los artículos 1 y 133 de la CPEUM</w:t>
      </w:r>
      <w:r w:rsidR="00C21D72">
        <w:rPr>
          <w:sz w:val="24"/>
          <w:szCs w:val="24"/>
          <w:lang w:val="es-MX"/>
        </w:rPr>
        <w:t xml:space="preserve"> forman parte integral de la Constitución mexicana, </w:t>
      </w:r>
      <w:r w:rsidR="00FC5920">
        <w:rPr>
          <w:sz w:val="24"/>
          <w:szCs w:val="24"/>
          <w:lang w:val="es-MX"/>
        </w:rPr>
        <w:t xml:space="preserve">excepto en los casos en los que existan restricciones constitucionales de conformidad con la tesis jurisprudencial </w:t>
      </w:r>
      <w:hyperlink r:id="rId13" w:history="1">
        <w:r w:rsidR="00FC5920" w:rsidRPr="00FC5920">
          <w:rPr>
            <w:rStyle w:val="Hipervnculo"/>
            <w:sz w:val="24"/>
            <w:szCs w:val="24"/>
            <w:lang w:val="es-MX"/>
          </w:rPr>
          <w:t>P./J. 20/2014 (10a.)</w:t>
        </w:r>
      </w:hyperlink>
      <w:r w:rsidR="00FC5920">
        <w:rPr>
          <w:sz w:val="24"/>
          <w:szCs w:val="24"/>
          <w:lang w:val="es-MX"/>
        </w:rPr>
        <w:t xml:space="preserve"> y la </w:t>
      </w:r>
      <w:hyperlink r:id="rId14" w:history="1">
        <w:r w:rsidR="00FC5920" w:rsidRPr="00FC5920">
          <w:rPr>
            <w:rStyle w:val="Hipervnculo"/>
            <w:sz w:val="24"/>
            <w:szCs w:val="24"/>
            <w:lang w:val="es-MX"/>
          </w:rPr>
          <w:t>tesis aislada P. XVI/2015 (10a.)</w:t>
        </w:r>
      </w:hyperlink>
      <w:r w:rsidR="00FC5920">
        <w:rPr>
          <w:sz w:val="24"/>
          <w:szCs w:val="24"/>
          <w:lang w:val="es-MX"/>
        </w:rPr>
        <w:t>.</w:t>
      </w:r>
      <w:r w:rsidR="007F488A">
        <w:rPr>
          <w:sz w:val="24"/>
          <w:szCs w:val="24"/>
          <w:lang w:val="es-MX"/>
        </w:rPr>
        <w:t xml:space="preserve"> </w:t>
      </w:r>
      <w:r w:rsidR="00FC5920">
        <w:rPr>
          <w:sz w:val="24"/>
          <w:szCs w:val="24"/>
          <w:lang w:val="es-MX"/>
        </w:rPr>
        <w:t xml:space="preserve">Adicionalmente, diversas leyes, incluidas la </w:t>
      </w:r>
      <w:r w:rsidR="00C866A0">
        <w:rPr>
          <w:sz w:val="24"/>
          <w:szCs w:val="24"/>
          <w:lang w:val="es-MX"/>
        </w:rPr>
        <w:t>L</w:t>
      </w:r>
      <w:r w:rsidR="00FC5920">
        <w:rPr>
          <w:sz w:val="24"/>
          <w:szCs w:val="24"/>
          <w:lang w:val="es-MX"/>
        </w:rPr>
        <w:t xml:space="preserve">ey </w:t>
      </w:r>
      <w:r w:rsidR="00C866A0">
        <w:rPr>
          <w:sz w:val="24"/>
          <w:szCs w:val="24"/>
          <w:lang w:val="es-MX"/>
        </w:rPr>
        <w:t>G</w:t>
      </w:r>
      <w:r w:rsidR="00FC5920">
        <w:rPr>
          <w:sz w:val="24"/>
          <w:szCs w:val="24"/>
          <w:lang w:val="es-MX"/>
        </w:rPr>
        <w:t xml:space="preserve">eneral en </w:t>
      </w:r>
      <w:r w:rsidR="00C866A0">
        <w:rPr>
          <w:sz w:val="24"/>
          <w:szCs w:val="24"/>
          <w:lang w:val="es-MX"/>
        </w:rPr>
        <w:t>M</w:t>
      </w:r>
      <w:r w:rsidR="00FC5920">
        <w:rPr>
          <w:sz w:val="24"/>
          <w:szCs w:val="24"/>
          <w:lang w:val="es-MX"/>
        </w:rPr>
        <w:t xml:space="preserve">ateria de </w:t>
      </w:r>
      <w:r w:rsidR="00C866A0">
        <w:rPr>
          <w:sz w:val="24"/>
          <w:szCs w:val="24"/>
          <w:lang w:val="es-MX"/>
        </w:rPr>
        <w:t>D</w:t>
      </w:r>
      <w:r w:rsidR="00FC5920">
        <w:rPr>
          <w:sz w:val="24"/>
          <w:szCs w:val="24"/>
          <w:lang w:val="es-MX"/>
        </w:rPr>
        <w:t xml:space="preserve">esaparición </w:t>
      </w:r>
      <w:r w:rsidR="00C866A0">
        <w:rPr>
          <w:sz w:val="24"/>
          <w:szCs w:val="24"/>
          <w:lang w:val="es-MX"/>
        </w:rPr>
        <w:t>F</w:t>
      </w:r>
      <w:r w:rsidR="00FC5920">
        <w:rPr>
          <w:sz w:val="24"/>
          <w:szCs w:val="24"/>
          <w:lang w:val="es-MX"/>
        </w:rPr>
        <w:t>orzada (artículo 3)</w:t>
      </w:r>
      <w:r w:rsidR="00C866A0">
        <w:rPr>
          <w:sz w:val="24"/>
          <w:szCs w:val="24"/>
          <w:lang w:val="es-MX"/>
        </w:rPr>
        <w:t>,</w:t>
      </w:r>
      <w:r w:rsidR="00FC5920">
        <w:rPr>
          <w:sz w:val="24"/>
          <w:szCs w:val="24"/>
          <w:lang w:val="es-MX"/>
        </w:rPr>
        <w:t xml:space="preserve"> la Ley General de Víctimas (artículo 3), </w:t>
      </w:r>
      <w:r w:rsidR="00C866A0">
        <w:rPr>
          <w:sz w:val="24"/>
          <w:szCs w:val="24"/>
          <w:lang w:val="es-MX"/>
        </w:rPr>
        <w:t xml:space="preserve">así como el Protocolo Homologado, </w:t>
      </w:r>
      <w:r w:rsidR="00FC5920">
        <w:rPr>
          <w:sz w:val="24"/>
          <w:szCs w:val="24"/>
          <w:lang w:val="es-MX"/>
        </w:rPr>
        <w:t xml:space="preserve">remiten a los tratados internacionales </w:t>
      </w:r>
      <w:r w:rsidR="00C866A0">
        <w:rPr>
          <w:sz w:val="24"/>
          <w:szCs w:val="24"/>
          <w:lang w:val="es-MX"/>
        </w:rPr>
        <w:t xml:space="preserve">y a la Declaración para su referencia como parte del corpus iuris en la materia </w:t>
      </w:r>
      <w:r w:rsidR="00FC5920">
        <w:rPr>
          <w:sz w:val="24"/>
          <w:szCs w:val="24"/>
          <w:lang w:val="es-MX"/>
        </w:rPr>
        <w:t>para interpretar sus disposiciones jurídicas.</w:t>
      </w:r>
      <w:r w:rsidR="0082097A">
        <w:rPr>
          <w:sz w:val="24"/>
          <w:szCs w:val="24"/>
          <w:lang w:val="es-MX"/>
        </w:rPr>
        <w:t xml:space="preserve"> </w:t>
      </w:r>
    </w:p>
    <w:p w14:paraId="6CFE4281" w14:textId="77777777" w:rsidR="00061228" w:rsidRDefault="00061228" w:rsidP="008127B4">
      <w:pPr>
        <w:rPr>
          <w:sz w:val="24"/>
          <w:szCs w:val="24"/>
          <w:lang w:val="es-MX"/>
        </w:rPr>
      </w:pPr>
    </w:p>
    <w:p w14:paraId="714A4DB7" w14:textId="4814D7DE" w:rsidR="008127B4" w:rsidRDefault="008127B4" w:rsidP="008127B4">
      <w:pPr>
        <w:rPr>
          <w:b/>
          <w:sz w:val="24"/>
          <w:szCs w:val="24"/>
          <w:lang w:val="es-MX"/>
        </w:rPr>
      </w:pPr>
      <w:r w:rsidRPr="00FC5920">
        <w:rPr>
          <w:b/>
          <w:sz w:val="24"/>
          <w:szCs w:val="24"/>
          <w:lang w:val="es-MX"/>
        </w:rPr>
        <w:t>3. ¿Podría ilustrar si las disposiciones de la Declaración pueden invocarse ante los tribunales nacionales de su país (o países en cuestión) y, de ser así, compartir ejemplos de jurisprudencia en los que los tribunales nacionales hicieron referencia a la Declaración en sus veredictos (si es posible, resumiendo a qué disposiciones de la Declaración se hizo referencia y cómo se interpretaron)?</w:t>
      </w:r>
    </w:p>
    <w:p w14:paraId="054BCD6F" w14:textId="77777777" w:rsidR="00A02AED" w:rsidRPr="00FC5920" w:rsidRDefault="00A02AED" w:rsidP="008127B4">
      <w:pPr>
        <w:rPr>
          <w:b/>
          <w:sz w:val="24"/>
          <w:szCs w:val="24"/>
          <w:lang w:val="es-MX"/>
        </w:rPr>
      </w:pPr>
    </w:p>
    <w:p w14:paraId="36E69640" w14:textId="0679B6D0" w:rsidR="002A4DCF" w:rsidRDefault="008F0DF0" w:rsidP="008127B4">
      <w:pPr>
        <w:rPr>
          <w:sz w:val="24"/>
          <w:szCs w:val="24"/>
          <w:lang w:val="es-MX"/>
        </w:rPr>
      </w:pPr>
      <w:r>
        <w:rPr>
          <w:sz w:val="24"/>
          <w:szCs w:val="24"/>
          <w:lang w:val="es-MX"/>
        </w:rPr>
        <w:t xml:space="preserve">Algunos ejemplos de jurisprudencia </w:t>
      </w:r>
      <w:r w:rsidR="002A4DCF">
        <w:rPr>
          <w:sz w:val="24"/>
          <w:szCs w:val="24"/>
          <w:lang w:val="es-MX"/>
        </w:rPr>
        <w:t xml:space="preserve">desarrollada </w:t>
      </w:r>
      <w:r w:rsidR="00F67389">
        <w:rPr>
          <w:sz w:val="24"/>
          <w:szCs w:val="24"/>
          <w:lang w:val="es-MX"/>
        </w:rPr>
        <w:t xml:space="preserve">por </w:t>
      </w:r>
      <w:r w:rsidR="008B464A">
        <w:rPr>
          <w:sz w:val="24"/>
          <w:szCs w:val="24"/>
          <w:lang w:val="es-MX"/>
        </w:rPr>
        <w:t>el Poder Judicial Federal son:</w:t>
      </w:r>
    </w:p>
    <w:p w14:paraId="07A4DB60" w14:textId="087CB1AE" w:rsidR="00F67389" w:rsidRDefault="00F67389" w:rsidP="008127B4">
      <w:pPr>
        <w:rPr>
          <w:sz w:val="24"/>
          <w:szCs w:val="24"/>
          <w:lang w:val="es-MX"/>
        </w:rPr>
      </w:pPr>
    </w:p>
    <w:tbl>
      <w:tblPr>
        <w:tblStyle w:val="Tablaconcuadrcula"/>
        <w:tblW w:w="0" w:type="auto"/>
        <w:tblLook w:val="04A0" w:firstRow="1" w:lastRow="0" w:firstColumn="1" w:lastColumn="0" w:noHBand="0" w:noVBand="1"/>
      </w:tblPr>
      <w:tblGrid>
        <w:gridCol w:w="1652"/>
        <w:gridCol w:w="2502"/>
        <w:gridCol w:w="884"/>
        <w:gridCol w:w="3790"/>
      </w:tblGrid>
      <w:tr w:rsidR="000F64B5" w14:paraId="784498B0" w14:textId="77777777" w:rsidTr="000F64B5">
        <w:tc>
          <w:tcPr>
            <w:tcW w:w="1652" w:type="dxa"/>
          </w:tcPr>
          <w:p w14:paraId="22E052AD" w14:textId="75538DD6" w:rsidR="00F67389" w:rsidRDefault="000F64B5" w:rsidP="008127B4">
            <w:pPr>
              <w:rPr>
                <w:sz w:val="24"/>
                <w:szCs w:val="24"/>
                <w:lang w:val="es-MX"/>
              </w:rPr>
            </w:pPr>
            <w:r>
              <w:rPr>
                <w:sz w:val="24"/>
                <w:szCs w:val="24"/>
                <w:lang w:val="es-MX"/>
              </w:rPr>
              <w:t>Naturaleza</w:t>
            </w:r>
            <w:r w:rsidR="00D01997">
              <w:rPr>
                <w:sz w:val="24"/>
                <w:szCs w:val="24"/>
                <w:lang w:val="es-MX"/>
              </w:rPr>
              <w:t xml:space="preserve"> </w:t>
            </w:r>
          </w:p>
        </w:tc>
        <w:tc>
          <w:tcPr>
            <w:tcW w:w="2502" w:type="dxa"/>
          </w:tcPr>
          <w:p w14:paraId="12D08BBF" w14:textId="03964CE2" w:rsidR="00F67389" w:rsidRDefault="00F67389" w:rsidP="008127B4">
            <w:pPr>
              <w:rPr>
                <w:sz w:val="24"/>
                <w:szCs w:val="24"/>
                <w:lang w:val="es-MX"/>
              </w:rPr>
            </w:pPr>
            <w:r>
              <w:rPr>
                <w:sz w:val="24"/>
                <w:szCs w:val="24"/>
                <w:lang w:val="es-MX"/>
              </w:rPr>
              <w:t>Número de identificación</w:t>
            </w:r>
          </w:p>
        </w:tc>
        <w:tc>
          <w:tcPr>
            <w:tcW w:w="884" w:type="dxa"/>
          </w:tcPr>
          <w:p w14:paraId="658DCA25" w14:textId="03585272" w:rsidR="00F67389" w:rsidRDefault="00F67389" w:rsidP="008127B4">
            <w:pPr>
              <w:rPr>
                <w:sz w:val="24"/>
                <w:szCs w:val="24"/>
                <w:lang w:val="es-MX"/>
              </w:rPr>
            </w:pPr>
            <w:r>
              <w:rPr>
                <w:sz w:val="24"/>
                <w:szCs w:val="24"/>
                <w:lang w:val="es-MX"/>
              </w:rPr>
              <w:t>Art</w:t>
            </w:r>
            <w:r w:rsidR="00235600">
              <w:rPr>
                <w:sz w:val="24"/>
                <w:szCs w:val="24"/>
                <w:lang w:val="es-MX"/>
              </w:rPr>
              <w:t>ículo</w:t>
            </w:r>
          </w:p>
        </w:tc>
        <w:tc>
          <w:tcPr>
            <w:tcW w:w="3790" w:type="dxa"/>
          </w:tcPr>
          <w:p w14:paraId="0B90CA48" w14:textId="3DE807AE" w:rsidR="00F67389" w:rsidRDefault="00F67389" w:rsidP="008127B4">
            <w:pPr>
              <w:rPr>
                <w:sz w:val="24"/>
                <w:szCs w:val="24"/>
                <w:lang w:val="es-MX"/>
              </w:rPr>
            </w:pPr>
            <w:r>
              <w:rPr>
                <w:sz w:val="24"/>
                <w:szCs w:val="24"/>
                <w:lang w:val="es-MX"/>
              </w:rPr>
              <w:t>Sentido de la referencia</w:t>
            </w:r>
          </w:p>
        </w:tc>
      </w:tr>
      <w:tr w:rsidR="000F64B5" w:rsidRPr="00235600" w14:paraId="03CC7D6D" w14:textId="77777777" w:rsidTr="000F64B5">
        <w:tc>
          <w:tcPr>
            <w:tcW w:w="1652" w:type="dxa"/>
          </w:tcPr>
          <w:p w14:paraId="0FA5470E" w14:textId="06957479" w:rsidR="00235600" w:rsidRDefault="00235600" w:rsidP="008127B4">
            <w:pPr>
              <w:rPr>
                <w:sz w:val="24"/>
                <w:szCs w:val="24"/>
                <w:lang w:val="es-MX"/>
              </w:rPr>
            </w:pPr>
            <w:r>
              <w:rPr>
                <w:sz w:val="24"/>
                <w:szCs w:val="24"/>
                <w:lang w:val="es-MX"/>
              </w:rPr>
              <w:t>Tesis Aislada</w:t>
            </w:r>
          </w:p>
        </w:tc>
        <w:tc>
          <w:tcPr>
            <w:tcW w:w="2502" w:type="dxa"/>
          </w:tcPr>
          <w:p w14:paraId="52A39EE7" w14:textId="111C5AB8" w:rsidR="00235600" w:rsidRPr="003A1BF3" w:rsidRDefault="00235600" w:rsidP="003A1BF3">
            <w:pPr>
              <w:jc w:val="center"/>
              <w:rPr>
                <w:sz w:val="24"/>
                <w:szCs w:val="24"/>
              </w:rPr>
            </w:pPr>
            <w:hyperlink r:id="rId15" w:history="1">
              <w:r w:rsidRPr="003A1BF3">
                <w:rPr>
                  <w:rStyle w:val="Hipervnculo"/>
                  <w:sz w:val="24"/>
                  <w:szCs w:val="24"/>
                </w:rPr>
                <w:t xml:space="preserve"> I.1o.P.160 P (10a.)</w:t>
              </w:r>
            </w:hyperlink>
          </w:p>
        </w:tc>
        <w:tc>
          <w:tcPr>
            <w:tcW w:w="884" w:type="dxa"/>
          </w:tcPr>
          <w:p w14:paraId="6A13F44F" w14:textId="6E98AFCF" w:rsidR="00235600" w:rsidRPr="003A1BF3" w:rsidRDefault="00235600" w:rsidP="008127B4">
            <w:pPr>
              <w:rPr>
                <w:sz w:val="24"/>
                <w:szCs w:val="24"/>
              </w:rPr>
            </w:pPr>
            <w:r>
              <w:rPr>
                <w:sz w:val="24"/>
                <w:szCs w:val="24"/>
              </w:rPr>
              <w:t>1</w:t>
            </w:r>
          </w:p>
        </w:tc>
        <w:tc>
          <w:tcPr>
            <w:tcW w:w="3790" w:type="dxa"/>
          </w:tcPr>
          <w:p w14:paraId="1A906639" w14:textId="00930C30" w:rsidR="00235600" w:rsidRPr="00235600" w:rsidRDefault="00235600" w:rsidP="008127B4">
            <w:pPr>
              <w:rPr>
                <w:sz w:val="24"/>
                <w:szCs w:val="24"/>
                <w:lang w:val="es-MX"/>
              </w:rPr>
            </w:pPr>
            <w:r w:rsidRPr="003A1BF3">
              <w:rPr>
                <w:sz w:val="24"/>
                <w:szCs w:val="24"/>
                <w:lang w:val="es-MX"/>
              </w:rPr>
              <w:t>Debe entenderse como violación g</w:t>
            </w:r>
            <w:r>
              <w:rPr>
                <w:sz w:val="24"/>
                <w:szCs w:val="24"/>
                <w:lang w:val="es-MX"/>
              </w:rPr>
              <w:t>rave y manifiesta de los derechos humanos</w:t>
            </w:r>
          </w:p>
        </w:tc>
      </w:tr>
      <w:tr w:rsidR="000F64B5" w14:paraId="6AF6E6C2" w14:textId="77777777" w:rsidTr="000F64B5">
        <w:tc>
          <w:tcPr>
            <w:tcW w:w="1652" w:type="dxa"/>
          </w:tcPr>
          <w:p w14:paraId="1F59B809" w14:textId="31115497" w:rsidR="00F67389" w:rsidRPr="00235600" w:rsidRDefault="00235600" w:rsidP="008127B4">
            <w:pPr>
              <w:rPr>
                <w:sz w:val="24"/>
                <w:szCs w:val="24"/>
                <w:lang w:val="es-MX"/>
              </w:rPr>
            </w:pPr>
            <w:r>
              <w:rPr>
                <w:sz w:val="24"/>
                <w:szCs w:val="24"/>
                <w:lang w:val="es-MX"/>
              </w:rPr>
              <w:t>Amparo en Revisión</w:t>
            </w:r>
          </w:p>
        </w:tc>
        <w:tc>
          <w:tcPr>
            <w:tcW w:w="2502" w:type="dxa"/>
          </w:tcPr>
          <w:p w14:paraId="4FF5E81E" w14:textId="49E7E8E6" w:rsidR="00F67389" w:rsidRPr="00320E3F" w:rsidRDefault="00235600" w:rsidP="003A1BF3">
            <w:pPr>
              <w:jc w:val="center"/>
              <w:rPr>
                <w:sz w:val="24"/>
                <w:szCs w:val="24"/>
                <w:lang w:val="es-MX"/>
              </w:rPr>
            </w:pPr>
            <w:hyperlink r:id="rId16" w:history="1">
              <w:r w:rsidRPr="003A1BF3">
                <w:rPr>
                  <w:rStyle w:val="Hipervnculo"/>
                </w:rPr>
                <w:t>1077/2019</w:t>
              </w:r>
            </w:hyperlink>
          </w:p>
        </w:tc>
        <w:tc>
          <w:tcPr>
            <w:tcW w:w="884" w:type="dxa"/>
          </w:tcPr>
          <w:p w14:paraId="27D69F3E" w14:textId="709FD770" w:rsidR="00F67389" w:rsidRPr="00320E3F" w:rsidRDefault="00235600" w:rsidP="008127B4">
            <w:pPr>
              <w:rPr>
                <w:sz w:val="24"/>
                <w:szCs w:val="24"/>
                <w:lang w:val="es-MX"/>
              </w:rPr>
            </w:pPr>
            <w:r w:rsidRPr="00320E3F">
              <w:rPr>
                <w:sz w:val="24"/>
                <w:szCs w:val="24"/>
                <w:lang w:val="es-MX"/>
              </w:rPr>
              <w:t>No Aplica</w:t>
            </w:r>
          </w:p>
        </w:tc>
        <w:tc>
          <w:tcPr>
            <w:tcW w:w="3790" w:type="dxa"/>
          </w:tcPr>
          <w:p w14:paraId="6FA7C6EA" w14:textId="29892888" w:rsidR="00F67389" w:rsidRPr="00320E3F" w:rsidRDefault="00235600" w:rsidP="008127B4">
            <w:pPr>
              <w:rPr>
                <w:sz w:val="24"/>
                <w:szCs w:val="24"/>
                <w:lang w:val="es-MX"/>
              </w:rPr>
            </w:pPr>
            <w:r w:rsidRPr="003A1BF3">
              <w:rPr>
                <w:rFonts w:cs="Segoe UI"/>
                <w:color w:val="212529"/>
                <w:sz w:val="24"/>
                <w:szCs w:val="24"/>
                <w:shd w:val="clear" w:color="auto" w:fill="FFFFFF"/>
                <w:lang w:val="es-MX"/>
              </w:rPr>
              <w:t xml:space="preserve">Definición como violación grave de derechos humanos </w:t>
            </w:r>
            <w:r w:rsidR="008B464A">
              <w:rPr>
                <w:rFonts w:cs="Segoe UI"/>
                <w:color w:val="212529"/>
                <w:sz w:val="24"/>
                <w:szCs w:val="24"/>
                <w:shd w:val="clear" w:color="auto" w:fill="FFFFFF"/>
                <w:lang w:val="es-MX"/>
              </w:rPr>
              <w:t>que atenta contra otros derechos.</w:t>
            </w:r>
          </w:p>
        </w:tc>
      </w:tr>
      <w:tr w:rsidR="000F64B5" w14:paraId="4DA9B254" w14:textId="77777777" w:rsidTr="000F64B5">
        <w:tc>
          <w:tcPr>
            <w:tcW w:w="1652" w:type="dxa"/>
            <w:vMerge w:val="restart"/>
          </w:tcPr>
          <w:p w14:paraId="46174065" w14:textId="601F4C6D" w:rsidR="000F64B5" w:rsidRDefault="000F64B5" w:rsidP="008127B4">
            <w:pPr>
              <w:rPr>
                <w:sz w:val="24"/>
                <w:szCs w:val="24"/>
                <w:lang w:val="es-MX"/>
              </w:rPr>
            </w:pPr>
            <w:r>
              <w:rPr>
                <w:sz w:val="24"/>
                <w:szCs w:val="24"/>
                <w:lang w:val="es-MX"/>
              </w:rPr>
              <w:t>Contradicción de Tesis</w:t>
            </w:r>
          </w:p>
        </w:tc>
        <w:tc>
          <w:tcPr>
            <w:tcW w:w="2502" w:type="dxa"/>
            <w:vMerge w:val="restart"/>
          </w:tcPr>
          <w:p w14:paraId="6205065B" w14:textId="77777777" w:rsidR="000F64B5" w:rsidRPr="003A1BF3" w:rsidRDefault="000F64B5" w:rsidP="003A1BF3">
            <w:pPr>
              <w:jc w:val="center"/>
              <w:rPr>
                <w:rFonts w:cs="Segoe UI"/>
                <w:color w:val="212529"/>
                <w:sz w:val="24"/>
                <w:szCs w:val="24"/>
                <w:shd w:val="clear" w:color="auto" w:fill="FFFFFF"/>
              </w:rPr>
            </w:pPr>
          </w:p>
          <w:p w14:paraId="050E33B1" w14:textId="5351E059" w:rsidR="000F64B5" w:rsidRPr="00320E3F" w:rsidRDefault="00D01997" w:rsidP="003A1BF3">
            <w:pPr>
              <w:jc w:val="center"/>
              <w:rPr>
                <w:sz w:val="24"/>
                <w:szCs w:val="24"/>
                <w:lang w:val="es-MX"/>
              </w:rPr>
            </w:pPr>
            <w:hyperlink r:id="rId17" w:history="1">
              <w:r w:rsidR="000F64B5" w:rsidRPr="003A1BF3">
                <w:rPr>
                  <w:rStyle w:val="Hipervnculo"/>
                  <w:sz w:val="24"/>
                  <w:szCs w:val="24"/>
                </w:rPr>
                <w:t>261/2018</w:t>
              </w:r>
            </w:hyperlink>
          </w:p>
        </w:tc>
        <w:tc>
          <w:tcPr>
            <w:tcW w:w="884" w:type="dxa"/>
          </w:tcPr>
          <w:p w14:paraId="0CE1CE58" w14:textId="362A524E" w:rsidR="000F64B5" w:rsidRPr="00320E3F" w:rsidRDefault="000F64B5" w:rsidP="005772FD">
            <w:pPr>
              <w:jc w:val="center"/>
              <w:rPr>
                <w:sz w:val="24"/>
                <w:szCs w:val="24"/>
                <w:lang w:val="es-MX"/>
              </w:rPr>
            </w:pPr>
            <w:r w:rsidRPr="00320E3F">
              <w:rPr>
                <w:sz w:val="24"/>
                <w:szCs w:val="24"/>
                <w:lang w:val="es-MX"/>
              </w:rPr>
              <w:t>9</w:t>
            </w:r>
          </w:p>
        </w:tc>
        <w:tc>
          <w:tcPr>
            <w:tcW w:w="3790" w:type="dxa"/>
          </w:tcPr>
          <w:p w14:paraId="4DB5AC8E" w14:textId="2432D781" w:rsidR="000F64B5" w:rsidRPr="003A1BF3" w:rsidRDefault="000F64B5" w:rsidP="008127B4">
            <w:pPr>
              <w:rPr>
                <w:rFonts w:cs="Segoe UI"/>
                <w:color w:val="212529"/>
                <w:sz w:val="24"/>
                <w:szCs w:val="24"/>
                <w:shd w:val="clear" w:color="auto" w:fill="FFFFFF"/>
                <w:lang w:val="es-MX"/>
              </w:rPr>
            </w:pPr>
            <w:r w:rsidRPr="003A1BF3">
              <w:rPr>
                <w:rFonts w:cs="Segoe UI"/>
                <w:color w:val="212529"/>
                <w:sz w:val="24"/>
                <w:szCs w:val="24"/>
                <w:shd w:val="clear" w:color="auto" w:fill="FFFFFF"/>
                <w:lang w:val="es-MX"/>
              </w:rPr>
              <w:t>Como criterio orientador con el derecho a un recurso judicial rápido.</w:t>
            </w:r>
          </w:p>
        </w:tc>
      </w:tr>
      <w:tr w:rsidR="000F64B5" w14:paraId="2CD2DF2A" w14:textId="77777777" w:rsidTr="000F64B5">
        <w:tc>
          <w:tcPr>
            <w:tcW w:w="1652" w:type="dxa"/>
            <w:vMerge/>
          </w:tcPr>
          <w:p w14:paraId="60C2C34F" w14:textId="77777777" w:rsidR="000F64B5" w:rsidRDefault="000F64B5" w:rsidP="008127B4">
            <w:pPr>
              <w:rPr>
                <w:sz w:val="24"/>
                <w:szCs w:val="24"/>
                <w:lang w:val="es-MX"/>
              </w:rPr>
            </w:pPr>
          </w:p>
        </w:tc>
        <w:tc>
          <w:tcPr>
            <w:tcW w:w="2502" w:type="dxa"/>
            <w:vMerge/>
          </w:tcPr>
          <w:p w14:paraId="2ACBA07E" w14:textId="77777777" w:rsidR="000F64B5" w:rsidRDefault="000F64B5" w:rsidP="008127B4">
            <w:pPr>
              <w:rPr>
                <w:sz w:val="24"/>
                <w:szCs w:val="24"/>
                <w:lang w:val="es-MX"/>
              </w:rPr>
            </w:pPr>
          </w:p>
        </w:tc>
        <w:tc>
          <w:tcPr>
            <w:tcW w:w="884" w:type="dxa"/>
          </w:tcPr>
          <w:p w14:paraId="60D8BFBD" w14:textId="7E6C3CED" w:rsidR="000F64B5" w:rsidRDefault="000F64B5" w:rsidP="005772FD">
            <w:pPr>
              <w:jc w:val="center"/>
              <w:rPr>
                <w:sz w:val="24"/>
                <w:szCs w:val="24"/>
                <w:lang w:val="es-MX"/>
              </w:rPr>
            </w:pPr>
            <w:r>
              <w:rPr>
                <w:sz w:val="24"/>
                <w:szCs w:val="24"/>
                <w:lang w:val="es-MX"/>
              </w:rPr>
              <w:t>13</w:t>
            </w:r>
          </w:p>
        </w:tc>
        <w:tc>
          <w:tcPr>
            <w:tcW w:w="3790" w:type="dxa"/>
          </w:tcPr>
          <w:p w14:paraId="764097D0" w14:textId="29C0277B" w:rsidR="000F64B5" w:rsidRDefault="000F64B5" w:rsidP="008127B4">
            <w:pPr>
              <w:rPr>
                <w:sz w:val="24"/>
                <w:szCs w:val="24"/>
                <w:lang w:val="es-MX"/>
              </w:rPr>
            </w:pPr>
            <w:r>
              <w:rPr>
                <w:sz w:val="24"/>
                <w:szCs w:val="24"/>
                <w:lang w:val="es-MX"/>
              </w:rPr>
              <w:t>Como criterio orientador en relación con la denuncia del delito</w:t>
            </w:r>
            <w:r w:rsidR="00572041">
              <w:rPr>
                <w:sz w:val="24"/>
                <w:szCs w:val="24"/>
                <w:lang w:val="es-MX"/>
              </w:rPr>
              <w:t>.</w:t>
            </w:r>
          </w:p>
        </w:tc>
      </w:tr>
    </w:tbl>
    <w:p w14:paraId="4454B50B" w14:textId="09044205" w:rsidR="00301305" w:rsidRPr="00301305" w:rsidRDefault="00301305" w:rsidP="00301305">
      <w:pPr>
        <w:ind w:left="284" w:right="333"/>
        <w:rPr>
          <w:i/>
          <w:sz w:val="20"/>
          <w:szCs w:val="20"/>
          <w:lang w:val="es-MX"/>
        </w:rPr>
      </w:pPr>
      <w:r w:rsidRPr="00301305">
        <w:rPr>
          <w:i/>
          <w:sz w:val="20"/>
          <w:szCs w:val="20"/>
          <w:lang w:val="es-MX"/>
        </w:rPr>
        <w:t>.</w:t>
      </w:r>
    </w:p>
    <w:p w14:paraId="00B24808" w14:textId="77777777" w:rsidR="00FC5920" w:rsidRDefault="00FC5920" w:rsidP="008127B4">
      <w:pPr>
        <w:rPr>
          <w:sz w:val="24"/>
          <w:szCs w:val="24"/>
          <w:lang w:val="es-MX"/>
        </w:rPr>
      </w:pPr>
    </w:p>
    <w:p w14:paraId="528216FF" w14:textId="64BCEC50" w:rsidR="00AE0A63" w:rsidRPr="00AE0A63" w:rsidRDefault="00AE0A63" w:rsidP="008127B4">
      <w:pPr>
        <w:rPr>
          <w:sz w:val="24"/>
          <w:szCs w:val="24"/>
          <w:lang w:val="es-MX"/>
        </w:rPr>
      </w:pPr>
      <w:r>
        <w:rPr>
          <w:sz w:val="24"/>
          <w:szCs w:val="24"/>
          <w:lang w:val="es-MX"/>
        </w:rPr>
        <w:t xml:space="preserve">Adicionalmente, </w:t>
      </w:r>
      <w:r w:rsidR="00067ED3">
        <w:rPr>
          <w:sz w:val="24"/>
          <w:szCs w:val="24"/>
          <w:lang w:val="es-MX"/>
        </w:rPr>
        <w:t>resulta importante mencionar que a diferencia de la Declaración en</w:t>
      </w:r>
      <w:r>
        <w:rPr>
          <w:sz w:val="24"/>
          <w:szCs w:val="24"/>
          <w:lang w:val="es-MX"/>
        </w:rPr>
        <w:t xml:space="preserve"> relación </w:t>
      </w:r>
      <w:r w:rsidR="00067ED3">
        <w:rPr>
          <w:sz w:val="24"/>
          <w:szCs w:val="24"/>
          <w:lang w:val="es-MX"/>
        </w:rPr>
        <w:t>con</w:t>
      </w:r>
      <w:r>
        <w:rPr>
          <w:sz w:val="24"/>
          <w:szCs w:val="24"/>
          <w:lang w:val="es-MX"/>
        </w:rPr>
        <w:t xml:space="preserve"> la CED, se han emitido cuatro tesis jurisprudenciales </w:t>
      </w:r>
      <w:hyperlink r:id="rId18" w:history="1">
        <w:r w:rsidR="00301305" w:rsidRPr="00193209">
          <w:rPr>
            <w:rStyle w:val="Hipervnculo"/>
            <w:sz w:val="24"/>
            <w:szCs w:val="24"/>
            <w:lang w:val="es-MX"/>
          </w:rPr>
          <w:t>1a./J. 37/2021 (11a.)</w:t>
        </w:r>
      </w:hyperlink>
      <w:r>
        <w:rPr>
          <w:sz w:val="24"/>
          <w:szCs w:val="24"/>
          <w:lang w:val="es-MX"/>
        </w:rPr>
        <w:t>,</w:t>
      </w:r>
      <w:r w:rsidRPr="00301305">
        <w:rPr>
          <w:sz w:val="24"/>
          <w:szCs w:val="24"/>
          <w:lang w:val="es-MX"/>
        </w:rPr>
        <w:t xml:space="preserve"> </w:t>
      </w:r>
      <w:hyperlink r:id="rId19" w:history="1">
        <w:r w:rsidR="00301305" w:rsidRPr="00193209">
          <w:rPr>
            <w:rStyle w:val="Hipervnculo"/>
            <w:sz w:val="24"/>
            <w:szCs w:val="24"/>
            <w:lang w:val="es-MX"/>
          </w:rPr>
          <w:t>1a./J. 36/2021 (11a.)</w:t>
        </w:r>
      </w:hyperlink>
      <w:r>
        <w:rPr>
          <w:sz w:val="24"/>
          <w:szCs w:val="24"/>
          <w:lang w:val="es-MX"/>
        </w:rPr>
        <w:t xml:space="preserve">, </w:t>
      </w:r>
      <w:hyperlink r:id="rId20" w:history="1">
        <w:r w:rsidR="00301305" w:rsidRPr="00193209">
          <w:rPr>
            <w:rStyle w:val="Hipervnculo"/>
            <w:sz w:val="24"/>
            <w:szCs w:val="24"/>
            <w:lang w:val="es-MX"/>
          </w:rPr>
          <w:t>1a./J. 35/2021 (11a.)</w:t>
        </w:r>
      </w:hyperlink>
      <w:r>
        <w:rPr>
          <w:sz w:val="24"/>
          <w:szCs w:val="24"/>
          <w:lang w:val="es-MX"/>
        </w:rPr>
        <w:t xml:space="preserve"> y </w:t>
      </w:r>
      <w:hyperlink r:id="rId21" w:history="1">
        <w:r w:rsidR="00301305" w:rsidRPr="00193209">
          <w:rPr>
            <w:rStyle w:val="Hipervnculo"/>
            <w:sz w:val="24"/>
            <w:szCs w:val="24"/>
            <w:lang w:val="es-MX"/>
          </w:rPr>
          <w:t>1a./J. 34/2021 (11a.)</w:t>
        </w:r>
      </w:hyperlink>
      <w:r>
        <w:rPr>
          <w:sz w:val="24"/>
          <w:szCs w:val="24"/>
          <w:lang w:val="es-MX"/>
        </w:rPr>
        <w:t xml:space="preserve">, así como once tesis aisladas, en las que de forma explicita se hace referencia a dicha convención internacional </w:t>
      </w:r>
      <w:hyperlink r:id="rId22" w:history="1">
        <w:r w:rsidR="00301305" w:rsidRPr="00193209">
          <w:rPr>
            <w:rStyle w:val="Hipervnculo"/>
            <w:sz w:val="24"/>
            <w:szCs w:val="24"/>
            <w:lang w:val="es-MX"/>
          </w:rPr>
          <w:t>I.1o.P.166 P (10a.)</w:t>
        </w:r>
      </w:hyperlink>
      <w:r>
        <w:rPr>
          <w:sz w:val="24"/>
          <w:szCs w:val="24"/>
          <w:lang w:val="es-MX"/>
        </w:rPr>
        <w:t xml:space="preserve">, </w:t>
      </w:r>
      <w:hyperlink r:id="rId23" w:history="1">
        <w:r w:rsidRPr="00193209">
          <w:rPr>
            <w:rStyle w:val="Hipervnculo"/>
            <w:sz w:val="24"/>
            <w:szCs w:val="24"/>
            <w:lang w:val="es-MX"/>
          </w:rPr>
          <w:t>I.1o.P.163 P (10a.)</w:t>
        </w:r>
      </w:hyperlink>
      <w:r>
        <w:rPr>
          <w:sz w:val="24"/>
          <w:szCs w:val="24"/>
          <w:lang w:val="es-MX"/>
        </w:rPr>
        <w:t xml:space="preserve">, </w:t>
      </w:r>
      <w:hyperlink r:id="rId24" w:history="1">
        <w:r w:rsidRPr="00193209">
          <w:rPr>
            <w:rStyle w:val="Hipervnculo"/>
            <w:sz w:val="24"/>
            <w:szCs w:val="24"/>
            <w:lang w:val="es-MX"/>
          </w:rPr>
          <w:t>I.1o.P.162 P (10a.)</w:t>
        </w:r>
      </w:hyperlink>
      <w:r w:rsidRPr="00AE0A63">
        <w:rPr>
          <w:sz w:val="24"/>
          <w:szCs w:val="24"/>
          <w:lang w:val="es-MX"/>
        </w:rPr>
        <w:t>,</w:t>
      </w:r>
      <w:r>
        <w:rPr>
          <w:sz w:val="24"/>
          <w:szCs w:val="24"/>
          <w:lang w:val="es-MX"/>
        </w:rPr>
        <w:t xml:space="preserve"> </w:t>
      </w:r>
      <w:hyperlink r:id="rId25" w:history="1">
        <w:r w:rsidRPr="00193209">
          <w:rPr>
            <w:rStyle w:val="Hipervnculo"/>
            <w:sz w:val="24"/>
            <w:szCs w:val="24"/>
            <w:lang w:val="es-MX"/>
          </w:rPr>
          <w:t>I.1o.P.124 P (10a.)</w:t>
        </w:r>
      </w:hyperlink>
      <w:r>
        <w:rPr>
          <w:sz w:val="24"/>
          <w:szCs w:val="24"/>
          <w:lang w:val="es-MX"/>
        </w:rPr>
        <w:t xml:space="preserve">, </w:t>
      </w:r>
      <w:hyperlink r:id="rId26" w:history="1">
        <w:r w:rsidRPr="00193209">
          <w:rPr>
            <w:rStyle w:val="Hipervnculo"/>
            <w:sz w:val="24"/>
            <w:szCs w:val="24"/>
            <w:lang w:val="es-MX"/>
          </w:rPr>
          <w:t>I.1o.P.107 P (10a.)</w:t>
        </w:r>
      </w:hyperlink>
      <w:r w:rsidRPr="00AE0A63">
        <w:rPr>
          <w:sz w:val="24"/>
          <w:szCs w:val="24"/>
          <w:lang w:val="es-MX"/>
        </w:rPr>
        <w:t xml:space="preserve">, </w:t>
      </w:r>
      <w:hyperlink r:id="rId27" w:history="1">
        <w:r w:rsidRPr="00193209">
          <w:rPr>
            <w:rStyle w:val="Hipervnculo"/>
            <w:sz w:val="24"/>
            <w:szCs w:val="24"/>
            <w:lang w:val="es-MX"/>
          </w:rPr>
          <w:t>I.1o.P.106 P (10a.)</w:t>
        </w:r>
      </w:hyperlink>
      <w:r w:rsidRPr="00AE0A63">
        <w:rPr>
          <w:sz w:val="24"/>
          <w:szCs w:val="24"/>
          <w:lang w:val="es-MX"/>
        </w:rPr>
        <w:t xml:space="preserve">, </w:t>
      </w:r>
      <w:hyperlink r:id="rId28" w:history="1">
        <w:r w:rsidRPr="00193209">
          <w:rPr>
            <w:rStyle w:val="Hipervnculo"/>
            <w:sz w:val="24"/>
            <w:szCs w:val="24"/>
            <w:lang w:val="es-MX"/>
          </w:rPr>
          <w:t>I.9o.P.177 P (10a.)</w:t>
        </w:r>
      </w:hyperlink>
      <w:r w:rsidRPr="00AE0A63">
        <w:rPr>
          <w:sz w:val="24"/>
          <w:szCs w:val="24"/>
          <w:lang w:val="es-MX"/>
        </w:rPr>
        <w:t xml:space="preserve">, </w:t>
      </w:r>
      <w:hyperlink r:id="rId29" w:history="1">
        <w:r w:rsidRPr="00193209">
          <w:rPr>
            <w:rStyle w:val="Hipervnculo"/>
            <w:sz w:val="24"/>
            <w:szCs w:val="24"/>
            <w:lang w:val="es-MX"/>
          </w:rPr>
          <w:t>1a. CCXXVIII/2017 (10a.)</w:t>
        </w:r>
      </w:hyperlink>
      <w:r w:rsidRPr="00193209">
        <w:rPr>
          <w:sz w:val="24"/>
          <w:szCs w:val="24"/>
          <w:lang w:val="es-MX"/>
        </w:rPr>
        <w:t xml:space="preserve">, </w:t>
      </w:r>
      <w:hyperlink r:id="rId30" w:history="1">
        <w:r w:rsidRPr="00193209">
          <w:rPr>
            <w:rStyle w:val="Hipervnculo"/>
            <w:sz w:val="24"/>
            <w:szCs w:val="24"/>
            <w:lang w:val="es-MX"/>
          </w:rPr>
          <w:t>1a. CCXXVII/2017 (10a.)</w:t>
        </w:r>
      </w:hyperlink>
      <w:r w:rsidRPr="00193209">
        <w:rPr>
          <w:sz w:val="24"/>
          <w:szCs w:val="24"/>
          <w:lang w:val="es-MX"/>
        </w:rPr>
        <w:t xml:space="preserve">, </w:t>
      </w:r>
      <w:hyperlink r:id="rId31" w:history="1">
        <w:r w:rsidRPr="00193209">
          <w:rPr>
            <w:rStyle w:val="Hipervnculo"/>
            <w:sz w:val="24"/>
            <w:szCs w:val="24"/>
            <w:lang w:val="es-MX"/>
          </w:rPr>
          <w:t>VIII.2o.P.A.3 P (10a.)</w:t>
        </w:r>
      </w:hyperlink>
      <w:r w:rsidRPr="00193209">
        <w:rPr>
          <w:sz w:val="24"/>
          <w:szCs w:val="24"/>
          <w:lang w:val="es-MX"/>
        </w:rPr>
        <w:t xml:space="preserve">, y </w:t>
      </w:r>
      <w:hyperlink r:id="rId32" w:history="1">
        <w:r w:rsidRPr="00193209">
          <w:rPr>
            <w:rStyle w:val="Hipervnculo"/>
            <w:sz w:val="24"/>
            <w:szCs w:val="24"/>
            <w:lang w:val="es-MX"/>
          </w:rPr>
          <w:t>VIII.2o.P.A.2 P (10a.)</w:t>
        </w:r>
      </w:hyperlink>
      <w:r w:rsidR="00193209">
        <w:rPr>
          <w:sz w:val="24"/>
          <w:szCs w:val="24"/>
          <w:lang w:val="es-MX"/>
        </w:rPr>
        <w:t>.</w:t>
      </w:r>
    </w:p>
    <w:p w14:paraId="63B92866" w14:textId="77777777" w:rsidR="00301305" w:rsidRDefault="00301305" w:rsidP="008127B4">
      <w:pPr>
        <w:rPr>
          <w:sz w:val="24"/>
          <w:szCs w:val="24"/>
          <w:lang w:val="es-MX"/>
        </w:rPr>
      </w:pPr>
    </w:p>
    <w:p w14:paraId="514FCEB5" w14:textId="77777777" w:rsidR="00193209" w:rsidRPr="00E803FA" w:rsidRDefault="00193209" w:rsidP="008127B4">
      <w:pPr>
        <w:rPr>
          <w:sz w:val="24"/>
          <w:szCs w:val="24"/>
          <w:lang w:val="es-MX"/>
        </w:rPr>
      </w:pPr>
      <w:r>
        <w:rPr>
          <w:sz w:val="24"/>
          <w:szCs w:val="24"/>
          <w:lang w:val="es-MX"/>
        </w:rPr>
        <w:lastRenderedPageBreak/>
        <w:t xml:space="preserve">Finalmente, </w:t>
      </w:r>
      <w:r w:rsidR="00E803FA">
        <w:rPr>
          <w:sz w:val="24"/>
          <w:szCs w:val="24"/>
          <w:lang w:val="es-MX"/>
        </w:rPr>
        <w:t xml:space="preserve">la CIDFP ha sido referida expresamente en tres tesis jurisprudenciales </w:t>
      </w:r>
      <w:hyperlink r:id="rId33" w:history="1">
        <w:r w:rsidR="00E803FA" w:rsidRPr="00E803FA">
          <w:rPr>
            <w:rStyle w:val="Hipervnculo"/>
            <w:sz w:val="24"/>
            <w:szCs w:val="24"/>
            <w:lang w:val="es-MX"/>
          </w:rPr>
          <w:t>P./J. 87/2004</w:t>
        </w:r>
      </w:hyperlink>
      <w:r w:rsidR="00E803FA" w:rsidRPr="00E803FA">
        <w:rPr>
          <w:sz w:val="24"/>
          <w:szCs w:val="24"/>
          <w:lang w:val="es-MX"/>
        </w:rPr>
        <w:t xml:space="preserve">, </w:t>
      </w:r>
      <w:hyperlink r:id="rId34" w:history="1">
        <w:r w:rsidR="00E803FA" w:rsidRPr="00E803FA">
          <w:rPr>
            <w:rStyle w:val="Hipervnculo"/>
            <w:sz w:val="24"/>
            <w:szCs w:val="24"/>
            <w:lang w:val="es-MX"/>
          </w:rPr>
          <w:t>P./J. 86/2004</w:t>
        </w:r>
      </w:hyperlink>
      <w:r w:rsidR="00E803FA" w:rsidRPr="00E803FA">
        <w:rPr>
          <w:sz w:val="24"/>
          <w:szCs w:val="24"/>
          <w:lang w:val="es-MX"/>
        </w:rPr>
        <w:t xml:space="preserve"> y </w:t>
      </w:r>
      <w:hyperlink r:id="rId35" w:history="1">
        <w:r w:rsidR="00E803FA" w:rsidRPr="00E803FA">
          <w:rPr>
            <w:rStyle w:val="Hipervnculo"/>
            <w:sz w:val="24"/>
            <w:szCs w:val="24"/>
            <w:lang w:val="es-MX"/>
          </w:rPr>
          <w:t>P./J. 48/2004</w:t>
        </w:r>
      </w:hyperlink>
      <w:r w:rsidR="00E803FA" w:rsidRPr="00E803FA">
        <w:rPr>
          <w:sz w:val="24"/>
          <w:szCs w:val="24"/>
          <w:lang w:val="es-MX"/>
        </w:rPr>
        <w:t>,</w:t>
      </w:r>
      <w:r w:rsidR="00E803FA">
        <w:rPr>
          <w:sz w:val="24"/>
          <w:szCs w:val="24"/>
          <w:lang w:val="es-MX"/>
        </w:rPr>
        <w:t xml:space="preserve"> y en siete tesis aisladas </w:t>
      </w:r>
      <w:hyperlink r:id="rId36" w:history="1">
        <w:r w:rsidRPr="00E803FA">
          <w:rPr>
            <w:rStyle w:val="Hipervnculo"/>
            <w:sz w:val="24"/>
            <w:szCs w:val="24"/>
            <w:lang w:val="es-MX"/>
          </w:rPr>
          <w:t>I.1o.P.162 P (10a.)</w:t>
        </w:r>
      </w:hyperlink>
      <w:r w:rsidR="00E803FA">
        <w:rPr>
          <w:sz w:val="24"/>
          <w:szCs w:val="24"/>
          <w:lang w:val="es-MX"/>
        </w:rPr>
        <w:t xml:space="preserve">, </w:t>
      </w:r>
      <w:hyperlink r:id="rId37" w:history="1">
        <w:r w:rsidRPr="00E803FA">
          <w:rPr>
            <w:rStyle w:val="Hipervnculo"/>
            <w:sz w:val="24"/>
            <w:szCs w:val="24"/>
            <w:lang w:val="es-MX"/>
          </w:rPr>
          <w:t>I.9o.P.177 P (10a.)</w:t>
        </w:r>
      </w:hyperlink>
      <w:r w:rsidR="00E803FA">
        <w:rPr>
          <w:sz w:val="24"/>
          <w:szCs w:val="24"/>
          <w:lang w:val="es-MX"/>
        </w:rPr>
        <w:t xml:space="preserve">, </w:t>
      </w:r>
      <w:hyperlink r:id="rId38" w:history="1">
        <w:r w:rsidRPr="00193209">
          <w:rPr>
            <w:rStyle w:val="Hipervnculo"/>
            <w:sz w:val="24"/>
            <w:szCs w:val="24"/>
            <w:lang w:val="es-MX"/>
          </w:rPr>
          <w:t xml:space="preserve">1a. </w:t>
        </w:r>
        <w:r w:rsidRPr="00C34C1D">
          <w:rPr>
            <w:rStyle w:val="Hipervnculo"/>
            <w:sz w:val="24"/>
            <w:szCs w:val="24"/>
            <w:lang w:val="es-MX"/>
          </w:rPr>
          <w:t>CCXXVIII/2017 (10a.)</w:t>
        </w:r>
      </w:hyperlink>
      <w:r w:rsidR="00E803FA" w:rsidRPr="00C34C1D">
        <w:rPr>
          <w:sz w:val="24"/>
          <w:szCs w:val="24"/>
          <w:lang w:val="es-MX"/>
        </w:rPr>
        <w:t xml:space="preserve">, </w:t>
      </w:r>
      <w:hyperlink r:id="rId39" w:history="1">
        <w:r w:rsidRPr="00C34C1D">
          <w:rPr>
            <w:rStyle w:val="Hipervnculo"/>
            <w:sz w:val="24"/>
            <w:szCs w:val="24"/>
            <w:lang w:val="es-MX"/>
          </w:rPr>
          <w:t>1a. CCXXVII/2017 (10a.)</w:t>
        </w:r>
      </w:hyperlink>
      <w:r w:rsidR="00E803FA" w:rsidRPr="00C34C1D">
        <w:rPr>
          <w:sz w:val="24"/>
          <w:szCs w:val="24"/>
          <w:lang w:val="es-MX"/>
        </w:rPr>
        <w:t xml:space="preserve">, </w:t>
      </w:r>
      <w:hyperlink r:id="rId40" w:history="1">
        <w:r w:rsidRPr="00C34C1D">
          <w:rPr>
            <w:rStyle w:val="Hipervnculo"/>
            <w:sz w:val="24"/>
            <w:szCs w:val="24"/>
            <w:lang w:val="es-MX"/>
          </w:rPr>
          <w:t>I.7o.P.88 P (10a.)</w:t>
        </w:r>
      </w:hyperlink>
      <w:r w:rsidR="00E803FA" w:rsidRPr="00C34C1D">
        <w:rPr>
          <w:sz w:val="24"/>
          <w:szCs w:val="24"/>
          <w:lang w:val="es-MX"/>
        </w:rPr>
        <w:t xml:space="preserve">, </w:t>
      </w:r>
      <w:hyperlink r:id="rId41" w:history="1">
        <w:r w:rsidRPr="00C34C1D">
          <w:rPr>
            <w:rStyle w:val="Hipervnculo"/>
            <w:sz w:val="24"/>
            <w:szCs w:val="24"/>
            <w:lang w:val="es-MX"/>
          </w:rPr>
          <w:t>VIII.2o.P.A.3 P (10a.)</w:t>
        </w:r>
      </w:hyperlink>
      <w:r w:rsidR="00E803FA" w:rsidRPr="00C34C1D">
        <w:rPr>
          <w:sz w:val="24"/>
          <w:szCs w:val="24"/>
          <w:lang w:val="es-MX"/>
        </w:rPr>
        <w:t xml:space="preserve"> </w:t>
      </w:r>
      <w:r w:rsidR="00E803FA" w:rsidRPr="00E803FA">
        <w:rPr>
          <w:sz w:val="24"/>
          <w:szCs w:val="24"/>
          <w:lang w:val="es-MX"/>
        </w:rPr>
        <w:t xml:space="preserve">y </w:t>
      </w:r>
      <w:hyperlink r:id="rId42" w:history="1">
        <w:r w:rsidRPr="00E803FA">
          <w:rPr>
            <w:rStyle w:val="Hipervnculo"/>
            <w:sz w:val="24"/>
            <w:szCs w:val="24"/>
            <w:lang w:val="es-MX"/>
          </w:rPr>
          <w:t>VIII.2o.P.A.2 P (10a.)</w:t>
        </w:r>
      </w:hyperlink>
      <w:r w:rsidR="00E803FA">
        <w:rPr>
          <w:sz w:val="24"/>
          <w:szCs w:val="24"/>
          <w:lang w:val="es-MX"/>
        </w:rPr>
        <w:t>.</w:t>
      </w:r>
    </w:p>
    <w:p w14:paraId="7DB9E70B" w14:textId="77777777" w:rsidR="00193209" w:rsidRPr="00E803FA" w:rsidRDefault="00193209" w:rsidP="008127B4">
      <w:pPr>
        <w:rPr>
          <w:sz w:val="24"/>
          <w:szCs w:val="24"/>
          <w:lang w:val="es-MX"/>
        </w:rPr>
      </w:pPr>
    </w:p>
    <w:p w14:paraId="5FE18369" w14:textId="3EC2AB7A" w:rsidR="008127B4" w:rsidRPr="003A1BF3" w:rsidRDefault="008127B4" w:rsidP="003A1BF3">
      <w:pPr>
        <w:pStyle w:val="Prrafodelista"/>
        <w:numPr>
          <w:ilvl w:val="0"/>
          <w:numId w:val="1"/>
        </w:numPr>
        <w:rPr>
          <w:b/>
          <w:sz w:val="24"/>
          <w:szCs w:val="24"/>
          <w:lang w:val="es-MX"/>
        </w:rPr>
      </w:pPr>
      <w:r w:rsidRPr="003A1BF3">
        <w:rPr>
          <w:b/>
          <w:sz w:val="24"/>
          <w:szCs w:val="24"/>
          <w:lang w:val="es-MX"/>
        </w:rPr>
        <w:t xml:space="preserve">¿Podría ilustrar cómo ha contribuido la Declaración al desarrollo del derecho internacional sobre las desapariciones forzadas? </w:t>
      </w:r>
    </w:p>
    <w:p w14:paraId="0380FC6A" w14:textId="77777777" w:rsidR="000350F1" w:rsidRPr="003A1BF3" w:rsidRDefault="000350F1" w:rsidP="003A1BF3">
      <w:pPr>
        <w:pStyle w:val="Prrafodelista"/>
        <w:rPr>
          <w:b/>
          <w:sz w:val="24"/>
          <w:szCs w:val="24"/>
          <w:lang w:val="es-MX"/>
        </w:rPr>
      </w:pPr>
    </w:p>
    <w:p w14:paraId="697B3B11" w14:textId="544BDB15" w:rsidR="00E803FA" w:rsidRDefault="00E803FA" w:rsidP="008127B4">
      <w:pPr>
        <w:rPr>
          <w:sz w:val="24"/>
          <w:szCs w:val="24"/>
          <w:lang w:val="es-MX"/>
        </w:rPr>
      </w:pPr>
      <w:r>
        <w:rPr>
          <w:sz w:val="24"/>
          <w:szCs w:val="24"/>
          <w:lang w:val="es-MX"/>
        </w:rPr>
        <w:t xml:space="preserve">La Declaración fue el antecedente inmediato anterior a la </w:t>
      </w:r>
      <w:r w:rsidRPr="00992D79">
        <w:rPr>
          <w:sz w:val="24"/>
          <w:szCs w:val="24"/>
          <w:lang w:val="es-MX"/>
        </w:rPr>
        <w:t>Convención Internacional para la protección de todas las personas contra las desapariciones forzadas</w:t>
      </w:r>
      <w:r>
        <w:rPr>
          <w:sz w:val="24"/>
          <w:szCs w:val="24"/>
          <w:lang w:val="es-MX"/>
        </w:rPr>
        <w:t xml:space="preserve">, y se convirtió en el </w:t>
      </w:r>
      <w:r w:rsidRPr="00E803FA">
        <w:rPr>
          <w:i/>
          <w:sz w:val="24"/>
          <w:szCs w:val="24"/>
          <w:lang w:val="es-MX"/>
        </w:rPr>
        <w:t>opino iuris</w:t>
      </w:r>
      <w:r>
        <w:rPr>
          <w:sz w:val="24"/>
          <w:szCs w:val="24"/>
          <w:lang w:val="es-MX"/>
        </w:rPr>
        <w:t xml:space="preserve"> o reconocimiento como obligatorio de la prohibición de las desapariciones forzadas a nivel mundial, en la que se detalló de forma breve una serie de obligaciones asociadas para entender en que consiste la prohibición de las desapariciones forzadas. </w:t>
      </w:r>
      <w:r w:rsidR="00D67F9C">
        <w:rPr>
          <w:sz w:val="24"/>
          <w:szCs w:val="24"/>
          <w:lang w:val="es-MX"/>
        </w:rPr>
        <w:t>En dicho instrumento se resalta el carácter pluriofensivo de esta conducta, y enumera una serie de derechos humanos que se violentan con las mismas.</w:t>
      </w:r>
    </w:p>
    <w:p w14:paraId="3795F8E8" w14:textId="77777777" w:rsidR="00E803FA" w:rsidRDefault="00E803FA" w:rsidP="008127B4">
      <w:pPr>
        <w:rPr>
          <w:sz w:val="24"/>
          <w:szCs w:val="24"/>
          <w:lang w:val="es-MX"/>
        </w:rPr>
      </w:pPr>
    </w:p>
    <w:p w14:paraId="0F7AAE2E" w14:textId="4D394F2C" w:rsidR="008127B4" w:rsidRPr="003A1BF3" w:rsidRDefault="008127B4" w:rsidP="003A1BF3">
      <w:pPr>
        <w:pStyle w:val="Prrafodelista"/>
        <w:numPr>
          <w:ilvl w:val="0"/>
          <w:numId w:val="1"/>
        </w:numPr>
        <w:rPr>
          <w:b/>
          <w:bCs/>
          <w:sz w:val="24"/>
          <w:szCs w:val="24"/>
          <w:lang w:val="es-MX"/>
        </w:rPr>
      </w:pPr>
      <w:r w:rsidRPr="003A1BF3">
        <w:rPr>
          <w:b/>
          <w:bCs/>
          <w:sz w:val="24"/>
          <w:szCs w:val="24"/>
          <w:lang w:val="es-MX"/>
        </w:rPr>
        <w:t>¿Su Estado (o los países en cuestión) ha ratificado o se ha adherido a la Convención Internacional sobre la Protección de Todas las Personas contra las Desapariciones Forzadas? Si su Estado (o países en cuestión) aún no ha ratificado o adherido a la Convención, ¿hay algún proyecto o iniciativa pendiente para hacerlo?</w:t>
      </w:r>
    </w:p>
    <w:p w14:paraId="7D01E286" w14:textId="77777777" w:rsidR="000350F1" w:rsidRPr="003A1BF3" w:rsidRDefault="000350F1" w:rsidP="003A1BF3">
      <w:pPr>
        <w:ind w:left="360"/>
        <w:rPr>
          <w:b/>
          <w:bCs/>
          <w:sz w:val="24"/>
          <w:szCs w:val="24"/>
          <w:lang w:val="es-MX"/>
        </w:rPr>
      </w:pPr>
    </w:p>
    <w:p w14:paraId="098EBCC6" w14:textId="0442B1DE" w:rsidR="00A33D84" w:rsidRPr="008127B4" w:rsidRDefault="00E803FA" w:rsidP="008127B4">
      <w:pPr>
        <w:rPr>
          <w:sz w:val="24"/>
          <w:szCs w:val="24"/>
          <w:lang w:val="es-MX"/>
        </w:rPr>
      </w:pPr>
      <w:r>
        <w:rPr>
          <w:sz w:val="24"/>
          <w:szCs w:val="24"/>
          <w:lang w:val="es-MX"/>
        </w:rPr>
        <w:t xml:space="preserve">Sí, el </w:t>
      </w:r>
      <w:hyperlink r:id="rId43" w:history="1">
        <w:r w:rsidRPr="00E803FA">
          <w:rPr>
            <w:rStyle w:val="Hipervnculo"/>
            <w:sz w:val="24"/>
            <w:szCs w:val="24"/>
            <w:lang w:val="es-MX"/>
          </w:rPr>
          <w:t>18 de marzo de 2008</w:t>
        </w:r>
      </w:hyperlink>
      <w:r>
        <w:rPr>
          <w:sz w:val="24"/>
          <w:szCs w:val="24"/>
          <w:lang w:val="es-MX"/>
        </w:rPr>
        <w:t xml:space="preserve"> se dep</w:t>
      </w:r>
      <w:r w:rsidR="00A33D84">
        <w:rPr>
          <w:sz w:val="24"/>
          <w:szCs w:val="24"/>
          <w:lang w:val="es-MX"/>
        </w:rPr>
        <w:t>o</w:t>
      </w:r>
      <w:r>
        <w:rPr>
          <w:sz w:val="24"/>
          <w:szCs w:val="24"/>
          <w:lang w:val="es-MX"/>
        </w:rPr>
        <w:t>sit</w:t>
      </w:r>
      <w:r w:rsidR="00A33D84">
        <w:rPr>
          <w:sz w:val="24"/>
          <w:szCs w:val="24"/>
          <w:lang w:val="es-MX"/>
        </w:rPr>
        <w:t>ó</w:t>
      </w:r>
      <w:r>
        <w:rPr>
          <w:sz w:val="24"/>
          <w:szCs w:val="24"/>
          <w:lang w:val="es-MX"/>
        </w:rPr>
        <w:t xml:space="preserve"> el instrumento de ratificación</w:t>
      </w:r>
      <w:r w:rsidR="00A33D84">
        <w:rPr>
          <w:sz w:val="24"/>
          <w:szCs w:val="24"/>
          <w:lang w:val="es-MX"/>
        </w:rPr>
        <w:t xml:space="preserve"> de la CED</w:t>
      </w:r>
      <w:r>
        <w:rPr>
          <w:sz w:val="24"/>
          <w:szCs w:val="24"/>
          <w:lang w:val="es-MX"/>
        </w:rPr>
        <w:t xml:space="preserve"> por parte del Estado mexicano.</w:t>
      </w:r>
    </w:p>
    <w:p w14:paraId="689B95CD" w14:textId="77777777" w:rsidR="008127B4" w:rsidRDefault="008127B4" w:rsidP="008127B4">
      <w:pPr>
        <w:rPr>
          <w:sz w:val="24"/>
          <w:szCs w:val="24"/>
          <w:lang w:val="es-MX"/>
        </w:rPr>
      </w:pPr>
    </w:p>
    <w:p w14:paraId="33CECCCA" w14:textId="2A9F1B62" w:rsidR="008127B4" w:rsidRPr="003A1BF3" w:rsidRDefault="008127B4" w:rsidP="003A1BF3">
      <w:pPr>
        <w:pStyle w:val="Prrafodelista"/>
        <w:numPr>
          <w:ilvl w:val="0"/>
          <w:numId w:val="1"/>
        </w:numPr>
        <w:rPr>
          <w:b/>
          <w:bCs/>
          <w:sz w:val="24"/>
          <w:szCs w:val="24"/>
          <w:lang w:val="es-MX"/>
        </w:rPr>
      </w:pPr>
      <w:r w:rsidRPr="003A1BF3">
        <w:rPr>
          <w:b/>
          <w:bCs/>
          <w:sz w:val="24"/>
          <w:szCs w:val="24"/>
          <w:lang w:val="es-MX"/>
        </w:rPr>
        <w:t>¿Podría ilustrar cómo la Declaración ha influido en la jurisprudencia internacional sobre desaparición forzada? En particular, ¿puede compartir ejemplos de sentencias / veredictos / dictámenes o decisiones emitidas por tribunales o mecanismos internacionales en los que se hizo referencia a la Declaración (si es posible, resumiendo a qué disposiciones de la Declaración se hizo referencia y cómo se interpretaron)?</w:t>
      </w:r>
    </w:p>
    <w:p w14:paraId="77EC17BA" w14:textId="77777777" w:rsidR="000350F1" w:rsidRPr="003A1BF3" w:rsidRDefault="000350F1" w:rsidP="003A1BF3">
      <w:pPr>
        <w:pStyle w:val="Prrafodelista"/>
        <w:rPr>
          <w:b/>
          <w:bCs/>
          <w:sz w:val="24"/>
          <w:szCs w:val="24"/>
          <w:lang w:val="es-MX"/>
        </w:rPr>
      </w:pPr>
    </w:p>
    <w:p w14:paraId="1F9329C4" w14:textId="23067CBC" w:rsidR="008127B4" w:rsidRDefault="00704B5E" w:rsidP="008127B4">
      <w:pPr>
        <w:rPr>
          <w:sz w:val="24"/>
          <w:szCs w:val="24"/>
          <w:lang w:val="es-MX"/>
        </w:rPr>
      </w:pPr>
      <w:r>
        <w:rPr>
          <w:sz w:val="24"/>
          <w:szCs w:val="24"/>
          <w:lang w:val="es-MX"/>
        </w:rPr>
        <w:t>Véa</w:t>
      </w:r>
      <w:r w:rsidR="00067ED3">
        <w:rPr>
          <w:sz w:val="24"/>
          <w:szCs w:val="24"/>
          <w:lang w:val="es-MX"/>
        </w:rPr>
        <w:t>n</w:t>
      </w:r>
      <w:r>
        <w:rPr>
          <w:sz w:val="24"/>
          <w:szCs w:val="24"/>
          <w:lang w:val="es-MX"/>
        </w:rPr>
        <w:t>se diversos casos de la Corte Interamericana de Derechos Humanos, inclui</w:t>
      </w:r>
      <w:r w:rsidR="009667CD">
        <w:rPr>
          <w:sz w:val="24"/>
          <w:szCs w:val="24"/>
          <w:lang w:val="es-MX"/>
        </w:rPr>
        <w:t>do</w:t>
      </w:r>
      <w:r w:rsidR="00067ED3">
        <w:rPr>
          <w:sz w:val="24"/>
          <w:szCs w:val="24"/>
          <w:lang w:val="es-MX"/>
        </w:rPr>
        <w:t>s dos casos contra el Estado Mexicano</w:t>
      </w:r>
      <w:r w:rsidR="009B1DD5">
        <w:rPr>
          <w:sz w:val="24"/>
          <w:szCs w:val="24"/>
          <w:lang w:val="es-MX"/>
        </w:rPr>
        <w:t>: el</w:t>
      </w:r>
      <w:r w:rsidR="009667CD">
        <w:rPr>
          <w:sz w:val="24"/>
          <w:szCs w:val="24"/>
          <w:lang w:val="es-MX"/>
        </w:rPr>
        <w:t xml:space="preserve"> </w:t>
      </w:r>
      <w:hyperlink r:id="rId44" w:history="1">
        <w:r w:rsidR="009667CD" w:rsidRPr="006B73AB">
          <w:rPr>
            <w:rStyle w:val="Hipervnculo"/>
            <w:sz w:val="24"/>
            <w:szCs w:val="24"/>
            <w:lang w:val="es-MX"/>
          </w:rPr>
          <w:t>caso Radilla</w:t>
        </w:r>
        <w:r w:rsidR="006B73AB" w:rsidRPr="006B73AB">
          <w:rPr>
            <w:rStyle w:val="Hipervnculo"/>
            <w:sz w:val="24"/>
            <w:szCs w:val="24"/>
            <w:lang w:val="es-MX"/>
          </w:rPr>
          <w:t xml:space="preserve"> Pacheco</w:t>
        </w:r>
      </w:hyperlink>
      <w:r w:rsidR="009667CD">
        <w:rPr>
          <w:sz w:val="24"/>
          <w:szCs w:val="24"/>
          <w:lang w:val="es-MX"/>
        </w:rPr>
        <w:t xml:space="preserve">, que en sus notas al pie 124, 132 y 143 son fundamento legal usado para fortalecer la definición de desaparición forzada, la obligación de investigar este tipo de conductas, y que exista un tipo penal específico para sancionar estas conductas. En el </w:t>
      </w:r>
      <w:hyperlink r:id="rId45" w:history="1">
        <w:r w:rsidR="009667CD" w:rsidRPr="006B73AB">
          <w:rPr>
            <w:rStyle w:val="Hipervnculo"/>
            <w:sz w:val="24"/>
            <w:szCs w:val="24"/>
            <w:lang w:val="es-MX"/>
          </w:rPr>
          <w:t>caso Alvarado Espinoza y otros</w:t>
        </w:r>
      </w:hyperlink>
      <w:r w:rsidR="009667CD">
        <w:rPr>
          <w:sz w:val="24"/>
          <w:szCs w:val="24"/>
          <w:lang w:val="es-MX"/>
        </w:rPr>
        <w:t xml:space="preserve">, también se hace referencia en notas al pie </w:t>
      </w:r>
      <w:r w:rsidR="006B73AB">
        <w:rPr>
          <w:sz w:val="24"/>
          <w:szCs w:val="24"/>
          <w:lang w:val="es-MX"/>
        </w:rPr>
        <w:t xml:space="preserve">396 y 478, se usa como fundamento legal para señalar que no se pueden argumentar causas excepcionales para cometer desapariciones forzadas, que la desaparición es un delito de lesa humanidad que afecta a los familiares de la persona desaparecida. </w:t>
      </w:r>
    </w:p>
    <w:p w14:paraId="7A96DB97" w14:textId="77777777" w:rsidR="00704B5E" w:rsidRDefault="00704B5E" w:rsidP="008127B4">
      <w:pPr>
        <w:rPr>
          <w:sz w:val="24"/>
          <w:szCs w:val="24"/>
          <w:lang w:val="es-MX"/>
        </w:rPr>
      </w:pPr>
    </w:p>
    <w:p w14:paraId="6BB60982" w14:textId="304CBA53" w:rsidR="008127B4" w:rsidRDefault="008127B4" w:rsidP="008127B4">
      <w:pPr>
        <w:rPr>
          <w:b/>
          <w:sz w:val="24"/>
          <w:szCs w:val="24"/>
          <w:lang w:val="es-MX"/>
        </w:rPr>
      </w:pPr>
      <w:r w:rsidRPr="00E6474F">
        <w:rPr>
          <w:b/>
          <w:sz w:val="24"/>
          <w:szCs w:val="24"/>
          <w:lang w:val="es-MX"/>
        </w:rPr>
        <w:t>7. ¿Puede indicar amablemente los principales obstáculos - prácticos y legales - encontrados por usted / su país (o países de interés) / institución / organización en la implementación de la Declaración (si es posible, haciendo referencia a disposiciones específicas y ejemplos concretos)?</w:t>
      </w:r>
    </w:p>
    <w:p w14:paraId="0A94BCD3" w14:textId="77777777" w:rsidR="00067ED3" w:rsidRPr="00E6474F" w:rsidRDefault="00067ED3" w:rsidP="008127B4">
      <w:pPr>
        <w:rPr>
          <w:b/>
          <w:sz w:val="24"/>
          <w:szCs w:val="24"/>
          <w:lang w:val="es-MX"/>
        </w:rPr>
      </w:pPr>
    </w:p>
    <w:p w14:paraId="4197C11A" w14:textId="1E67522D" w:rsidR="008127B4" w:rsidRDefault="00E6474F" w:rsidP="008127B4">
      <w:pPr>
        <w:rPr>
          <w:sz w:val="24"/>
          <w:szCs w:val="24"/>
          <w:lang w:val="es-MX"/>
        </w:rPr>
      </w:pPr>
      <w:r>
        <w:rPr>
          <w:sz w:val="24"/>
          <w:szCs w:val="24"/>
          <w:lang w:val="es-MX"/>
        </w:rPr>
        <w:t>Dentro de los obstáculos legales está que la Declaración para diversas autoridades administrativas no tienen valor vinculante, o bien, prefieren usar la CED y la CIDFP</w:t>
      </w:r>
      <w:r w:rsidR="006B73AB">
        <w:rPr>
          <w:sz w:val="24"/>
          <w:szCs w:val="24"/>
          <w:lang w:val="es-MX"/>
        </w:rPr>
        <w:t xml:space="preserve">. Como se mostró en la respuesta tres de este cuestionario, la Declaración ha sido referido </w:t>
      </w:r>
      <w:r w:rsidR="00067ED3">
        <w:rPr>
          <w:sz w:val="24"/>
          <w:szCs w:val="24"/>
          <w:lang w:val="es-MX"/>
        </w:rPr>
        <w:t>tres veces</w:t>
      </w:r>
      <w:r w:rsidR="006B73AB">
        <w:rPr>
          <w:sz w:val="24"/>
          <w:szCs w:val="24"/>
          <w:lang w:val="es-MX"/>
        </w:rPr>
        <w:t xml:space="preserve"> de forma expresa por el Poder Judicial Federal, ha diferencia de los 15 criterios en los que se ha hecho referencia a la CED o los 10 en los </w:t>
      </w:r>
      <w:r w:rsidR="006B73AB">
        <w:rPr>
          <w:sz w:val="24"/>
          <w:szCs w:val="24"/>
          <w:lang w:val="es-MX"/>
        </w:rPr>
        <w:lastRenderedPageBreak/>
        <w:t>que se menciona a la CIDFP. Un obstáculo práctico puede ser la falta de conocimiento de existencia de esta Declaración, en virtud de que se ha más referencia en los cursos y talleres a la CED y la CIDFP.</w:t>
      </w:r>
      <w:r>
        <w:rPr>
          <w:sz w:val="24"/>
          <w:szCs w:val="24"/>
          <w:lang w:val="es-MX"/>
        </w:rPr>
        <w:t xml:space="preserve"> </w:t>
      </w:r>
    </w:p>
    <w:p w14:paraId="4C324474" w14:textId="77777777" w:rsidR="00E6474F" w:rsidRDefault="00E6474F" w:rsidP="008127B4">
      <w:pPr>
        <w:rPr>
          <w:sz w:val="24"/>
          <w:szCs w:val="24"/>
          <w:lang w:val="es-MX"/>
        </w:rPr>
      </w:pPr>
    </w:p>
    <w:p w14:paraId="75D7EC77" w14:textId="137307D3" w:rsidR="008127B4" w:rsidRDefault="008127B4" w:rsidP="008127B4">
      <w:pPr>
        <w:rPr>
          <w:b/>
          <w:sz w:val="24"/>
          <w:szCs w:val="24"/>
          <w:lang w:val="es-MX"/>
        </w:rPr>
      </w:pPr>
      <w:r w:rsidRPr="000545AF">
        <w:rPr>
          <w:b/>
          <w:sz w:val="24"/>
          <w:szCs w:val="24"/>
          <w:lang w:val="es-MX"/>
        </w:rPr>
        <w:t>8. ¿Puede ilustrar amablemente si su país (o los países en cuestión) tiene experiencias previas con respecto a la cooperación técnica y la asistencia de los Procedimientos Especiales y si cree que esto podría ser un medio eficaz para difundir y promover la implementación de la Declaración? ¿Qué otro tipo de iniciativas se podrían favorecer?</w:t>
      </w:r>
    </w:p>
    <w:p w14:paraId="3EFFDAF5" w14:textId="77777777" w:rsidR="00067ED3" w:rsidRPr="000545AF" w:rsidRDefault="00067ED3" w:rsidP="008127B4">
      <w:pPr>
        <w:rPr>
          <w:b/>
          <w:sz w:val="24"/>
          <w:szCs w:val="24"/>
          <w:lang w:val="es-MX"/>
        </w:rPr>
      </w:pPr>
    </w:p>
    <w:p w14:paraId="77979241" w14:textId="6DBB8F32" w:rsidR="00E803FA" w:rsidRDefault="00E803FA" w:rsidP="008127B4">
      <w:pPr>
        <w:rPr>
          <w:sz w:val="24"/>
          <w:szCs w:val="24"/>
          <w:lang w:val="es-MX"/>
        </w:rPr>
      </w:pPr>
      <w:r w:rsidRPr="00E803FA">
        <w:rPr>
          <w:sz w:val="24"/>
          <w:szCs w:val="24"/>
          <w:lang w:val="es-MX"/>
        </w:rPr>
        <w:t>El 1 de julio de 2002, el Estado mexicano y el Alto Comisionado de las Naciones Unidas para los Derechos Humanos suscribieron un Acuerdo para el establecimiento de una Oficina en México.</w:t>
      </w:r>
      <w:r>
        <w:rPr>
          <w:sz w:val="24"/>
          <w:szCs w:val="24"/>
          <w:lang w:val="es-MX"/>
        </w:rPr>
        <w:t xml:space="preserve"> Este acuerdo ha sido renovado en tres ocasiones, y a través de esta oficina, se ha fortalecido el trabajo e interacción de los procedimientos especiales con las autoridades federales y estatales, así como con las organizaciones de la sociedad civil en México. Una de las visitas relevantes, fue la presencia del </w:t>
      </w:r>
      <w:hyperlink r:id="rId46" w:history="1">
        <w:r w:rsidRPr="000545AF">
          <w:rPr>
            <w:rStyle w:val="Hipervnculo"/>
            <w:sz w:val="24"/>
            <w:szCs w:val="24"/>
            <w:lang w:val="es-MX"/>
          </w:rPr>
          <w:t xml:space="preserve">Presidente del </w:t>
        </w:r>
        <w:r w:rsidR="000545AF" w:rsidRPr="000545AF">
          <w:rPr>
            <w:rStyle w:val="Hipervnculo"/>
            <w:sz w:val="24"/>
            <w:szCs w:val="24"/>
            <w:lang w:val="es-MX"/>
          </w:rPr>
          <w:t>Grupo de Trabajo sobre Desapariciones Forzadas o Involuntarias</w:t>
        </w:r>
      </w:hyperlink>
      <w:r w:rsidR="000545AF">
        <w:rPr>
          <w:sz w:val="24"/>
          <w:szCs w:val="24"/>
          <w:lang w:val="es-MX"/>
        </w:rPr>
        <w:t xml:space="preserve"> después de los hechos ocurridos el 26 de septiembre de 2014 en Guerrero. </w:t>
      </w:r>
    </w:p>
    <w:p w14:paraId="2915F0A7" w14:textId="77777777" w:rsidR="008127B4" w:rsidRDefault="008127B4" w:rsidP="008127B4">
      <w:pPr>
        <w:rPr>
          <w:sz w:val="24"/>
          <w:szCs w:val="24"/>
          <w:lang w:val="es-MX"/>
        </w:rPr>
      </w:pPr>
    </w:p>
    <w:p w14:paraId="49BDFEAC" w14:textId="77777777" w:rsidR="008127B4" w:rsidRDefault="008127B4" w:rsidP="008127B4">
      <w:pPr>
        <w:rPr>
          <w:b/>
          <w:sz w:val="24"/>
          <w:szCs w:val="24"/>
          <w:lang w:val="es-MX"/>
        </w:rPr>
      </w:pPr>
      <w:r w:rsidRPr="00E803FA">
        <w:rPr>
          <w:b/>
          <w:sz w:val="24"/>
          <w:szCs w:val="24"/>
          <w:lang w:val="es-MX"/>
        </w:rPr>
        <w:t>9. ¿Podría ilustrar alguna actividad realizada en su país (o países de interés) para crear conciencia y difundir aún más el contenido de la Declaración? Hasta donde usted sabe, ¿se ha traducido la Declaración a algún idioma local que no sean los seis idiomas de las Naciones Unidas? Si es así, ¿podría compartir una copia?</w:t>
      </w:r>
    </w:p>
    <w:p w14:paraId="5204A9EE" w14:textId="77777777" w:rsidR="001C65D1" w:rsidRPr="00E803FA" w:rsidRDefault="001C65D1" w:rsidP="008127B4">
      <w:pPr>
        <w:rPr>
          <w:b/>
          <w:sz w:val="24"/>
          <w:szCs w:val="24"/>
          <w:lang w:val="es-MX"/>
        </w:rPr>
      </w:pPr>
    </w:p>
    <w:p w14:paraId="18DFFBAE" w14:textId="4F2010F8" w:rsidR="008127B4" w:rsidRPr="00A602D2" w:rsidRDefault="00A602D2" w:rsidP="008127B4">
      <w:pPr>
        <w:rPr>
          <w:sz w:val="24"/>
          <w:szCs w:val="24"/>
          <w:lang w:val="es-MX"/>
        </w:rPr>
      </w:pPr>
      <w:r>
        <w:rPr>
          <w:sz w:val="24"/>
          <w:szCs w:val="24"/>
          <w:lang w:val="es-MX"/>
        </w:rPr>
        <w:t xml:space="preserve">Anualmente, diversas instituciones llevan a cabo actividades con relación al </w:t>
      </w:r>
      <w:r w:rsidRPr="00A602D2">
        <w:rPr>
          <w:b/>
          <w:bCs/>
          <w:i/>
          <w:iCs/>
          <w:sz w:val="24"/>
          <w:szCs w:val="24"/>
          <w:lang w:val="es-MX"/>
        </w:rPr>
        <w:t>Día Internacional de las Víctimas de Desapariciones Forzadas</w:t>
      </w:r>
      <w:r>
        <w:rPr>
          <w:sz w:val="24"/>
          <w:szCs w:val="24"/>
          <w:lang w:val="es-MX"/>
        </w:rPr>
        <w:t>.</w:t>
      </w:r>
      <w:r w:rsidR="006B73AB">
        <w:rPr>
          <w:sz w:val="24"/>
          <w:szCs w:val="24"/>
          <w:lang w:val="es-MX"/>
        </w:rPr>
        <w:t xml:space="preserve"> Por otro lado, no se cuenta con información de que la Declaración se haya traducido a otros idiomas o lenguas.</w:t>
      </w:r>
    </w:p>
    <w:p w14:paraId="63C70AF7" w14:textId="77777777" w:rsidR="00E803FA" w:rsidRPr="008127B4" w:rsidRDefault="00E803FA" w:rsidP="008127B4">
      <w:pPr>
        <w:rPr>
          <w:sz w:val="24"/>
          <w:szCs w:val="24"/>
          <w:lang w:val="es-MX"/>
        </w:rPr>
      </w:pPr>
    </w:p>
    <w:p w14:paraId="65FC8DE1" w14:textId="40E3D68A" w:rsidR="008127B4" w:rsidRDefault="008127B4" w:rsidP="008127B4">
      <w:pPr>
        <w:rPr>
          <w:b/>
          <w:bCs/>
          <w:sz w:val="24"/>
          <w:szCs w:val="24"/>
          <w:lang w:val="es-MX"/>
        </w:rPr>
      </w:pPr>
      <w:r w:rsidRPr="00891538">
        <w:rPr>
          <w:b/>
          <w:bCs/>
          <w:sz w:val="24"/>
          <w:szCs w:val="24"/>
          <w:lang w:val="es-MX"/>
        </w:rPr>
        <w:t>10. ¿Puede compartir información sobre los programas de formación existentes (dirigidos tanto a las autoridades como a las organizaciones de la sociedad civil) en su país (o países de interés) donde se analiza y difunde la Declaración? Cualquier información sobre la naturaleza y frecuencia de tales capacitaciones es bienvenida.</w:t>
      </w:r>
    </w:p>
    <w:p w14:paraId="7FAA320A" w14:textId="77777777" w:rsidR="003B607F" w:rsidRPr="00891538" w:rsidRDefault="003B607F" w:rsidP="008127B4">
      <w:pPr>
        <w:rPr>
          <w:b/>
          <w:bCs/>
          <w:sz w:val="24"/>
          <w:szCs w:val="24"/>
          <w:lang w:val="es-MX"/>
        </w:rPr>
      </w:pPr>
    </w:p>
    <w:p w14:paraId="24DBDD03" w14:textId="38253F52" w:rsidR="008127B4" w:rsidRDefault="00891538" w:rsidP="008127B4">
      <w:pPr>
        <w:rPr>
          <w:sz w:val="24"/>
          <w:szCs w:val="24"/>
          <w:lang w:val="es-MX"/>
        </w:rPr>
      </w:pPr>
      <w:r>
        <w:rPr>
          <w:sz w:val="24"/>
          <w:szCs w:val="24"/>
          <w:lang w:val="es-MX"/>
        </w:rPr>
        <w:t xml:space="preserve">En la Comisión de Derechos Humanos de la Ciudad de México se tiene dos cursos autogestivos enfocados al tema de </w:t>
      </w:r>
      <w:hyperlink r:id="rId47" w:history="1">
        <w:r w:rsidRPr="00891538">
          <w:rPr>
            <w:rStyle w:val="Hipervnculo"/>
            <w:sz w:val="24"/>
            <w:szCs w:val="24"/>
            <w:lang w:val="es-MX"/>
          </w:rPr>
          <w:t>desaparición forzada de personas</w:t>
        </w:r>
      </w:hyperlink>
      <w:r>
        <w:rPr>
          <w:sz w:val="24"/>
          <w:szCs w:val="24"/>
          <w:lang w:val="es-MX"/>
        </w:rPr>
        <w:t xml:space="preserve"> y </w:t>
      </w:r>
      <w:hyperlink r:id="rId48" w:history="1">
        <w:r w:rsidRPr="00891538">
          <w:rPr>
            <w:rStyle w:val="Hipervnculo"/>
            <w:sz w:val="24"/>
            <w:szCs w:val="24"/>
            <w:lang w:val="es-MX"/>
          </w:rPr>
          <w:t>víctimas</w:t>
        </w:r>
      </w:hyperlink>
      <w:r>
        <w:rPr>
          <w:sz w:val="24"/>
          <w:szCs w:val="24"/>
          <w:lang w:val="es-MX"/>
        </w:rPr>
        <w:t>.</w:t>
      </w:r>
      <w:r w:rsidR="006B73AB">
        <w:rPr>
          <w:sz w:val="24"/>
          <w:szCs w:val="24"/>
          <w:lang w:val="es-MX"/>
        </w:rPr>
        <w:t xml:space="preserve"> La organización Delibera </w:t>
      </w:r>
      <w:r w:rsidR="00EA7E1D">
        <w:rPr>
          <w:sz w:val="24"/>
          <w:szCs w:val="24"/>
          <w:lang w:val="es-MX"/>
        </w:rPr>
        <w:t xml:space="preserve">brinda el </w:t>
      </w:r>
      <w:hyperlink r:id="rId49" w:history="1">
        <w:r w:rsidR="00EA7E1D" w:rsidRPr="00EA7E1D">
          <w:rPr>
            <w:rStyle w:val="Hipervnculo"/>
            <w:sz w:val="24"/>
            <w:szCs w:val="24"/>
            <w:lang w:val="es-MX"/>
          </w:rPr>
          <w:t>Programa de Formación en Desaparición y Búsqueda de Personas</w:t>
        </w:r>
      </w:hyperlink>
      <w:r w:rsidR="00EA7E1D">
        <w:rPr>
          <w:sz w:val="24"/>
          <w:szCs w:val="24"/>
          <w:lang w:val="es-MX"/>
        </w:rPr>
        <w:t xml:space="preserve">. El INACIPE brindó un curso a distancia amplio sobre </w:t>
      </w:r>
      <w:hyperlink r:id="rId50" w:history="1">
        <w:r w:rsidR="00EA7E1D" w:rsidRPr="00EA7E1D">
          <w:rPr>
            <w:rStyle w:val="Hipervnculo"/>
            <w:sz w:val="24"/>
            <w:szCs w:val="24"/>
            <w:lang w:val="es-MX"/>
          </w:rPr>
          <w:t>Atención de primer contacto para la búsqueda de Personas Desaparecidas y no Localizadas</w:t>
        </w:r>
      </w:hyperlink>
      <w:r w:rsidR="00EA7E1D">
        <w:rPr>
          <w:sz w:val="24"/>
          <w:szCs w:val="24"/>
          <w:lang w:val="es-MX"/>
        </w:rPr>
        <w:t xml:space="preserve">. </w:t>
      </w:r>
    </w:p>
    <w:p w14:paraId="21BA81A0" w14:textId="77777777" w:rsidR="00E803FA" w:rsidRDefault="00E803FA" w:rsidP="008127B4">
      <w:pPr>
        <w:rPr>
          <w:sz w:val="24"/>
          <w:szCs w:val="24"/>
          <w:lang w:val="es-MX"/>
        </w:rPr>
      </w:pPr>
    </w:p>
    <w:p w14:paraId="580CE25F" w14:textId="7F267084" w:rsidR="008127B4" w:rsidRDefault="008127B4" w:rsidP="008127B4">
      <w:pPr>
        <w:rPr>
          <w:b/>
          <w:bCs/>
          <w:sz w:val="24"/>
          <w:szCs w:val="24"/>
          <w:lang w:val="es-MX"/>
        </w:rPr>
      </w:pPr>
      <w:r w:rsidRPr="00891538">
        <w:rPr>
          <w:b/>
          <w:bCs/>
          <w:sz w:val="24"/>
          <w:szCs w:val="24"/>
          <w:lang w:val="es-MX"/>
        </w:rPr>
        <w:t>11. ¿Existe alguna otra información que considere relevante para los propósitos del estudio?</w:t>
      </w:r>
    </w:p>
    <w:p w14:paraId="00B7789C" w14:textId="77777777" w:rsidR="003B607F" w:rsidRPr="00891538" w:rsidRDefault="003B607F" w:rsidP="008127B4">
      <w:pPr>
        <w:rPr>
          <w:b/>
          <w:bCs/>
          <w:sz w:val="24"/>
          <w:szCs w:val="24"/>
          <w:lang w:val="es-MX"/>
        </w:rPr>
      </w:pPr>
    </w:p>
    <w:p w14:paraId="1341D519" w14:textId="799DC77C" w:rsidR="00C34C1D" w:rsidRPr="00891538" w:rsidRDefault="00C34C1D" w:rsidP="008127B4">
      <w:pPr>
        <w:rPr>
          <w:sz w:val="24"/>
          <w:szCs w:val="24"/>
          <w:lang w:val="es-MX"/>
        </w:rPr>
      </w:pPr>
      <w:r>
        <w:rPr>
          <w:sz w:val="24"/>
          <w:szCs w:val="24"/>
          <w:lang w:val="es-MX"/>
        </w:rPr>
        <w:t xml:space="preserve">En 2020, la Comisión de Derechos Humanos de la Ciudad de México emitió la </w:t>
      </w:r>
      <w:hyperlink r:id="rId51" w:history="1">
        <w:r w:rsidRPr="00891538">
          <w:rPr>
            <w:rStyle w:val="Hipervnculo"/>
            <w:sz w:val="24"/>
            <w:szCs w:val="24"/>
            <w:lang w:val="es-MX"/>
          </w:rPr>
          <w:t>Recomendación 02/2020</w:t>
        </w:r>
      </w:hyperlink>
      <w:r>
        <w:rPr>
          <w:sz w:val="24"/>
          <w:szCs w:val="24"/>
          <w:lang w:val="es-MX"/>
        </w:rPr>
        <w:t xml:space="preserve"> </w:t>
      </w:r>
      <w:r w:rsidR="00891538">
        <w:rPr>
          <w:sz w:val="24"/>
          <w:szCs w:val="24"/>
          <w:lang w:val="es-MX"/>
        </w:rPr>
        <w:t xml:space="preserve">intitulada </w:t>
      </w:r>
      <w:r w:rsidR="00891538" w:rsidRPr="00891538">
        <w:rPr>
          <w:i/>
          <w:iCs/>
          <w:sz w:val="24"/>
          <w:szCs w:val="24"/>
          <w:lang w:val="es-MX"/>
        </w:rPr>
        <w:t>Falta de debida diligencia en la búsqueda de personas desaparecidas con perspectiva de género y enfoque diferenciado</w:t>
      </w:r>
      <w:r w:rsidR="00891538">
        <w:rPr>
          <w:sz w:val="24"/>
          <w:szCs w:val="24"/>
          <w:lang w:val="es-MX"/>
        </w:rPr>
        <w:t xml:space="preserve"> en la cual se incorporan los estándares más altos de protección de los derechos humanos en la materia aplicables al Estado mexicano, incluido lo contenido en la Declaración.</w:t>
      </w:r>
    </w:p>
    <w:p w14:paraId="0155324E" w14:textId="77777777" w:rsidR="008127B4" w:rsidRPr="008127B4" w:rsidRDefault="008127B4">
      <w:pPr>
        <w:rPr>
          <w:sz w:val="24"/>
          <w:szCs w:val="24"/>
          <w:lang w:val="es-MX"/>
        </w:rPr>
      </w:pPr>
    </w:p>
    <w:sectPr w:rsidR="008127B4" w:rsidRPr="008127B4">
      <w:headerReference w:type="default" r:id="rId52"/>
      <w:footerReference w:type="default" r:id="rId5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BC19" w16cex:dateUtc="2022-01-29T01:01:00Z"/>
  <w16cex:commentExtensible w16cex:durableId="259EBBF5" w16cex:dateUtc="2022-01-29T00:45:00Z"/>
  <w16cex:commentExtensible w16cex:durableId="259ED743" w16cex:dateUtc="2022-01-29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20216" w16cid:durableId="259EBC19"/>
  <w16cid:commentId w16cid:paraId="2A75D876" w16cid:durableId="259EBBF5"/>
  <w16cid:commentId w16cid:paraId="500658EC" w16cid:durableId="259ED7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D483C" w14:textId="77777777" w:rsidR="006A1455" w:rsidRDefault="006A1455" w:rsidP="00F242DD">
      <w:r>
        <w:separator/>
      </w:r>
    </w:p>
  </w:endnote>
  <w:endnote w:type="continuationSeparator" w:id="0">
    <w:p w14:paraId="5EF0C1B3" w14:textId="77777777" w:rsidR="006A1455" w:rsidRDefault="006A1455" w:rsidP="00F2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09321"/>
      <w:docPartObj>
        <w:docPartGallery w:val="Page Numbers (Bottom of Page)"/>
        <w:docPartUnique/>
      </w:docPartObj>
    </w:sdtPr>
    <w:sdtEndPr/>
    <w:sdtContent>
      <w:p w14:paraId="04F504BD" w14:textId="525CD777" w:rsidR="00F242DD" w:rsidRDefault="00F242DD">
        <w:pPr>
          <w:pStyle w:val="Piedepgina"/>
          <w:jc w:val="center"/>
        </w:pPr>
        <w:r>
          <w:fldChar w:fldCharType="begin"/>
        </w:r>
        <w:r>
          <w:instrText>PAGE   \* MERGEFORMAT</w:instrText>
        </w:r>
        <w:r>
          <w:fldChar w:fldCharType="separate"/>
        </w:r>
        <w:r w:rsidR="005772FD" w:rsidRPr="005772FD">
          <w:rPr>
            <w:noProof/>
            <w:lang w:val="es-ES"/>
          </w:rPr>
          <w:t>4</w:t>
        </w:r>
        <w:r>
          <w:fldChar w:fldCharType="end"/>
        </w:r>
      </w:p>
    </w:sdtContent>
  </w:sdt>
  <w:p w14:paraId="06E72788" w14:textId="77777777" w:rsidR="00F242DD" w:rsidRDefault="00F242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8370C" w14:textId="77777777" w:rsidR="006A1455" w:rsidRDefault="006A1455" w:rsidP="00F242DD">
      <w:r>
        <w:separator/>
      </w:r>
    </w:p>
  </w:footnote>
  <w:footnote w:type="continuationSeparator" w:id="0">
    <w:p w14:paraId="189E1575" w14:textId="77777777" w:rsidR="006A1455" w:rsidRDefault="006A1455" w:rsidP="00F2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212C" w14:textId="2AC8882F" w:rsidR="009B1DD5" w:rsidRDefault="009B1DD5" w:rsidP="009B1DD5">
    <w:pPr>
      <w:pStyle w:val="Encabezado"/>
      <w:tabs>
        <w:tab w:val="clear" w:pos="4419"/>
        <w:tab w:val="clear" w:pos="8838"/>
        <w:tab w:val="left" w:pos="5625"/>
      </w:tabs>
      <w:jc w:val="right"/>
    </w:pPr>
    <w:r>
      <w:rPr>
        <w:noProof/>
        <w:lang w:val="es-MX" w:eastAsia="es-MX"/>
      </w:rPr>
      <w:drawing>
        <wp:anchor distT="0" distB="0" distL="114300" distR="114300" simplePos="0" relativeHeight="251658240" behindDoc="1" locked="0" layoutInCell="1" allowOverlap="1" wp14:anchorId="6A1D4C63" wp14:editId="4EFFD75A">
          <wp:simplePos x="0" y="0"/>
          <wp:positionH relativeFrom="column">
            <wp:posOffset>120015</wp:posOffset>
          </wp:positionH>
          <wp:positionV relativeFrom="paragraph">
            <wp:posOffset>-287655</wp:posOffset>
          </wp:positionV>
          <wp:extent cx="628650" cy="628650"/>
          <wp:effectExtent l="0" t="0" r="0" b="0"/>
          <wp:wrapTight wrapText="bothSides">
            <wp:wrapPolygon edited="0">
              <wp:start x="5891" y="0"/>
              <wp:lineTo x="0" y="2618"/>
              <wp:lineTo x="0" y="18327"/>
              <wp:lineTo x="5891" y="20945"/>
              <wp:lineTo x="15055" y="20945"/>
              <wp:lineTo x="20945" y="18327"/>
              <wp:lineTo x="20945" y="2618"/>
              <wp:lineTo x="15055" y="0"/>
              <wp:lineTo x="5891"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DHD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t xml:space="preserve"> Comisión de Derechos Humanos de la Ciudad de México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E4FCB"/>
    <w:multiLevelType w:val="hybridMultilevel"/>
    <w:tmpl w:val="979A84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B4"/>
    <w:rsid w:val="000350F1"/>
    <w:rsid w:val="000545AF"/>
    <w:rsid w:val="00061228"/>
    <w:rsid w:val="00067ED3"/>
    <w:rsid w:val="000A14F4"/>
    <w:rsid w:val="000F64B5"/>
    <w:rsid w:val="0010456B"/>
    <w:rsid w:val="001119A7"/>
    <w:rsid w:val="00193209"/>
    <w:rsid w:val="001A3B0F"/>
    <w:rsid w:val="001C65D1"/>
    <w:rsid w:val="001E30DE"/>
    <w:rsid w:val="00222FC8"/>
    <w:rsid w:val="00235600"/>
    <w:rsid w:val="00240563"/>
    <w:rsid w:val="002A4DCF"/>
    <w:rsid w:val="00301305"/>
    <w:rsid w:val="00320E3F"/>
    <w:rsid w:val="00325539"/>
    <w:rsid w:val="003A1BF3"/>
    <w:rsid w:val="003B607F"/>
    <w:rsid w:val="00403FC6"/>
    <w:rsid w:val="00451E51"/>
    <w:rsid w:val="00474C43"/>
    <w:rsid w:val="00497A5E"/>
    <w:rsid w:val="004F3224"/>
    <w:rsid w:val="00550652"/>
    <w:rsid w:val="005648F3"/>
    <w:rsid w:val="00564C08"/>
    <w:rsid w:val="00572041"/>
    <w:rsid w:val="005772FD"/>
    <w:rsid w:val="005D3719"/>
    <w:rsid w:val="006A1455"/>
    <w:rsid w:val="006B73AB"/>
    <w:rsid w:val="006D080A"/>
    <w:rsid w:val="00704B5E"/>
    <w:rsid w:val="00773A9B"/>
    <w:rsid w:val="007D7B44"/>
    <w:rsid w:val="007F488A"/>
    <w:rsid w:val="008127B4"/>
    <w:rsid w:val="0082097A"/>
    <w:rsid w:val="00821E88"/>
    <w:rsid w:val="008233F1"/>
    <w:rsid w:val="0088429F"/>
    <w:rsid w:val="00891538"/>
    <w:rsid w:val="008B464A"/>
    <w:rsid w:val="008F0DF0"/>
    <w:rsid w:val="008F7722"/>
    <w:rsid w:val="009667CD"/>
    <w:rsid w:val="00992D79"/>
    <w:rsid w:val="009B1DD5"/>
    <w:rsid w:val="00A02AED"/>
    <w:rsid w:val="00A33D84"/>
    <w:rsid w:val="00A602D2"/>
    <w:rsid w:val="00AE0A63"/>
    <w:rsid w:val="00B14F98"/>
    <w:rsid w:val="00B6419E"/>
    <w:rsid w:val="00B91DE2"/>
    <w:rsid w:val="00BB118E"/>
    <w:rsid w:val="00BC7C4D"/>
    <w:rsid w:val="00C21D72"/>
    <w:rsid w:val="00C34C1D"/>
    <w:rsid w:val="00C36B8B"/>
    <w:rsid w:val="00C80D8C"/>
    <w:rsid w:val="00C85C98"/>
    <w:rsid w:val="00C866A0"/>
    <w:rsid w:val="00D01997"/>
    <w:rsid w:val="00D67F9C"/>
    <w:rsid w:val="00E00E8E"/>
    <w:rsid w:val="00E6474F"/>
    <w:rsid w:val="00E803FA"/>
    <w:rsid w:val="00EA7E1D"/>
    <w:rsid w:val="00F242DD"/>
    <w:rsid w:val="00F67389"/>
    <w:rsid w:val="00FA5939"/>
    <w:rsid w:val="00FC5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6B6B2"/>
  <w15:chartTrackingRefBased/>
  <w15:docId w15:val="{F30F587D-2947-49D3-BF6A-E69F40EE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5920"/>
    <w:rPr>
      <w:color w:val="0563C1" w:themeColor="hyperlink"/>
      <w:u w:val="single"/>
    </w:rPr>
  </w:style>
  <w:style w:type="character" w:customStyle="1" w:styleId="Mencinsinresolver1">
    <w:name w:val="Mención sin resolver1"/>
    <w:basedOn w:val="Fuentedeprrafopredeter"/>
    <w:uiPriority w:val="99"/>
    <w:semiHidden/>
    <w:unhideWhenUsed/>
    <w:rsid w:val="00FC5920"/>
    <w:rPr>
      <w:color w:val="605E5C"/>
      <w:shd w:val="clear" w:color="auto" w:fill="E1DFDD"/>
    </w:rPr>
  </w:style>
  <w:style w:type="paragraph" w:styleId="Prrafodelista">
    <w:name w:val="List Paragraph"/>
    <w:basedOn w:val="Normal"/>
    <w:uiPriority w:val="34"/>
    <w:qFormat/>
    <w:rsid w:val="0088429F"/>
    <w:pPr>
      <w:ind w:left="720"/>
      <w:contextualSpacing/>
    </w:pPr>
  </w:style>
  <w:style w:type="paragraph" w:styleId="Textodeglobo">
    <w:name w:val="Balloon Text"/>
    <w:basedOn w:val="Normal"/>
    <w:link w:val="TextodegloboCar"/>
    <w:uiPriority w:val="99"/>
    <w:semiHidden/>
    <w:unhideWhenUsed/>
    <w:rsid w:val="008233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3F1"/>
    <w:rPr>
      <w:rFonts w:ascii="Segoe UI" w:hAnsi="Segoe UI" w:cs="Segoe UI"/>
      <w:sz w:val="18"/>
      <w:szCs w:val="18"/>
      <w:lang w:val="en-US"/>
    </w:rPr>
  </w:style>
  <w:style w:type="character" w:styleId="Hipervnculovisitado">
    <w:name w:val="FollowedHyperlink"/>
    <w:basedOn w:val="Fuentedeprrafopredeter"/>
    <w:uiPriority w:val="99"/>
    <w:semiHidden/>
    <w:unhideWhenUsed/>
    <w:rsid w:val="00F242DD"/>
    <w:rPr>
      <w:color w:val="954F72" w:themeColor="followedHyperlink"/>
      <w:u w:val="single"/>
    </w:rPr>
  </w:style>
  <w:style w:type="paragraph" w:styleId="Encabezado">
    <w:name w:val="header"/>
    <w:basedOn w:val="Normal"/>
    <w:link w:val="EncabezadoCar"/>
    <w:uiPriority w:val="99"/>
    <w:unhideWhenUsed/>
    <w:rsid w:val="00F242DD"/>
    <w:pPr>
      <w:tabs>
        <w:tab w:val="center" w:pos="4419"/>
        <w:tab w:val="right" w:pos="8838"/>
      </w:tabs>
    </w:pPr>
  </w:style>
  <w:style w:type="character" w:customStyle="1" w:styleId="EncabezadoCar">
    <w:name w:val="Encabezado Car"/>
    <w:basedOn w:val="Fuentedeprrafopredeter"/>
    <w:link w:val="Encabezado"/>
    <w:uiPriority w:val="99"/>
    <w:rsid w:val="00F242DD"/>
    <w:rPr>
      <w:lang w:val="en-US"/>
    </w:rPr>
  </w:style>
  <w:style w:type="paragraph" w:styleId="Piedepgina">
    <w:name w:val="footer"/>
    <w:basedOn w:val="Normal"/>
    <w:link w:val="PiedepginaCar"/>
    <w:uiPriority w:val="99"/>
    <w:unhideWhenUsed/>
    <w:rsid w:val="00F242DD"/>
    <w:pPr>
      <w:tabs>
        <w:tab w:val="center" w:pos="4419"/>
        <w:tab w:val="right" w:pos="8838"/>
      </w:tabs>
    </w:pPr>
  </w:style>
  <w:style w:type="character" w:customStyle="1" w:styleId="PiedepginaCar">
    <w:name w:val="Pie de página Car"/>
    <w:basedOn w:val="Fuentedeprrafopredeter"/>
    <w:link w:val="Piedepgina"/>
    <w:uiPriority w:val="99"/>
    <w:rsid w:val="00F242DD"/>
    <w:rPr>
      <w:lang w:val="en-US"/>
    </w:rPr>
  </w:style>
  <w:style w:type="character" w:styleId="Refdecomentario">
    <w:name w:val="annotation reference"/>
    <w:basedOn w:val="Fuentedeprrafopredeter"/>
    <w:uiPriority w:val="99"/>
    <w:semiHidden/>
    <w:unhideWhenUsed/>
    <w:rsid w:val="00F242DD"/>
    <w:rPr>
      <w:sz w:val="16"/>
      <w:szCs w:val="16"/>
    </w:rPr>
  </w:style>
  <w:style w:type="paragraph" w:styleId="Textocomentario">
    <w:name w:val="annotation text"/>
    <w:basedOn w:val="Normal"/>
    <w:link w:val="TextocomentarioCar"/>
    <w:uiPriority w:val="99"/>
    <w:semiHidden/>
    <w:unhideWhenUsed/>
    <w:rsid w:val="00F242DD"/>
    <w:rPr>
      <w:sz w:val="20"/>
      <w:szCs w:val="20"/>
    </w:rPr>
  </w:style>
  <w:style w:type="character" w:customStyle="1" w:styleId="TextocomentarioCar">
    <w:name w:val="Texto comentario Car"/>
    <w:basedOn w:val="Fuentedeprrafopredeter"/>
    <w:link w:val="Textocomentario"/>
    <w:uiPriority w:val="99"/>
    <w:semiHidden/>
    <w:rsid w:val="00F242DD"/>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242DD"/>
    <w:rPr>
      <w:b/>
      <w:bCs/>
    </w:rPr>
  </w:style>
  <w:style w:type="character" w:customStyle="1" w:styleId="AsuntodelcomentarioCar">
    <w:name w:val="Asunto del comentario Car"/>
    <w:basedOn w:val="TextocomentarioCar"/>
    <w:link w:val="Asuntodelcomentario"/>
    <w:uiPriority w:val="99"/>
    <w:semiHidden/>
    <w:rsid w:val="00F242DD"/>
    <w:rPr>
      <w:b/>
      <w:bCs/>
      <w:sz w:val="20"/>
      <w:szCs w:val="20"/>
      <w:lang w:val="en-US"/>
    </w:rPr>
  </w:style>
  <w:style w:type="paragraph" w:styleId="Revisin">
    <w:name w:val="Revision"/>
    <w:hidden/>
    <w:uiPriority w:val="99"/>
    <w:semiHidden/>
    <w:rsid w:val="00773A9B"/>
    <w:pPr>
      <w:jc w:val="left"/>
    </w:pPr>
    <w:rPr>
      <w:lang w:val="en-US"/>
    </w:rPr>
  </w:style>
  <w:style w:type="table" w:styleId="Tablaconcuadrcula">
    <w:name w:val="Table Grid"/>
    <w:basedOn w:val="Tablanormal"/>
    <w:uiPriority w:val="39"/>
    <w:rsid w:val="00F6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3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3077">
      <w:bodyDiv w:val="1"/>
      <w:marLeft w:val="0"/>
      <w:marRight w:val="0"/>
      <w:marTop w:val="0"/>
      <w:marBottom w:val="0"/>
      <w:divBdr>
        <w:top w:val="none" w:sz="0" w:space="0" w:color="auto"/>
        <w:left w:val="none" w:sz="0" w:space="0" w:color="auto"/>
        <w:bottom w:val="none" w:sz="0" w:space="0" w:color="auto"/>
        <w:right w:val="none" w:sz="0" w:space="0" w:color="auto"/>
      </w:divBdr>
    </w:div>
    <w:div w:id="792671278">
      <w:bodyDiv w:val="1"/>
      <w:marLeft w:val="0"/>
      <w:marRight w:val="0"/>
      <w:marTop w:val="0"/>
      <w:marBottom w:val="0"/>
      <w:divBdr>
        <w:top w:val="none" w:sz="0" w:space="0" w:color="auto"/>
        <w:left w:val="none" w:sz="0" w:space="0" w:color="auto"/>
        <w:bottom w:val="none" w:sz="0" w:space="0" w:color="auto"/>
        <w:right w:val="none" w:sz="0" w:space="0" w:color="auto"/>
      </w:divBdr>
    </w:div>
    <w:div w:id="859976249">
      <w:bodyDiv w:val="1"/>
      <w:marLeft w:val="0"/>
      <w:marRight w:val="0"/>
      <w:marTop w:val="0"/>
      <w:marBottom w:val="0"/>
      <w:divBdr>
        <w:top w:val="none" w:sz="0" w:space="0" w:color="auto"/>
        <w:left w:val="none" w:sz="0" w:space="0" w:color="auto"/>
        <w:bottom w:val="none" w:sz="0" w:space="0" w:color="auto"/>
        <w:right w:val="none" w:sz="0" w:space="0" w:color="auto"/>
      </w:divBdr>
    </w:div>
    <w:div w:id="16086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jf2.scjn.gob.mx/detalle/tesis/2006224" TargetMode="External"/><Relationship Id="rId18" Type="http://schemas.openxmlformats.org/officeDocument/2006/relationships/hyperlink" Target="https://sjf2.scjn.gob.mx/detalle/tesis/2023816" TargetMode="External"/><Relationship Id="rId26" Type="http://schemas.openxmlformats.org/officeDocument/2006/relationships/hyperlink" Target="https://sjf2.scjn.gob.mx/detalle/tesis/2016557" TargetMode="External"/><Relationship Id="rId39" Type="http://schemas.openxmlformats.org/officeDocument/2006/relationships/hyperlink" Target="https://sjf2.scjn.gob.mx/detalle/tesis/2015719" TargetMode="External"/><Relationship Id="rId21" Type="http://schemas.openxmlformats.org/officeDocument/2006/relationships/hyperlink" Target="https://sjf2.scjn.gob.mx/detalle/tesis/2023813" TargetMode="External"/><Relationship Id="rId34" Type="http://schemas.openxmlformats.org/officeDocument/2006/relationships/hyperlink" Target="https://sjf2.scjn.gob.mx/detalle/tesis/180652" TargetMode="External"/><Relationship Id="rId42" Type="http://schemas.openxmlformats.org/officeDocument/2006/relationships/hyperlink" Target="https://sjf2.scjn.gob.mx/detalle/tesis/2001633" TargetMode="External"/><Relationship Id="rId47" Type="http://schemas.openxmlformats.org/officeDocument/2006/relationships/hyperlink" Target="https://aprendedh.org.mx/informacion/cbp.php" TargetMode="External"/><Relationship Id="rId50" Type="http://schemas.openxmlformats.org/officeDocument/2006/relationships/hyperlink" Target="https://distancia.inacipe.gob.mx/course/category.php?id=120%7d"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j.scjn.gob.mx/doc/sentencias_pub/K-IEpnoBNHmckC8L5TpB/Declaraci&#243;n%20sobre%20la%20Protecci&#243;n%20de%20todas%20las%20Personas%20contra%20las%20Desapariciones%20Forzadas" TargetMode="External"/><Relationship Id="rId29" Type="http://schemas.openxmlformats.org/officeDocument/2006/relationships/hyperlink" Target="https://sjf2.scjn.gob.mx/detalle/tesis/2015720" TargetMode="External"/><Relationship Id="rId11" Type="http://schemas.openxmlformats.org/officeDocument/2006/relationships/hyperlink" Target="http://www.diputados.gob.mx/LeyesBiblio/pdf/LGMDFP_200521.pdf" TargetMode="External"/><Relationship Id="rId24" Type="http://schemas.openxmlformats.org/officeDocument/2006/relationships/hyperlink" Target="https://sjf2.scjn.gob.mx/detalle/tesis/2020364" TargetMode="External"/><Relationship Id="rId32" Type="http://schemas.openxmlformats.org/officeDocument/2006/relationships/hyperlink" Target="https://sjf2.scjn.gob.mx/detalle/tesis/2001633" TargetMode="External"/><Relationship Id="rId37" Type="http://schemas.openxmlformats.org/officeDocument/2006/relationships/hyperlink" Target="https://sjf2.scjn.gob.mx/detalle/tesis/2016085" TargetMode="External"/><Relationship Id="rId40" Type="http://schemas.openxmlformats.org/officeDocument/2006/relationships/hyperlink" Target="https://sjf2.scjn.gob.mx/detalle/tesis/2014890" TargetMode="External"/><Relationship Id="rId45" Type="http://schemas.openxmlformats.org/officeDocument/2006/relationships/hyperlink" Target="https://www.corteidh.or.cr/docs/casos/articulos/seriec_370_esp.pdf" TargetMode="External"/><Relationship Id="rId53" Type="http://schemas.openxmlformats.org/officeDocument/2006/relationships/footer" Target="footer1.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https://sjf2.scjn.gob.mx/detalle/tesis/2023815" TargetMode="External"/><Relationship Id="rId4" Type="http://schemas.openxmlformats.org/officeDocument/2006/relationships/settings" Target="settings.xml"/><Relationship Id="rId9" Type="http://schemas.openxmlformats.org/officeDocument/2006/relationships/hyperlink" Target="http://www.dof.gob.mx/nota_detalle.php?codigo=5400163&amp;fecha=10/07/2015" TargetMode="External"/><Relationship Id="rId14" Type="http://schemas.openxmlformats.org/officeDocument/2006/relationships/hyperlink" Target="https://sjf2.scjn.gob.mx/detalle/tesis/2010000" TargetMode="External"/><Relationship Id="rId22" Type="http://schemas.openxmlformats.org/officeDocument/2006/relationships/hyperlink" Target="https://sjf2.scjn.gob.mx/detalle/tesis/2020486" TargetMode="External"/><Relationship Id="rId27" Type="http://schemas.openxmlformats.org/officeDocument/2006/relationships/hyperlink" Target="https://sjf2.scjn.gob.mx/detalle/tesis/2016556" TargetMode="External"/><Relationship Id="rId30" Type="http://schemas.openxmlformats.org/officeDocument/2006/relationships/hyperlink" Target="https://sjf2.scjn.gob.mx/detalle/tesis/2015719" TargetMode="External"/><Relationship Id="rId35" Type="http://schemas.openxmlformats.org/officeDocument/2006/relationships/hyperlink" Target="https://sjf2.scjn.gob.mx/detalle/tesis/181147" TargetMode="External"/><Relationship Id="rId43" Type="http://schemas.openxmlformats.org/officeDocument/2006/relationships/hyperlink" Target="https://tbinternet.ohchr.org/_layouts/15/TreatyBodyExternal/Treaty.aspx?CountryID=112&amp;Lang=EN" TargetMode="External"/><Relationship Id="rId48" Type="http://schemas.openxmlformats.org/officeDocument/2006/relationships/hyperlink" Target="https://aprendedh.org.mx/informacion/ppv.php" TargetMode="External"/><Relationship Id="rId56" Type="http://schemas.microsoft.com/office/2018/08/relationships/commentsExtensible" Target="commentsExtensible.xml"/><Relationship Id="rId8" Type="http://schemas.openxmlformats.org/officeDocument/2006/relationships/hyperlink" Target="mailto:secretaria.ejecutiva@cdhcm.org.mx" TargetMode="External"/><Relationship Id="rId51" Type="http://schemas.openxmlformats.org/officeDocument/2006/relationships/hyperlink" Target="https://cdhcm.org.mx/2020/10/recomendacion-02-2020/" TargetMode="External"/><Relationship Id="rId3" Type="http://schemas.openxmlformats.org/officeDocument/2006/relationships/styles" Target="styles.xml"/><Relationship Id="rId12" Type="http://schemas.openxmlformats.org/officeDocument/2006/relationships/hyperlink" Target="https://sjf2.scjn.gob.mx/detalle/tesis/2020365" TargetMode="External"/><Relationship Id="rId17" Type="http://schemas.openxmlformats.org/officeDocument/2006/relationships/hyperlink" Target="https://bj.scjn.gob.mx/doc/sentencias_pub/6yVJ3XgB_UqKst8oBEQG/Declaraci&#243;n%20sobre%20la%20Protecci&#243;n%20de%20todas%20las%20Personas%20contra%20las%20Desapariciones%20Forzadas" TargetMode="External"/><Relationship Id="rId25" Type="http://schemas.openxmlformats.org/officeDocument/2006/relationships/hyperlink" Target="https://sjf2.scjn.gob.mx/detalle/tesis/2017602" TargetMode="External"/><Relationship Id="rId33" Type="http://schemas.openxmlformats.org/officeDocument/2006/relationships/hyperlink" Target="https://sjf2.scjn.gob.mx/detalle/tesis/180653" TargetMode="External"/><Relationship Id="rId38" Type="http://schemas.openxmlformats.org/officeDocument/2006/relationships/hyperlink" Target="https://sjf2.scjn.gob.mx/detalle/tesis/2015720" TargetMode="External"/><Relationship Id="rId46" Type="http://schemas.openxmlformats.org/officeDocument/2006/relationships/hyperlink" Target="https://www.youtube.com/watch?v=lmju7LBptdQ&amp;t=1202s" TargetMode="External"/><Relationship Id="rId59" Type="http://schemas.openxmlformats.org/officeDocument/2006/relationships/customXml" Target="../customXml/item3.xml"/><Relationship Id="rId20" Type="http://schemas.openxmlformats.org/officeDocument/2006/relationships/hyperlink" Target="https://sjf2.scjn.gob.mx/detalle/tesis/2023814" TargetMode="External"/><Relationship Id="rId41" Type="http://schemas.openxmlformats.org/officeDocument/2006/relationships/hyperlink" Target="https://sjf2.scjn.gob.mx/detalle/tesis/200163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jf2.scjn.gob.mx/detalle/tesis/2020365" TargetMode="External"/><Relationship Id="rId23" Type="http://schemas.openxmlformats.org/officeDocument/2006/relationships/hyperlink" Target="https://sjf2.scjn.gob.mx/detalle/tesis/2020452" TargetMode="External"/><Relationship Id="rId28" Type="http://schemas.openxmlformats.org/officeDocument/2006/relationships/hyperlink" Target="https://sjf2.scjn.gob.mx/detalle/tesis/2016085" TargetMode="External"/><Relationship Id="rId36" Type="http://schemas.openxmlformats.org/officeDocument/2006/relationships/hyperlink" Target="https://sjf2.scjn.gob.mx/detalle/tesis/2020364" TargetMode="External"/><Relationship Id="rId49" Type="http://schemas.openxmlformats.org/officeDocument/2006/relationships/hyperlink" Target="https://formacion.delibera.org/course/desaparicion-busquedadepersonas/" TargetMode="External"/><Relationship Id="rId57" Type="http://schemas.microsoft.com/office/2016/09/relationships/commentsIds" Target="commentsIds.xml"/><Relationship Id="rId10" Type="http://schemas.openxmlformats.org/officeDocument/2006/relationships/hyperlink" Target="https://www.corteidh.or.cr/docs/casos/articulos/seriec_209_esp.pdf" TargetMode="External"/><Relationship Id="rId31" Type="http://schemas.openxmlformats.org/officeDocument/2006/relationships/hyperlink" Target="https://sjf2.scjn.gob.mx/detalle/tesis/2001634" TargetMode="External"/><Relationship Id="rId44" Type="http://schemas.openxmlformats.org/officeDocument/2006/relationships/hyperlink" Target="https://www.corteidh.or.cr/docs/casos/articulos/seriec_209_esp.pdf" TargetMode="External"/><Relationship Id="rId52" Type="http://schemas.openxmlformats.org/officeDocument/2006/relationships/header" Target="header1.xml"/><Relationship Id="rId6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Category>
    <Doctype xmlns="d42e65b2-cf21-49c1-b27d-d23f90380c0e">input-2</Doctype>
    <Contributor xmlns="d42e65b2-cf21-49c1-b27d-d23f90380c0e">Comisión de Derechos Humanos de la Ciudad de México (CDHCM)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A46330A-01A4-411C-9E01-2D520AE1FD45}">
  <ds:schemaRefs>
    <ds:schemaRef ds:uri="http://schemas.openxmlformats.org/officeDocument/2006/bibliography"/>
  </ds:schemaRefs>
</ds:datastoreItem>
</file>

<file path=customXml/itemProps2.xml><?xml version="1.0" encoding="utf-8"?>
<ds:datastoreItem xmlns:ds="http://schemas.openxmlformats.org/officeDocument/2006/customXml" ds:itemID="{2628F000-4707-4C58-A25D-AA0E7BDA182E}"/>
</file>

<file path=customXml/itemProps3.xml><?xml version="1.0" encoding="utf-8"?>
<ds:datastoreItem xmlns:ds="http://schemas.openxmlformats.org/officeDocument/2006/customXml" ds:itemID="{296E1D12-E6FB-40DC-B160-3B3DA5FF2025}"/>
</file>

<file path=customXml/itemProps4.xml><?xml version="1.0" encoding="utf-8"?>
<ds:datastoreItem xmlns:ds="http://schemas.openxmlformats.org/officeDocument/2006/customXml" ds:itemID="{41C2A30C-8136-4CC0-BD3A-A90A4CF212E9}"/>
</file>

<file path=docProps/app.xml><?xml version="1.0" encoding="utf-8"?>
<Properties xmlns="http://schemas.openxmlformats.org/officeDocument/2006/extended-properties" xmlns:vt="http://schemas.openxmlformats.org/officeDocument/2006/docPropsVTypes">
  <Template>Normal</Template>
  <TotalTime>12</TotalTime>
  <Pages>4</Pages>
  <Words>2439</Words>
  <Characters>13418</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Arjona Estevez</dc:creator>
  <cp:keywords/>
  <dc:description/>
  <cp:lastModifiedBy>Areli Yeliztli Barranco Ruiz</cp:lastModifiedBy>
  <cp:revision>3</cp:revision>
  <cp:lastPrinted>2022-02-03T00:59:00Z</cp:lastPrinted>
  <dcterms:created xsi:type="dcterms:W3CDTF">2022-02-03T01:23:00Z</dcterms:created>
  <dcterms:modified xsi:type="dcterms:W3CDTF">2022-02-03T01:35:00Z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