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DB5" w:rsidRPr="00860DB5" w:rsidRDefault="00860DB5" w:rsidP="00622745">
      <w:pPr>
        <w:bidi w:val="0"/>
        <w:jc w:val="center"/>
        <w:rPr>
          <w:rFonts w:asciiTheme="minorBidi" w:hAnsiTheme="minorBidi" w:cstheme="minorBidi"/>
          <w:i/>
          <w:iCs/>
          <w:sz w:val="26"/>
          <w:szCs w:val="26"/>
          <w:u w:val="single"/>
        </w:rPr>
      </w:pPr>
      <w:r w:rsidRPr="00860DB5">
        <w:rPr>
          <w:rFonts w:asciiTheme="minorBidi" w:hAnsiTheme="minorBidi" w:cstheme="minorBidi"/>
          <w:i/>
          <w:iCs/>
          <w:sz w:val="26"/>
          <w:szCs w:val="26"/>
          <w:u w:val="single"/>
        </w:rPr>
        <w:t>Unofficial translation</w:t>
      </w:r>
    </w:p>
    <w:p w:rsidR="00860DB5" w:rsidRDefault="00860DB5" w:rsidP="00860DB5">
      <w:pPr>
        <w:bidi w:val="0"/>
        <w:jc w:val="center"/>
        <w:rPr>
          <w:rFonts w:ascii="Arial Nova" w:hAnsi="Arial Nova" w:cs="Arial"/>
          <w:sz w:val="24"/>
          <w:szCs w:val="24"/>
          <w:u w:val="single"/>
        </w:rPr>
      </w:pPr>
    </w:p>
    <w:p w:rsidR="00860DB5" w:rsidRPr="00860DB5" w:rsidRDefault="00860DB5" w:rsidP="00860DB5">
      <w:pPr>
        <w:bidi w:val="0"/>
        <w:jc w:val="center"/>
        <w:rPr>
          <w:rFonts w:asciiTheme="minorBidi" w:hAnsiTheme="minorBidi" w:cstheme="minorBidi"/>
          <w:sz w:val="26"/>
          <w:szCs w:val="26"/>
          <w:u w:val="single"/>
        </w:rPr>
      </w:pPr>
    </w:p>
    <w:p w:rsidR="00B019A2" w:rsidRPr="00860DB5" w:rsidRDefault="00E80F7E" w:rsidP="00E80F7E">
      <w:pPr>
        <w:bidi w:val="0"/>
        <w:jc w:val="center"/>
        <w:rPr>
          <w:rFonts w:asciiTheme="minorBidi" w:hAnsiTheme="minorBidi" w:cstheme="minorBidi"/>
          <w:sz w:val="26"/>
          <w:szCs w:val="26"/>
          <w:u w:val="single"/>
        </w:rPr>
      </w:pPr>
      <w:r>
        <w:rPr>
          <w:rFonts w:asciiTheme="minorBidi" w:hAnsiTheme="minorBidi" w:cstheme="minorBidi"/>
          <w:sz w:val="26"/>
          <w:szCs w:val="26"/>
          <w:u w:val="single"/>
        </w:rPr>
        <w:t>Inputs in view of the special in</w:t>
      </w:r>
      <w:r w:rsidR="00B019A2" w:rsidRPr="00860DB5">
        <w:rPr>
          <w:rFonts w:asciiTheme="minorBidi" w:hAnsiTheme="minorBidi" w:cstheme="minorBidi"/>
          <w:sz w:val="26"/>
          <w:szCs w:val="26"/>
          <w:u w:val="single"/>
        </w:rPr>
        <w:t>it</w:t>
      </w:r>
      <w:r>
        <w:rPr>
          <w:rFonts w:asciiTheme="minorBidi" w:hAnsiTheme="minorBidi" w:cstheme="minorBidi"/>
          <w:sz w:val="26"/>
          <w:szCs w:val="26"/>
          <w:u w:val="single"/>
        </w:rPr>
        <w:t>i</w:t>
      </w:r>
      <w:r w:rsidR="00B019A2" w:rsidRPr="00860DB5">
        <w:rPr>
          <w:rFonts w:asciiTheme="minorBidi" w:hAnsiTheme="minorBidi" w:cstheme="minorBidi"/>
          <w:sz w:val="26"/>
          <w:szCs w:val="26"/>
          <w:u w:val="single"/>
        </w:rPr>
        <w:t>ative marking the 30</w:t>
      </w:r>
      <w:r w:rsidR="00B019A2" w:rsidRPr="00860DB5">
        <w:rPr>
          <w:rFonts w:asciiTheme="minorBidi" w:hAnsiTheme="minorBidi" w:cstheme="minorBidi"/>
          <w:sz w:val="26"/>
          <w:szCs w:val="26"/>
          <w:u w:val="single"/>
          <w:vertAlign w:val="superscript"/>
        </w:rPr>
        <w:t>th</w:t>
      </w:r>
      <w:r w:rsidR="00B019A2" w:rsidRPr="00860DB5">
        <w:rPr>
          <w:rFonts w:asciiTheme="minorBidi" w:hAnsiTheme="minorBidi" w:cstheme="minorBidi"/>
          <w:sz w:val="26"/>
          <w:szCs w:val="26"/>
          <w:u w:val="single"/>
        </w:rPr>
        <w:t xml:space="preserve"> anniversary of the Declaration on the Protection of All Persons from Enforced Disappearance</w:t>
      </w:r>
    </w:p>
    <w:p w:rsidR="00B019A2" w:rsidRPr="00860DB5" w:rsidRDefault="00B019A2" w:rsidP="00B019A2">
      <w:pPr>
        <w:bidi w:val="0"/>
        <w:jc w:val="center"/>
        <w:rPr>
          <w:rFonts w:asciiTheme="minorBidi" w:hAnsiTheme="minorBidi" w:cstheme="minorBidi"/>
          <w:sz w:val="26"/>
          <w:szCs w:val="26"/>
          <w:u w:val="single"/>
        </w:rPr>
      </w:pPr>
    </w:p>
    <w:p w:rsidR="00B019A2" w:rsidRPr="00860DB5" w:rsidRDefault="00B019A2" w:rsidP="00B019A2">
      <w:pPr>
        <w:bidi w:val="0"/>
        <w:rPr>
          <w:rFonts w:asciiTheme="minorBidi" w:hAnsiTheme="minorBidi" w:cstheme="minorBidi"/>
          <w:b w:val="0"/>
          <w:bCs w:val="0"/>
          <w:sz w:val="26"/>
          <w:szCs w:val="26"/>
        </w:rPr>
      </w:pPr>
    </w:p>
    <w:p w:rsidR="00B019A2" w:rsidRPr="00860DB5" w:rsidRDefault="00B019A2" w:rsidP="00D2405A">
      <w:pPr>
        <w:bidi w:val="0"/>
        <w:spacing w:line="360" w:lineRule="auto"/>
        <w:jc w:val="both"/>
        <w:rPr>
          <w:rFonts w:asciiTheme="minorBidi" w:hAnsiTheme="minorBidi" w:cstheme="minorBidi"/>
          <w:b w:val="0"/>
          <w:bCs w:val="0"/>
          <w:sz w:val="26"/>
          <w:szCs w:val="26"/>
          <w:lang w:val="en-GB"/>
        </w:rPr>
      </w:pPr>
      <w:r w:rsidRPr="00860DB5">
        <w:rPr>
          <w:rFonts w:asciiTheme="minorBidi" w:hAnsiTheme="minorBidi" w:cstheme="minorBidi"/>
          <w:b w:val="0"/>
          <w:bCs w:val="0"/>
          <w:sz w:val="26"/>
          <w:szCs w:val="26"/>
        </w:rPr>
        <w:t xml:space="preserve"> </w:t>
      </w:r>
      <w:r w:rsidRPr="00860DB5">
        <w:rPr>
          <w:rFonts w:asciiTheme="minorBidi" w:hAnsiTheme="minorBidi" w:cstheme="minorBidi"/>
          <w:b w:val="0"/>
          <w:bCs w:val="0"/>
          <w:color w:val="000000"/>
          <w:sz w:val="26"/>
          <w:szCs w:val="26"/>
          <w:shd w:val="clear" w:color="auto" w:fill="FFFFFF"/>
        </w:rPr>
        <w:t>Although</w:t>
      </w:r>
      <w:r w:rsidRPr="00860DB5">
        <w:rPr>
          <w:rFonts w:asciiTheme="minorBidi" w:hAnsiTheme="minorBidi" w:cstheme="minorBidi"/>
          <w:b w:val="0"/>
          <w:bCs w:val="0"/>
          <w:sz w:val="26"/>
          <w:szCs w:val="26"/>
          <w:lang w:val="en-GB"/>
        </w:rPr>
        <w:t xml:space="preserve"> the State of Qatar is not a party to the </w:t>
      </w:r>
      <w:r w:rsidRPr="00860DB5">
        <w:rPr>
          <w:rFonts w:asciiTheme="minorBidi" w:hAnsiTheme="minorBidi" w:cstheme="minorBidi"/>
          <w:b w:val="0"/>
          <w:bCs w:val="0"/>
          <w:sz w:val="26"/>
          <w:szCs w:val="26"/>
        </w:rPr>
        <w:t>International Convention for the Protection of All Persons from Enforced Disappearance</w:t>
      </w:r>
      <w:r w:rsidRPr="00860DB5">
        <w:rPr>
          <w:rFonts w:asciiTheme="minorBidi" w:hAnsiTheme="minorBidi" w:cstheme="minorBidi"/>
          <w:b w:val="0"/>
          <w:bCs w:val="0"/>
          <w:sz w:val="26"/>
          <w:szCs w:val="26"/>
          <w:lang w:val="en-GB"/>
        </w:rPr>
        <w:t>, t</w:t>
      </w:r>
      <w:r w:rsidRPr="00860DB5">
        <w:rPr>
          <w:rFonts w:asciiTheme="minorBidi" w:hAnsiTheme="minorBidi" w:cstheme="minorBidi"/>
          <w:b w:val="0"/>
          <w:bCs w:val="0"/>
          <w:sz w:val="26"/>
          <w:szCs w:val="26"/>
        </w:rPr>
        <w:t xml:space="preserve">here is a national compliance with the provisions of this Convention. </w:t>
      </w:r>
      <w:r w:rsidR="000E6EAF" w:rsidRPr="00860DB5">
        <w:rPr>
          <w:rFonts w:asciiTheme="minorBidi" w:hAnsiTheme="minorBidi" w:cstheme="minorBidi"/>
          <w:b w:val="0"/>
          <w:bCs w:val="0"/>
          <w:sz w:val="26"/>
          <w:szCs w:val="26"/>
        </w:rPr>
        <w:t xml:space="preserve">Therefore, </w:t>
      </w:r>
      <w:r w:rsidR="000E6EAF" w:rsidRPr="00860DB5">
        <w:rPr>
          <w:rFonts w:asciiTheme="minorBidi" w:hAnsiTheme="minorBidi" w:cstheme="minorBidi"/>
          <w:b w:val="0"/>
          <w:bCs w:val="0"/>
          <w:sz w:val="26"/>
          <w:szCs w:val="26"/>
          <w:lang w:val="en-GB"/>
        </w:rPr>
        <w:t>i</w:t>
      </w:r>
      <w:r w:rsidR="00622745" w:rsidRPr="00860DB5">
        <w:rPr>
          <w:rFonts w:asciiTheme="minorBidi" w:hAnsiTheme="minorBidi" w:cstheme="minorBidi"/>
          <w:b w:val="0"/>
          <w:bCs w:val="0"/>
          <w:sz w:val="26"/>
          <w:szCs w:val="26"/>
          <w:lang w:val="en-GB"/>
        </w:rPr>
        <w:t>f the State of</w:t>
      </w:r>
      <w:r w:rsidRPr="00860DB5">
        <w:rPr>
          <w:rFonts w:asciiTheme="minorBidi" w:hAnsiTheme="minorBidi" w:cstheme="minorBidi"/>
          <w:b w:val="0"/>
          <w:bCs w:val="0"/>
          <w:sz w:val="26"/>
          <w:szCs w:val="26"/>
          <w:lang w:val="en-GB"/>
        </w:rPr>
        <w:t xml:space="preserve"> Qatar joins the Convention</w:t>
      </w:r>
      <w:r w:rsidRPr="00860DB5">
        <w:rPr>
          <w:rFonts w:asciiTheme="minorBidi" w:hAnsiTheme="minorBidi" w:cstheme="minorBidi"/>
          <w:b w:val="0"/>
          <w:bCs w:val="0"/>
          <w:sz w:val="26"/>
          <w:szCs w:val="26"/>
        </w:rPr>
        <w:t xml:space="preserve">, this will </w:t>
      </w:r>
      <w:r w:rsidR="00B00410" w:rsidRPr="00860DB5">
        <w:rPr>
          <w:rFonts w:asciiTheme="minorBidi" w:hAnsiTheme="minorBidi" w:cstheme="minorBidi"/>
          <w:b w:val="0"/>
          <w:bCs w:val="0"/>
          <w:sz w:val="26"/>
          <w:szCs w:val="26"/>
          <w:lang w:val="en-GB"/>
        </w:rPr>
        <w:t>only</w:t>
      </w:r>
      <w:r w:rsidR="00635895" w:rsidRPr="00860DB5">
        <w:rPr>
          <w:rFonts w:asciiTheme="minorBidi" w:hAnsiTheme="minorBidi" w:cstheme="minorBidi"/>
          <w:b w:val="0"/>
          <w:bCs w:val="0"/>
          <w:sz w:val="26"/>
          <w:szCs w:val="26"/>
        </w:rPr>
        <w:t xml:space="preserve"> </w:t>
      </w:r>
      <w:r w:rsidR="00B00410" w:rsidRPr="00860DB5">
        <w:rPr>
          <w:rFonts w:asciiTheme="minorBidi" w:hAnsiTheme="minorBidi" w:cstheme="minorBidi"/>
          <w:b w:val="0"/>
          <w:bCs w:val="0"/>
          <w:sz w:val="26"/>
          <w:szCs w:val="26"/>
        </w:rPr>
        <w:t>demonstrate</w:t>
      </w:r>
      <w:r w:rsidR="00D2405A" w:rsidRPr="00860DB5">
        <w:rPr>
          <w:rFonts w:asciiTheme="minorBidi" w:hAnsiTheme="minorBidi" w:cstheme="minorBidi"/>
          <w:b w:val="0"/>
          <w:bCs w:val="0"/>
          <w:sz w:val="26"/>
          <w:szCs w:val="26"/>
        </w:rPr>
        <w:t>, and not establish,</w:t>
      </w:r>
      <w:r w:rsidR="00635895" w:rsidRPr="00860DB5">
        <w:rPr>
          <w:rFonts w:asciiTheme="minorBidi" w:hAnsiTheme="minorBidi" w:cstheme="minorBidi"/>
          <w:b w:val="0"/>
          <w:bCs w:val="0"/>
          <w:sz w:val="26"/>
          <w:szCs w:val="26"/>
        </w:rPr>
        <w:t xml:space="preserve"> it</w:t>
      </w:r>
      <w:r w:rsidRPr="00860DB5">
        <w:rPr>
          <w:rFonts w:asciiTheme="minorBidi" w:hAnsiTheme="minorBidi" w:cstheme="minorBidi"/>
          <w:b w:val="0"/>
          <w:bCs w:val="0"/>
          <w:sz w:val="26"/>
          <w:szCs w:val="26"/>
          <w:lang w:val="en-GB"/>
        </w:rPr>
        <w:t xml:space="preserve">s </w:t>
      </w:r>
      <w:r w:rsidRPr="00860DB5">
        <w:rPr>
          <w:rFonts w:asciiTheme="minorBidi" w:hAnsiTheme="minorBidi" w:cstheme="minorBidi"/>
          <w:b w:val="0"/>
          <w:bCs w:val="0"/>
          <w:sz w:val="26"/>
          <w:szCs w:val="26"/>
        </w:rPr>
        <w:t xml:space="preserve">commitment to </w:t>
      </w:r>
      <w:r w:rsidR="00B00410" w:rsidRPr="00860DB5">
        <w:rPr>
          <w:rFonts w:asciiTheme="minorBidi" w:hAnsiTheme="minorBidi" w:cstheme="minorBidi"/>
          <w:b w:val="0"/>
          <w:bCs w:val="0"/>
          <w:sz w:val="26"/>
          <w:szCs w:val="26"/>
        </w:rPr>
        <w:t>the Convention’s</w:t>
      </w:r>
      <w:r w:rsidR="000E6EAF" w:rsidRPr="00860DB5">
        <w:rPr>
          <w:rFonts w:asciiTheme="minorBidi" w:hAnsiTheme="minorBidi" w:cstheme="minorBidi"/>
          <w:b w:val="0"/>
          <w:bCs w:val="0"/>
          <w:sz w:val="26"/>
          <w:szCs w:val="26"/>
        </w:rPr>
        <w:t xml:space="preserve"> provisions</w:t>
      </w:r>
      <w:r w:rsidRPr="00860DB5">
        <w:rPr>
          <w:rFonts w:asciiTheme="minorBidi" w:hAnsiTheme="minorBidi" w:cstheme="minorBidi"/>
          <w:b w:val="0"/>
          <w:bCs w:val="0"/>
          <w:sz w:val="26"/>
          <w:szCs w:val="26"/>
        </w:rPr>
        <w:t xml:space="preserve"> (at least substantive</w:t>
      </w:r>
      <w:r w:rsidR="00D2405A" w:rsidRPr="00860DB5">
        <w:rPr>
          <w:rFonts w:asciiTheme="minorBidi" w:hAnsiTheme="minorBidi" w:cstheme="minorBidi"/>
          <w:b w:val="0"/>
          <w:bCs w:val="0"/>
          <w:sz w:val="26"/>
          <w:szCs w:val="26"/>
        </w:rPr>
        <w:t xml:space="preserve"> ones)</w:t>
      </w:r>
      <w:r w:rsidRPr="00860DB5">
        <w:rPr>
          <w:rFonts w:asciiTheme="minorBidi" w:hAnsiTheme="minorBidi" w:cstheme="minorBidi"/>
          <w:b w:val="0"/>
          <w:bCs w:val="0"/>
          <w:sz w:val="26"/>
          <w:szCs w:val="26"/>
        </w:rPr>
        <w:t>.</w:t>
      </w:r>
    </w:p>
    <w:p w:rsidR="00B019A2" w:rsidRPr="00860DB5" w:rsidRDefault="00B019A2" w:rsidP="00B510BE">
      <w:pPr>
        <w:bidi w:val="0"/>
        <w:spacing w:line="360" w:lineRule="auto"/>
        <w:jc w:val="both"/>
        <w:rPr>
          <w:rFonts w:asciiTheme="minorBidi" w:hAnsiTheme="minorBidi" w:cstheme="minorBidi"/>
          <w:color w:val="4D5156"/>
          <w:sz w:val="26"/>
          <w:szCs w:val="26"/>
          <w:shd w:val="clear" w:color="auto" w:fill="FFFFFF"/>
        </w:rPr>
      </w:pPr>
    </w:p>
    <w:p w:rsidR="00B019A2" w:rsidRPr="00860DB5" w:rsidRDefault="00B019A2" w:rsidP="00B510BE">
      <w:pPr>
        <w:bidi w:val="0"/>
        <w:spacing w:line="360" w:lineRule="auto"/>
        <w:jc w:val="both"/>
        <w:rPr>
          <w:rFonts w:asciiTheme="minorBidi" w:hAnsiTheme="minorBidi" w:cstheme="minorBidi"/>
          <w:b w:val="0"/>
          <w:bCs w:val="0"/>
          <w:sz w:val="26"/>
          <w:szCs w:val="26"/>
        </w:rPr>
      </w:pPr>
      <w:r w:rsidRPr="00860DB5">
        <w:rPr>
          <w:rFonts w:asciiTheme="minorBidi" w:hAnsiTheme="minorBidi" w:cstheme="minorBidi"/>
          <w:b w:val="0"/>
          <w:bCs w:val="0"/>
          <w:sz w:val="26"/>
          <w:szCs w:val="26"/>
          <w:rtl/>
        </w:rPr>
        <w:t xml:space="preserve">- </w:t>
      </w:r>
      <w:r w:rsidRPr="00860DB5">
        <w:rPr>
          <w:rFonts w:asciiTheme="minorBidi" w:hAnsiTheme="minorBidi" w:cstheme="minorBidi"/>
          <w:b w:val="0"/>
          <w:bCs w:val="0"/>
          <w:sz w:val="26"/>
          <w:szCs w:val="26"/>
        </w:rPr>
        <w:t>Qatari legislation has included a wide range of legal safeguards for both preventive and judicial detainees, at all stages of the criminal proceedings</w:t>
      </w:r>
      <w:r w:rsidR="00194929" w:rsidRPr="00860DB5">
        <w:rPr>
          <w:rFonts w:asciiTheme="minorBidi" w:hAnsiTheme="minorBidi" w:cstheme="minorBidi"/>
          <w:b w:val="0"/>
          <w:bCs w:val="0"/>
          <w:sz w:val="26"/>
          <w:szCs w:val="26"/>
        </w:rPr>
        <w:t xml:space="preserve">. This </w:t>
      </w:r>
      <w:r w:rsidRPr="00860DB5">
        <w:rPr>
          <w:rFonts w:asciiTheme="minorBidi" w:hAnsiTheme="minorBidi" w:cstheme="minorBidi"/>
          <w:b w:val="0"/>
          <w:bCs w:val="0"/>
          <w:sz w:val="26"/>
          <w:szCs w:val="26"/>
        </w:rPr>
        <w:t>includ</w:t>
      </w:r>
      <w:r w:rsidR="00194929" w:rsidRPr="00860DB5">
        <w:rPr>
          <w:rFonts w:asciiTheme="minorBidi" w:hAnsiTheme="minorBidi" w:cstheme="minorBidi"/>
          <w:b w:val="0"/>
          <w:bCs w:val="0"/>
          <w:sz w:val="26"/>
          <w:szCs w:val="26"/>
        </w:rPr>
        <w:t>es</w:t>
      </w:r>
      <w:r w:rsidRPr="00860DB5">
        <w:rPr>
          <w:rFonts w:asciiTheme="minorBidi" w:hAnsiTheme="minorBidi" w:cstheme="minorBidi"/>
          <w:b w:val="0"/>
          <w:bCs w:val="0"/>
          <w:sz w:val="26"/>
          <w:szCs w:val="26"/>
        </w:rPr>
        <w:t xml:space="preserve"> plac</w:t>
      </w:r>
      <w:r w:rsidR="00194929" w:rsidRPr="00860DB5">
        <w:rPr>
          <w:rFonts w:asciiTheme="minorBidi" w:hAnsiTheme="minorBidi" w:cstheme="minorBidi"/>
          <w:b w:val="0"/>
          <w:bCs w:val="0"/>
          <w:sz w:val="26"/>
          <w:szCs w:val="26"/>
        </w:rPr>
        <w:t>ing them</w:t>
      </w:r>
      <w:r w:rsidRPr="00860DB5">
        <w:rPr>
          <w:rFonts w:asciiTheme="minorBidi" w:hAnsiTheme="minorBidi" w:cstheme="minorBidi"/>
          <w:b w:val="0"/>
          <w:bCs w:val="0"/>
          <w:sz w:val="26"/>
          <w:szCs w:val="26"/>
        </w:rPr>
        <w:t xml:space="preserve"> in known places of detention and imprisonment, documenting this </w:t>
      </w:r>
      <w:r w:rsidRPr="00860DB5">
        <w:rPr>
          <w:rFonts w:asciiTheme="minorBidi" w:hAnsiTheme="minorBidi" w:cstheme="minorBidi"/>
          <w:b w:val="0"/>
          <w:bCs w:val="0"/>
          <w:color w:val="000000" w:themeColor="text1"/>
          <w:sz w:val="26"/>
          <w:szCs w:val="26"/>
        </w:rPr>
        <w:t>placement</w:t>
      </w:r>
      <w:r w:rsidRPr="00860DB5">
        <w:rPr>
          <w:rFonts w:asciiTheme="minorBidi" w:hAnsiTheme="minorBidi" w:cstheme="minorBidi"/>
          <w:b w:val="0"/>
          <w:bCs w:val="0"/>
          <w:sz w:val="26"/>
          <w:szCs w:val="26"/>
        </w:rPr>
        <w:t>, protecti</w:t>
      </w:r>
      <w:r w:rsidR="00194929" w:rsidRPr="00860DB5">
        <w:rPr>
          <w:rFonts w:asciiTheme="minorBidi" w:hAnsiTheme="minorBidi" w:cstheme="minorBidi"/>
          <w:b w:val="0"/>
          <w:bCs w:val="0"/>
          <w:sz w:val="26"/>
          <w:szCs w:val="26"/>
        </w:rPr>
        <w:t>ng witnesses and defendants,</w:t>
      </w:r>
      <w:r w:rsidRPr="00860DB5">
        <w:rPr>
          <w:rFonts w:asciiTheme="minorBidi" w:hAnsiTheme="minorBidi" w:cstheme="minorBidi"/>
          <w:b w:val="0"/>
          <w:bCs w:val="0"/>
          <w:sz w:val="26"/>
          <w:szCs w:val="26"/>
        </w:rPr>
        <w:t xml:space="preserve"> punishing abuse of power,</w:t>
      </w:r>
      <w:r w:rsidR="000C6973" w:rsidRPr="00860DB5">
        <w:rPr>
          <w:rFonts w:asciiTheme="minorBidi" w:hAnsiTheme="minorBidi" w:cstheme="minorBidi"/>
          <w:b w:val="0"/>
          <w:bCs w:val="0"/>
          <w:sz w:val="26"/>
          <w:szCs w:val="26"/>
        </w:rPr>
        <w:t xml:space="preserve"> and</w:t>
      </w:r>
      <w:r w:rsidRPr="00860DB5">
        <w:rPr>
          <w:rFonts w:asciiTheme="minorBidi" w:hAnsiTheme="minorBidi" w:cstheme="minorBidi"/>
          <w:b w:val="0"/>
          <w:bCs w:val="0"/>
          <w:sz w:val="26"/>
          <w:szCs w:val="26"/>
        </w:rPr>
        <w:t xml:space="preserve"> torture a</w:t>
      </w:r>
      <w:r w:rsidR="00194929" w:rsidRPr="00860DB5">
        <w:rPr>
          <w:rFonts w:asciiTheme="minorBidi" w:hAnsiTheme="minorBidi" w:cstheme="minorBidi"/>
          <w:b w:val="0"/>
          <w:bCs w:val="0"/>
          <w:sz w:val="26"/>
          <w:szCs w:val="26"/>
        </w:rPr>
        <w:t>mong</w:t>
      </w:r>
      <w:r w:rsidRPr="00860DB5">
        <w:rPr>
          <w:rFonts w:asciiTheme="minorBidi" w:hAnsiTheme="minorBidi" w:cstheme="minorBidi"/>
          <w:b w:val="0"/>
          <w:bCs w:val="0"/>
          <w:sz w:val="26"/>
          <w:szCs w:val="26"/>
        </w:rPr>
        <w:t xml:space="preserve"> other</w:t>
      </w:r>
      <w:r w:rsidR="00194929" w:rsidRPr="00860DB5">
        <w:rPr>
          <w:rFonts w:asciiTheme="minorBidi" w:hAnsiTheme="minorBidi" w:cstheme="minorBidi"/>
          <w:b w:val="0"/>
          <w:bCs w:val="0"/>
          <w:sz w:val="26"/>
          <w:szCs w:val="26"/>
        </w:rPr>
        <w:t>s</w:t>
      </w:r>
      <w:r w:rsidRPr="00860DB5">
        <w:rPr>
          <w:rFonts w:asciiTheme="minorBidi" w:hAnsiTheme="minorBidi" w:cstheme="minorBidi"/>
          <w:b w:val="0"/>
          <w:bCs w:val="0"/>
          <w:sz w:val="26"/>
          <w:szCs w:val="26"/>
        </w:rPr>
        <w:t xml:space="preserve">, in a way that constitutes a protective environment that would prevent the enforced disappearance of persons, as enshrined in the laws </w:t>
      </w:r>
      <w:r w:rsidRPr="00860DB5">
        <w:rPr>
          <w:rFonts w:asciiTheme="minorBidi" w:hAnsiTheme="minorBidi" w:cstheme="minorBidi"/>
          <w:b w:val="0"/>
          <w:bCs w:val="0"/>
          <w:sz w:val="26"/>
          <w:szCs w:val="26"/>
          <w:lang w:val="en-GB"/>
        </w:rPr>
        <w:t xml:space="preserve">relating to </w:t>
      </w:r>
      <w:r w:rsidRPr="00860DB5">
        <w:rPr>
          <w:rFonts w:asciiTheme="minorBidi" w:hAnsiTheme="minorBidi" w:cstheme="minorBidi"/>
          <w:b w:val="0"/>
          <w:bCs w:val="0"/>
          <w:sz w:val="26"/>
          <w:szCs w:val="26"/>
        </w:rPr>
        <w:t>(penalties, criminal procedures, prosecution, military service and organization of corre</w:t>
      </w:r>
      <w:r w:rsidR="00194929" w:rsidRPr="00860DB5">
        <w:rPr>
          <w:rFonts w:asciiTheme="minorBidi" w:hAnsiTheme="minorBidi" w:cstheme="minorBidi"/>
          <w:b w:val="0"/>
          <w:bCs w:val="0"/>
          <w:sz w:val="26"/>
          <w:szCs w:val="26"/>
        </w:rPr>
        <w:t>ctional and penal institutions)</w:t>
      </w:r>
      <w:r w:rsidRPr="00860DB5">
        <w:rPr>
          <w:rFonts w:asciiTheme="minorBidi" w:hAnsiTheme="minorBidi" w:cstheme="minorBidi"/>
          <w:b w:val="0"/>
          <w:bCs w:val="0"/>
          <w:sz w:val="26"/>
          <w:szCs w:val="26"/>
        </w:rPr>
        <w:t>.</w:t>
      </w:r>
    </w:p>
    <w:p w:rsidR="00B019A2" w:rsidRPr="00860DB5" w:rsidRDefault="00B019A2" w:rsidP="00B510BE">
      <w:pPr>
        <w:bidi w:val="0"/>
        <w:spacing w:line="360" w:lineRule="auto"/>
        <w:jc w:val="both"/>
        <w:rPr>
          <w:rFonts w:asciiTheme="minorBidi" w:hAnsiTheme="minorBidi" w:cstheme="minorBidi"/>
          <w:b w:val="0"/>
          <w:bCs w:val="0"/>
          <w:sz w:val="26"/>
          <w:szCs w:val="26"/>
          <w:rtl/>
        </w:rPr>
      </w:pPr>
    </w:p>
    <w:p w:rsidR="00B019A2" w:rsidRPr="00860DB5" w:rsidRDefault="00B019A2" w:rsidP="00B510BE">
      <w:pPr>
        <w:bidi w:val="0"/>
        <w:spacing w:line="360" w:lineRule="auto"/>
        <w:jc w:val="both"/>
        <w:rPr>
          <w:rFonts w:asciiTheme="minorBidi" w:hAnsiTheme="minorBidi" w:cstheme="minorBidi"/>
          <w:b w:val="0"/>
          <w:bCs w:val="0"/>
          <w:sz w:val="26"/>
          <w:szCs w:val="26"/>
          <w:rtl/>
        </w:rPr>
      </w:pPr>
      <w:r w:rsidRPr="00860DB5">
        <w:rPr>
          <w:rFonts w:asciiTheme="minorBidi" w:hAnsiTheme="minorBidi" w:cstheme="minorBidi"/>
          <w:b w:val="0"/>
          <w:bCs w:val="0"/>
          <w:sz w:val="26"/>
          <w:szCs w:val="26"/>
        </w:rPr>
        <w:t xml:space="preserve">- There are judicial </w:t>
      </w:r>
      <w:r w:rsidR="008616FB" w:rsidRPr="00860DB5">
        <w:rPr>
          <w:rFonts w:asciiTheme="minorBidi" w:hAnsiTheme="minorBidi" w:cstheme="minorBidi"/>
          <w:b w:val="0"/>
          <w:bCs w:val="0"/>
          <w:sz w:val="26"/>
          <w:szCs w:val="26"/>
        </w:rPr>
        <w:t>oversight</w:t>
      </w:r>
      <w:r w:rsidRPr="00860DB5">
        <w:rPr>
          <w:rFonts w:asciiTheme="minorBidi" w:hAnsiTheme="minorBidi" w:cstheme="minorBidi"/>
          <w:b w:val="0"/>
          <w:bCs w:val="0"/>
          <w:sz w:val="26"/>
          <w:szCs w:val="26"/>
        </w:rPr>
        <w:t xml:space="preserve"> mechanisms, independent mechanisms (such as the National Human Rights Committee’s Monitoring Mechanism) and governmental mechanisms (the Department of Human Rights’ Monitoring Mechanism at the Ministry of Interior) that monitor human rights conditions of prisoners and detainees.</w:t>
      </w:r>
      <w:r w:rsidR="008616FB" w:rsidRPr="00860DB5">
        <w:rPr>
          <w:rFonts w:asciiTheme="minorBidi" w:hAnsiTheme="minorBidi" w:cstheme="minorBidi"/>
          <w:b w:val="0"/>
          <w:bCs w:val="0"/>
          <w:sz w:val="26"/>
          <w:szCs w:val="26"/>
        </w:rPr>
        <w:t xml:space="preserve"> </w:t>
      </w:r>
    </w:p>
    <w:p w:rsidR="00093FEF" w:rsidRPr="00E80F7E" w:rsidRDefault="00B019A2" w:rsidP="00E80F7E">
      <w:pPr>
        <w:bidi w:val="0"/>
        <w:spacing w:line="360" w:lineRule="auto"/>
        <w:jc w:val="both"/>
        <w:rPr>
          <w:rFonts w:asciiTheme="minorBidi" w:hAnsiTheme="minorBidi" w:cstheme="minorBidi"/>
          <w:b w:val="0"/>
          <w:bCs w:val="0"/>
          <w:sz w:val="26"/>
          <w:szCs w:val="26"/>
        </w:rPr>
      </w:pPr>
      <w:r w:rsidRPr="00860DB5">
        <w:rPr>
          <w:rFonts w:asciiTheme="minorBidi" w:hAnsiTheme="minorBidi" w:cstheme="minorBidi"/>
          <w:b w:val="0"/>
          <w:bCs w:val="0"/>
          <w:sz w:val="26"/>
          <w:szCs w:val="26"/>
        </w:rPr>
        <w:t xml:space="preserve"> </w:t>
      </w:r>
      <w:r w:rsidRPr="00860DB5">
        <w:rPr>
          <w:rFonts w:asciiTheme="minorBidi" w:hAnsiTheme="minorBidi" w:cstheme="minorBidi"/>
          <w:b w:val="0"/>
          <w:bCs w:val="0"/>
          <w:sz w:val="26"/>
          <w:szCs w:val="26"/>
          <w:rtl/>
        </w:rPr>
        <w:t xml:space="preserve">- </w:t>
      </w:r>
      <w:r w:rsidR="00DB2BA3" w:rsidRPr="00860DB5">
        <w:rPr>
          <w:rFonts w:asciiTheme="minorBidi" w:hAnsiTheme="minorBidi" w:cstheme="minorBidi"/>
          <w:b w:val="0"/>
          <w:bCs w:val="0"/>
          <w:sz w:val="26"/>
          <w:szCs w:val="26"/>
        </w:rPr>
        <w:t xml:space="preserve">Over the past </w:t>
      </w:r>
      <w:r w:rsidR="00740119" w:rsidRPr="00860DB5">
        <w:rPr>
          <w:rFonts w:asciiTheme="minorBidi" w:hAnsiTheme="minorBidi" w:cstheme="minorBidi"/>
          <w:b w:val="0"/>
          <w:bCs w:val="0"/>
          <w:sz w:val="26"/>
          <w:szCs w:val="26"/>
        </w:rPr>
        <w:t>years, t</w:t>
      </w:r>
      <w:r w:rsidRPr="00860DB5">
        <w:rPr>
          <w:rFonts w:asciiTheme="minorBidi" w:hAnsiTheme="minorBidi" w:cstheme="minorBidi"/>
          <w:b w:val="0"/>
          <w:bCs w:val="0"/>
          <w:sz w:val="26"/>
          <w:szCs w:val="26"/>
        </w:rPr>
        <w:t>he National Human Rights Committee</w:t>
      </w:r>
      <w:r w:rsidR="008616FB" w:rsidRPr="00860DB5">
        <w:rPr>
          <w:rFonts w:asciiTheme="minorBidi" w:hAnsiTheme="minorBidi" w:cstheme="minorBidi"/>
          <w:b w:val="0"/>
          <w:bCs w:val="0"/>
          <w:sz w:val="26"/>
          <w:szCs w:val="26"/>
        </w:rPr>
        <w:t>’s annual reports</w:t>
      </w:r>
      <w:r w:rsidRPr="00860DB5">
        <w:rPr>
          <w:rFonts w:asciiTheme="minorBidi" w:hAnsiTheme="minorBidi" w:cstheme="minorBidi"/>
          <w:b w:val="0"/>
          <w:bCs w:val="0"/>
          <w:sz w:val="26"/>
          <w:szCs w:val="26"/>
        </w:rPr>
        <w:t xml:space="preserve">, as well as </w:t>
      </w:r>
      <w:r w:rsidR="008616FB" w:rsidRPr="00860DB5">
        <w:rPr>
          <w:rFonts w:asciiTheme="minorBidi" w:hAnsiTheme="minorBidi" w:cstheme="minorBidi"/>
          <w:b w:val="0"/>
          <w:bCs w:val="0"/>
          <w:sz w:val="26"/>
          <w:szCs w:val="26"/>
        </w:rPr>
        <w:t>reports</w:t>
      </w:r>
      <w:r w:rsidR="008616FB" w:rsidRPr="00860DB5">
        <w:rPr>
          <w:rFonts w:asciiTheme="minorBidi" w:hAnsiTheme="minorBidi" w:cstheme="minorBidi"/>
          <w:b w:val="0"/>
          <w:bCs w:val="0"/>
          <w:sz w:val="26"/>
          <w:szCs w:val="26"/>
          <w:lang w:val="en-GB"/>
        </w:rPr>
        <w:t xml:space="preserve"> of</w:t>
      </w:r>
      <w:r w:rsidRPr="00860DB5">
        <w:rPr>
          <w:rFonts w:asciiTheme="minorBidi" w:hAnsiTheme="minorBidi" w:cstheme="minorBidi"/>
          <w:b w:val="0"/>
          <w:bCs w:val="0"/>
          <w:sz w:val="26"/>
          <w:szCs w:val="26"/>
        </w:rPr>
        <w:t xml:space="preserve"> relevant UN monitoring mechanisms, have </w:t>
      </w:r>
      <w:r w:rsidR="00740119" w:rsidRPr="00860DB5">
        <w:rPr>
          <w:rFonts w:asciiTheme="minorBidi" w:hAnsiTheme="minorBidi" w:cstheme="minorBidi"/>
          <w:b w:val="0"/>
          <w:bCs w:val="0"/>
          <w:sz w:val="26"/>
          <w:szCs w:val="26"/>
        </w:rPr>
        <w:t xml:space="preserve">not </w:t>
      </w:r>
      <w:r w:rsidR="00DB2BA3" w:rsidRPr="00860DB5">
        <w:rPr>
          <w:rFonts w:asciiTheme="minorBidi" w:hAnsiTheme="minorBidi" w:cstheme="minorBidi"/>
          <w:b w:val="0"/>
          <w:bCs w:val="0"/>
          <w:sz w:val="26"/>
          <w:szCs w:val="26"/>
        </w:rPr>
        <w:t>detecte</w:t>
      </w:r>
      <w:r w:rsidRPr="00860DB5">
        <w:rPr>
          <w:rFonts w:asciiTheme="minorBidi" w:hAnsiTheme="minorBidi" w:cstheme="minorBidi"/>
          <w:b w:val="0"/>
          <w:bCs w:val="0"/>
          <w:sz w:val="26"/>
          <w:szCs w:val="26"/>
        </w:rPr>
        <w:t xml:space="preserve">d </w:t>
      </w:r>
      <w:r w:rsidR="00740119" w:rsidRPr="00860DB5">
        <w:rPr>
          <w:rFonts w:asciiTheme="minorBidi" w:hAnsiTheme="minorBidi" w:cstheme="minorBidi"/>
          <w:b w:val="0"/>
          <w:bCs w:val="0"/>
          <w:sz w:val="26"/>
          <w:szCs w:val="26"/>
        </w:rPr>
        <w:t>any</w:t>
      </w:r>
      <w:r w:rsidRPr="00860DB5">
        <w:rPr>
          <w:rFonts w:asciiTheme="minorBidi" w:hAnsiTheme="minorBidi" w:cstheme="minorBidi"/>
          <w:b w:val="0"/>
          <w:bCs w:val="0"/>
          <w:sz w:val="26"/>
          <w:szCs w:val="26"/>
        </w:rPr>
        <w:t xml:space="preserve"> practices that </w:t>
      </w:r>
      <w:r w:rsidR="00B510BE" w:rsidRPr="00860DB5">
        <w:rPr>
          <w:rFonts w:asciiTheme="minorBidi" w:hAnsiTheme="minorBidi" w:cstheme="minorBidi"/>
          <w:b w:val="0"/>
          <w:bCs w:val="0"/>
          <w:sz w:val="26"/>
          <w:szCs w:val="26"/>
        </w:rPr>
        <w:t>fall</w:t>
      </w:r>
      <w:r w:rsidRPr="00860DB5">
        <w:rPr>
          <w:rFonts w:asciiTheme="minorBidi" w:hAnsiTheme="minorBidi" w:cstheme="minorBidi"/>
          <w:b w:val="0"/>
          <w:bCs w:val="0"/>
          <w:sz w:val="26"/>
          <w:szCs w:val="26"/>
        </w:rPr>
        <w:t xml:space="preserve"> within the concept of (enforced disappearance) in the exercise of public authority.</w:t>
      </w:r>
      <w:bookmarkStart w:id="0" w:name="_GoBack"/>
      <w:bookmarkEnd w:id="0"/>
    </w:p>
    <w:sectPr w:rsidR="00093FEF" w:rsidRPr="00E80F7E" w:rsidSect="00093F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Arial Nova">
    <w:altName w:val="Arial"/>
    <w:panose1 w:val="020B0504020202020204"/>
    <w:charset w:val="00"/>
    <w:family w:val="swiss"/>
    <w:pitch w:val="variable"/>
    <w:sig w:usb0="2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9A2"/>
    <w:rsid w:val="00093FEF"/>
    <w:rsid w:val="000C6973"/>
    <w:rsid w:val="000E6EAF"/>
    <w:rsid w:val="00194929"/>
    <w:rsid w:val="00622745"/>
    <w:rsid w:val="00635895"/>
    <w:rsid w:val="00740119"/>
    <w:rsid w:val="00860DB5"/>
    <w:rsid w:val="008616FB"/>
    <w:rsid w:val="00B00410"/>
    <w:rsid w:val="00B019A2"/>
    <w:rsid w:val="00B510BE"/>
    <w:rsid w:val="00D2405A"/>
    <w:rsid w:val="00DB2BA3"/>
    <w:rsid w:val="00E80F7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5B4F3"/>
  <w15:docId w15:val="{AE6E73D5-42C2-4B31-92EF-6EE1C1A14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9A2"/>
    <w:pPr>
      <w:bidi/>
      <w:spacing w:after="0" w:line="240" w:lineRule="auto"/>
    </w:pPr>
    <w:rPr>
      <w:rFonts w:ascii="Times New Roman" w:eastAsia="Times New Roman" w:hAnsi="Times New Roman" w:cs="Arabic Transparent"/>
      <w:b/>
      <w:bCs/>
      <w:sz w:val="28"/>
      <w:szCs w:val="32"/>
      <w:lang w:val="en-US" w:eastAsia="ar-SA"/>
    </w:rPr>
  </w:style>
  <w:style w:type="paragraph" w:styleId="Heading2">
    <w:name w:val="heading 2"/>
    <w:basedOn w:val="Normal"/>
    <w:link w:val="Heading2Char"/>
    <w:uiPriority w:val="9"/>
    <w:qFormat/>
    <w:rsid w:val="00E80F7E"/>
    <w:pPr>
      <w:bidi w:val="0"/>
      <w:spacing w:before="100" w:beforeAutospacing="1" w:after="100" w:afterAutospacing="1"/>
      <w:outlineLvl w:val="1"/>
    </w:pPr>
    <w:rPr>
      <w:rFonts w:cs="Times New Roman"/>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lqj4b">
    <w:name w:val="jlqj4b"/>
    <w:basedOn w:val="DefaultParagraphFont"/>
    <w:rsid w:val="00DB2BA3"/>
  </w:style>
  <w:style w:type="character" w:customStyle="1" w:styleId="Heading2Char">
    <w:name w:val="Heading 2 Char"/>
    <w:basedOn w:val="DefaultParagraphFont"/>
    <w:link w:val="Heading2"/>
    <w:uiPriority w:val="9"/>
    <w:rsid w:val="00E80F7E"/>
    <w:rPr>
      <w:rFonts w:ascii="Times New Roman" w:eastAsia="Times New Roman" w:hAnsi="Times New Roman" w:cs="Times New Roman"/>
      <w:b/>
      <w:bCs/>
      <w:sz w:val="36"/>
      <w:szCs w:val="3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78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input-1</Doctype>
    <Contributor xmlns="d42e65b2-cf21-49c1-b27d-d23f90380c0e">Qatar</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66427D49-42B3-4302-9DB3-A4236CD88FCF}"/>
</file>

<file path=customXml/itemProps2.xml><?xml version="1.0" encoding="utf-8"?>
<ds:datastoreItem xmlns:ds="http://schemas.openxmlformats.org/officeDocument/2006/customXml" ds:itemID="{FB908D77-6E54-4B8E-9539-13987E54B478}"/>
</file>

<file path=customXml/itemProps3.xml><?xml version="1.0" encoding="utf-8"?>
<ds:datastoreItem xmlns:ds="http://schemas.openxmlformats.org/officeDocument/2006/customXml" ds:itemID="{A901B05B-5608-4CC0-ABEA-81AE2D9FBDC2}"/>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1490</Characters>
  <Application>Microsoft Office Word</Application>
  <DocSecurity>0</DocSecurity>
  <Lines>12</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Abdelfattah</cp:lastModifiedBy>
  <cp:revision>2</cp:revision>
  <dcterms:created xsi:type="dcterms:W3CDTF">2022-02-07T08:35:00Z</dcterms:created>
  <dcterms:modified xsi:type="dcterms:W3CDTF">2022-02-07T08:35:00Z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