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9A8B" w14:textId="77777777" w:rsidR="00340CD5" w:rsidRPr="00750FBD" w:rsidRDefault="00340CD5" w:rsidP="00750FBD"/>
    <w:p w14:paraId="460397CB" w14:textId="512C55D0" w:rsidR="00340CD5" w:rsidRPr="00F60EE1" w:rsidRDefault="007B3652" w:rsidP="00AC143B">
      <w:pPr>
        <w:pStyle w:val="Title"/>
        <w:rPr>
          <w:sz w:val="44"/>
          <w:szCs w:val="44"/>
        </w:rPr>
      </w:pPr>
      <w:r w:rsidRPr="00F60EE1">
        <w:rPr>
          <w:sz w:val="44"/>
          <w:szCs w:val="44"/>
        </w:rPr>
        <w:t>Submission</w:t>
      </w:r>
      <w:r w:rsidR="00D7637F" w:rsidRPr="00F60EE1">
        <w:rPr>
          <w:sz w:val="44"/>
          <w:szCs w:val="44"/>
        </w:rPr>
        <w:t xml:space="preserve"> to OHCHR </w:t>
      </w:r>
      <w:r w:rsidR="00CD7348" w:rsidRPr="00F60EE1">
        <w:rPr>
          <w:sz w:val="44"/>
          <w:szCs w:val="44"/>
        </w:rPr>
        <w:t>on human rights violations related to accusations of witchcraft and ritual attacks</w:t>
      </w:r>
      <w:r w:rsidR="00F60EE1">
        <w:rPr>
          <w:sz w:val="44"/>
          <w:szCs w:val="44"/>
        </w:rPr>
        <w:t xml:space="preserve">, as well as stigmatisation </w:t>
      </w:r>
    </w:p>
    <w:p w14:paraId="12E323A9" w14:textId="77777777" w:rsidR="00082F29" w:rsidRDefault="00082F29" w:rsidP="00750FBD"/>
    <w:p w14:paraId="43A79D40" w14:textId="1A4ED247" w:rsidR="003965B6" w:rsidRPr="00F60EE1" w:rsidRDefault="00B60722" w:rsidP="00F60EE1">
      <w:pPr>
        <w:rPr>
          <w:b/>
          <w:bCs/>
          <w:sz w:val="24"/>
          <w:szCs w:val="24"/>
        </w:rPr>
      </w:pPr>
      <w:r w:rsidRPr="00F60EE1">
        <w:rPr>
          <w:b/>
          <w:bCs/>
          <w:sz w:val="24"/>
          <w:szCs w:val="24"/>
        </w:rPr>
        <w:t>Penal Reform International (PRI) welcomes the opportunity to inpu</w:t>
      </w:r>
      <w:r w:rsidR="00DB6BE2" w:rsidRPr="00F60EE1">
        <w:rPr>
          <w:b/>
          <w:bCs/>
          <w:sz w:val="24"/>
          <w:szCs w:val="24"/>
        </w:rPr>
        <w:t xml:space="preserve">t into </w:t>
      </w:r>
      <w:r w:rsidR="00F52486" w:rsidRPr="00F60EE1">
        <w:rPr>
          <w:b/>
          <w:bCs/>
          <w:sz w:val="24"/>
          <w:szCs w:val="24"/>
        </w:rPr>
        <w:t xml:space="preserve">the </w:t>
      </w:r>
      <w:r w:rsidR="00C446B0" w:rsidRPr="00F60EE1">
        <w:rPr>
          <w:b/>
          <w:bCs/>
          <w:sz w:val="24"/>
          <w:szCs w:val="24"/>
        </w:rPr>
        <w:t xml:space="preserve">study </w:t>
      </w:r>
      <w:r w:rsidR="003F1B6E" w:rsidRPr="00F60EE1">
        <w:rPr>
          <w:b/>
          <w:bCs/>
          <w:sz w:val="24"/>
          <w:szCs w:val="24"/>
        </w:rPr>
        <w:t xml:space="preserve">by the </w:t>
      </w:r>
      <w:r w:rsidR="00F52486" w:rsidRPr="00F60EE1">
        <w:rPr>
          <w:b/>
          <w:bCs/>
          <w:sz w:val="24"/>
          <w:szCs w:val="24"/>
        </w:rPr>
        <w:t>O</w:t>
      </w:r>
      <w:r w:rsidR="00DB6BE2" w:rsidRPr="00F60EE1">
        <w:rPr>
          <w:b/>
          <w:bCs/>
          <w:sz w:val="24"/>
          <w:szCs w:val="24"/>
        </w:rPr>
        <w:t xml:space="preserve">ffice of the </w:t>
      </w:r>
      <w:r w:rsidR="00F52486" w:rsidRPr="00F60EE1">
        <w:rPr>
          <w:b/>
          <w:bCs/>
          <w:sz w:val="24"/>
          <w:szCs w:val="24"/>
        </w:rPr>
        <w:t>H</w:t>
      </w:r>
      <w:r w:rsidR="00DB6BE2" w:rsidRPr="00F60EE1">
        <w:rPr>
          <w:b/>
          <w:bCs/>
          <w:sz w:val="24"/>
          <w:szCs w:val="24"/>
        </w:rPr>
        <w:t xml:space="preserve">igh </w:t>
      </w:r>
      <w:r w:rsidR="00F52486" w:rsidRPr="00F60EE1">
        <w:rPr>
          <w:b/>
          <w:bCs/>
          <w:sz w:val="24"/>
          <w:szCs w:val="24"/>
        </w:rPr>
        <w:t>C</w:t>
      </w:r>
      <w:r w:rsidR="00DB6BE2" w:rsidRPr="00F60EE1">
        <w:rPr>
          <w:b/>
          <w:bCs/>
          <w:sz w:val="24"/>
          <w:szCs w:val="24"/>
        </w:rPr>
        <w:t xml:space="preserve">ommissioner for </w:t>
      </w:r>
      <w:r w:rsidR="00F52486" w:rsidRPr="00F60EE1">
        <w:rPr>
          <w:b/>
          <w:bCs/>
          <w:sz w:val="24"/>
          <w:szCs w:val="24"/>
        </w:rPr>
        <w:t>H</w:t>
      </w:r>
      <w:r w:rsidR="00DB6BE2" w:rsidRPr="00F60EE1">
        <w:rPr>
          <w:b/>
          <w:bCs/>
          <w:sz w:val="24"/>
          <w:szCs w:val="24"/>
        </w:rPr>
        <w:t xml:space="preserve">uman </w:t>
      </w:r>
      <w:r w:rsidR="00F52486" w:rsidRPr="00F60EE1">
        <w:rPr>
          <w:b/>
          <w:bCs/>
          <w:sz w:val="24"/>
          <w:szCs w:val="24"/>
        </w:rPr>
        <w:t>R</w:t>
      </w:r>
      <w:r w:rsidR="00DB6BE2" w:rsidRPr="00F60EE1">
        <w:rPr>
          <w:b/>
          <w:bCs/>
          <w:sz w:val="24"/>
          <w:szCs w:val="24"/>
        </w:rPr>
        <w:t>ight</w:t>
      </w:r>
      <w:r w:rsidR="004B1E2D" w:rsidRPr="00F60EE1">
        <w:rPr>
          <w:b/>
          <w:bCs/>
          <w:sz w:val="24"/>
          <w:szCs w:val="24"/>
        </w:rPr>
        <w:t>s</w:t>
      </w:r>
      <w:r w:rsidR="00F52486" w:rsidRPr="00F60EE1">
        <w:rPr>
          <w:b/>
          <w:bCs/>
          <w:sz w:val="24"/>
          <w:szCs w:val="24"/>
        </w:rPr>
        <w:t xml:space="preserve"> on human rights </w:t>
      </w:r>
      <w:r w:rsidR="003F1B6E" w:rsidRPr="00F60EE1">
        <w:rPr>
          <w:b/>
          <w:bCs/>
          <w:sz w:val="24"/>
          <w:szCs w:val="24"/>
        </w:rPr>
        <w:t xml:space="preserve">violations and abuses </w:t>
      </w:r>
      <w:r w:rsidR="00F52486" w:rsidRPr="00F60EE1">
        <w:rPr>
          <w:b/>
          <w:bCs/>
          <w:sz w:val="24"/>
          <w:szCs w:val="24"/>
        </w:rPr>
        <w:t>rooted in harmful practices related to accusations of witchcraft and ritual attacks, as well as stigmati</w:t>
      </w:r>
      <w:r w:rsidR="003F1B6E" w:rsidRPr="00F60EE1">
        <w:rPr>
          <w:b/>
          <w:bCs/>
          <w:sz w:val="24"/>
          <w:szCs w:val="24"/>
        </w:rPr>
        <w:t>s</w:t>
      </w:r>
      <w:r w:rsidR="00F52486" w:rsidRPr="00F60EE1">
        <w:rPr>
          <w:b/>
          <w:bCs/>
          <w:sz w:val="24"/>
          <w:szCs w:val="24"/>
        </w:rPr>
        <w:t>ation</w:t>
      </w:r>
      <w:r w:rsidR="004B1E2D" w:rsidRPr="00F60EE1">
        <w:rPr>
          <w:b/>
          <w:bCs/>
          <w:sz w:val="24"/>
          <w:szCs w:val="24"/>
        </w:rPr>
        <w:t>, as requested by Human Rights Council resolution 47/8</w:t>
      </w:r>
      <w:r w:rsidR="00F52486" w:rsidRPr="00F60EE1">
        <w:rPr>
          <w:b/>
          <w:bCs/>
          <w:sz w:val="24"/>
          <w:szCs w:val="24"/>
        </w:rPr>
        <w:t xml:space="preserve">. The information in this submission is based on PRI’s </w:t>
      </w:r>
      <w:r w:rsidR="00566BC4" w:rsidRPr="00F60EE1">
        <w:rPr>
          <w:b/>
          <w:bCs/>
          <w:sz w:val="24"/>
          <w:szCs w:val="24"/>
        </w:rPr>
        <w:t>work</w:t>
      </w:r>
      <w:r w:rsidR="00F52486" w:rsidRPr="00F60EE1">
        <w:rPr>
          <w:b/>
          <w:bCs/>
          <w:sz w:val="24"/>
          <w:szCs w:val="24"/>
        </w:rPr>
        <w:t xml:space="preserve"> </w:t>
      </w:r>
      <w:r w:rsidR="00DB6BE2" w:rsidRPr="00F60EE1">
        <w:rPr>
          <w:b/>
          <w:bCs/>
          <w:sz w:val="24"/>
          <w:szCs w:val="24"/>
        </w:rPr>
        <w:t xml:space="preserve">in </w:t>
      </w:r>
      <w:r w:rsidR="00530011" w:rsidRPr="00F60EE1">
        <w:rPr>
          <w:b/>
          <w:bCs/>
          <w:sz w:val="24"/>
          <w:szCs w:val="24"/>
        </w:rPr>
        <w:t xml:space="preserve">criminal justice systems in </w:t>
      </w:r>
      <w:r w:rsidR="00DB6BE2" w:rsidRPr="00F60EE1">
        <w:rPr>
          <w:b/>
          <w:bCs/>
          <w:sz w:val="24"/>
          <w:szCs w:val="24"/>
        </w:rPr>
        <w:t>Africa</w:t>
      </w:r>
      <w:r w:rsidR="00566BC4" w:rsidRPr="00F60EE1">
        <w:rPr>
          <w:b/>
          <w:bCs/>
          <w:sz w:val="24"/>
          <w:szCs w:val="24"/>
        </w:rPr>
        <w:t xml:space="preserve"> and </w:t>
      </w:r>
      <w:r w:rsidR="000666D5" w:rsidRPr="00F60EE1">
        <w:rPr>
          <w:b/>
          <w:bCs/>
          <w:sz w:val="24"/>
          <w:szCs w:val="24"/>
        </w:rPr>
        <w:t xml:space="preserve">collected through our </w:t>
      </w:r>
      <w:r w:rsidR="00530011" w:rsidRPr="00F60EE1">
        <w:rPr>
          <w:b/>
          <w:bCs/>
          <w:sz w:val="24"/>
          <w:szCs w:val="24"/>
        </w:rPr>
        <w:t>Global Prison Trends programme</w:t>
      </w:r>
      <w:r w:rsidR="000B545A" w:rsidRPr="00F60EE1">
        <w:rPr>
          <w:b/>
          <w:bCs/>
          <w:sz w:val="24"/>
          <w:szCs w:val="24"/>
        </w:rPr>
        <w:t>.</w:t>
      </w:r>
      <w:r w:rsidRPr="00F60EE1">
        <w:rPr>
          <w:b/>
          <w:bCs/>
          <w:sz w:val="24"/>
          <w:szCs w:val="24"/>
        </w:rPr>
        <w:t xml:space="preserve"> </w:t>
      </w:r>
    </w:p>
    <w:p w14:paraId="41C4E1B2" w14:textId="77777777" w:rsidR="003965B6" w:rsidRPr="00F60EE1" w:rsidRDefault="003965B6" w:rsidP="00255124">
      <w:pPr>
        <w:jc w:val="left"/>
        <w:rPr>
          <w:b/>
          <w:bCs/>
          <w:sz w:val="24"/>
          <w:szCs w:val="24"/>
        </w:rPr>
      </w:pPr>
    </w:p>
    <w:p w14:paraId="34AC2B56" w14:textId="77777777" w:rsidR="003965B6" w:rsidRPr="00F60EE1" w:rsidRDefault="003965B6" w:rsidP="00F60EE1">
      <w:pPr>
        <w:pStyle w:val="Heading1"/>
      </w:pPr>
      <w:r w:rsidRPr="00F60EE1">
        <w:t xml:space="preserve">Background </w:t>
      </w:r>
    </w:p>
    <w:p w14:paraId="3432AA10" w14:textId="77777777" w:rsidR="0073108C" w:rsidRDefault="0073108C" w:rsidP="0073108C"/>
    <w:p w14:paraId="5B15D374" w14:textId="19D24F23" w:rsidR="001B49E3" w:rsidRDefault="00D952CD" w:rsidP="003965B6">
      <w:r>
        <w:t>T</w:t>
      </w:r>
      <w:r w:rsidR="001D274C" w:rsidRPr="00F60EE1">
        <w:t xml:space="preserve">here has been </w:t>
      </w:r>
      <w:r w:rsidR="00280EB4" w:rsidRPr="00F60EE1">
        <w:t xml:space="preserve">an </w:t>
      </w:r>
      <w:r w:rsidR="00EA6E3B" w:rsidRPr="00F60EE1">
        <w:t>upward trend in the number of women in prison worldwide over the past decade</w:t>
      </w:r>
      <w:r>
        <w:t xml:space="preserve">, despite the adoption of the </w:t>
      </w:r>
      <w:r w:rsidR="009F18DC" w:rsidRPr="009F18DC">
        <w:t>United Nations Rules for the Treatment of Women Prisoners and Non-custodial Measures for Women Offenders (the Bangkok Rules)</w:t>
      </w:r>
      <w:r w:rsidR="009F18DC">
        <w:t xml:space="preserve"> and increased acknowledgement of </w:t>
      </w:r>
      <w:r w:rsidR="00282098">
        <w:t>the need to reduce women’s imprisonment in light of their</w:t>
      </w:r>
      <w:r w:rsidR="00232F68">
        <w:t xml:space="preserve"> </w:t>
      </w:r>
      <w:r w:rsidR="00282098">
        <w:t xml:space="preserve">specific needs and experiences </w:t>
      </w:r>
      <w:r w:rsidR="000940C6">
        <w:t>in criminal justice systems</w:t>
      </w:r>
      <w:r w:rsidR="00EA6E3B" w:rsidRPr="00F60EE1">
        <w:t xml:space="preserve">. </w:t>
      </w:r>
      <w:r w:rsidR="005B65F9" w:rsidRPr="00F60EE1">
        <w:t xml:space="preserve">Many other </w:t>
      </w:r>
      <w:r w:rsidR="003A02C3" w:rsidRPr="00F60EE1">
        <w:t>groups in vulnerable or marginalised situations also continue to be overrepresented among populations</w:t>
      </w:r>
      <w:r w:rsidR="00651911" w:rsidRPr="00F60EE1">
        <w:t xml:space="preserve"> in conflict with the law</w:t>
      </w:r>
      <w:r w:rsidR="003A02C3" w:rsidRPr="00F60EE1">
        <w:t xml:space="preserve">. </w:t>
      </w:r>
      <w:r w:rsidR="001D274C" w:rsidRPr="00F60EE1">
        <w:t xml:space="preserve">As noted in </w:t>
      </w:r>
      <w:r w:rsidR="0090516E">
        <w:t>PRI’s</w:t>
      </w:r>
      <w:r w:rsidR="00914078" w:rsidRPr="00F60EE1">
        <w:t xml:space="preserve"> </w:t>
      </w:r>
      <w:r w:rsidR="001D274C" w:rsidRPr="00F60EE1">
        <w:rPr>
          <w:i/>
          <w:iCs/>
        </w:rPr>
        <w:t>Global Prison Trends 2021</w:t>
      </w:r>
      <w:r w:rsidR="001D274C" w:rsidRPr="00F60EE1">
        <w:t xml:space="preserve"> report</w:t>
      </w:r>
      <w:r w:rsidR="0093797F" w:rsidRPr="00F60EE1">
        <w:rPr>
          <w:rStyle w:val="FootnoteReference"/>
        </w:rPr>
        <w:footnoteReference w:id="2"/>
      </w:r>
      <w:r w:rsidR="001D274C" w:rsidRPr="00F60EE1">
        <w:t>, t</w:t>
      </w:r>
      <w:r w:rsidR="00EA6E3B" w:rsidRPr="00F60EE1">
        <w:t xml:space="preserve">his rise is due in no small part to the </w:t>
      </w:r>
      <w:r w:rsidR="0093797F" w:rsidRPr="00F60EE1">
        <w:t xml:space="preserve">continued </w:t>
      </w:r>
      <w:r w:rsidR="00EA6E3B" w:rsidRPr="00F60EE1">
        <w:t xml:space="preserve">criminalisation and increasing use of imprisonment in response to </w:t>
      </w:r>
      <w:r w:rsidR="000E7F84" w:rsidRPr="00F60EE1">
        <w:t xml:space="preserve">certain actions, beliefs, </w:t>
      </w:r>
      <w:r w:rsidR="00102CAB">
        <w:t xml:space="preserve">or </w:t>
      </w:r>
      <w:r w:rsidR="000E7F84" w:rsidRPr="00F60EE1">
        <w:t>behaviours</w:t>
      </w:r>
      <w:r w:rsidR="004B180A" w:rsidRPr="00F60EE1">
        <w:t xml:space="preserve"> particularly when conducted by women</w:t>
      </w:r>
      <w:r w:rsidR="00554749" w:rsidRPr="00F60EE1">
        <w:t>.</w:t>
      </w:r>
    </w:p>
    <w:p w14:paraId="5D2F945C" w14:textId="77777777" w:rsidR="001B49E3" w:rsidRDefault="001B49E3" w:rsidP="003965B6"/>
    <w:p w14:paraId="3144FAEC" w14:textId="77777777" w:rsidR="00750FBD" w:rsidRDefault="001B49E3" w:rsidP="00801B8F">
      <w:r>
        <w:t xml:space="preserve">Socio-economic factors also play a significant role. </w:t>
      </w:r>
      <w:r w:rsidR="002428D2" w:rsidRPr="00F60EE1">
        <w:t>Persons</w:t>
      </w:r>
      <w:r w:rsidR="00255124" w:rsidRPr="00F60EE1">
        <w:t xml:space="preserve"> with weak social protection systems who are poor, excluded, or challenging the status quo</w:t>
      </w:r>
      <w:r w:rsidR="0083016C" w:rsidRPr="00F60EE1">
        <w:t xml:space="preserve">, </w:t>
      </w:r>
      <w:r w:rsidR="002428D2" w:rsidRPr="00F60EE1">
        <w:t>are most commonly the targets of discriminatory laws and practices</w:t>
      </w:r>
      <w:r w:rsidR="006468EE">
        <w:t>, including those</w:t>
      </w:r>
      <w:r w:rsidR="002428D2" w:rsidRPr="00F60EE1">
        <w:t xml:space="preserve"> related to witchcraft</w:t>
      </w:r>
      <w:r w:rsidR="004D4D1F" w:rsidRPr="00F60EE1">
        <w:t xml:space="preserve"> and </w:t>
      </w:r>
      <w:r w:rsidR="00F52F21" w:rsidRPr="00F60EE1">
        <w:t>sorcer</w:t>
      </w:r>
      <w:r w:rsidR="00C56849" w:rsidRPr="00F60EE1">
        <w:t xml:space="preserve">y. </w:t>
      </w:r>
      <w:r w:rsidR="00EA53C0">
        <w:t>Older</w:t>
      </w:r>
      <w:r w:rsidR="00EA53C0" w:rsidRPr="00F60EE1">
        <w:t xml:space="preserve"> </w:t>
      </w:r>
      <w:r w:rsidR="00255124" w:rsidRPr="00F60EE1">
        <w:t>women, women and girls</w:t>
      </w:r>
      <w:r w:rsidR="00EA53C0">
        <w:t xml:space="preserve"> with disabilities</w:t>
      </w:r>
      <w:r w:rsidR="00255124" w:rsidRPr="00F60EE1">
        <w:t>, orphan</w:t>
      </w:r>
      <w:r w:rsidR="00EA53C0">
        <w:t>ed children</w:t>
      </w:r>
      <w:r w:rsidR="00255124" w:rsidRPr="00F60EE1">
        <w:t>, and people with albinism</w:t>
      </w:r>
      <w:r w:rsidR="008E38AA" w:rsidRPr="00F60EE1">
        <w:t xml:space="preserve"> are disproportionately targeted by related accusations</w:t>
      </w:r>
      <w:r w:rsidR="00255124" w:rsidRPr="00F60EE1">
        <w:t>. Although specific numbers are difficult to obtain, evidence suggests the numbers of accusations of witchcraft and related violence increase</w:t>
      </w:r>
      <w:r w:rsidR="005A5703" w:rsidRPr="00F60EE1">
        <w:t xml:space="preserve"> in times of greater economic hardship</w:t>
      </w:r>
      <w:r w:rsidR="00255124" w:rsidRPr="00F60EE1">
        <w:t>.</w:t>
      </w:r>
      <w:r w:rsidR="00255124" w:rsidRPr="00F60EE1">
        <w:rPr>
          <w:vertAlign w:val="superscript"/>
        </w:rPr>
        <w:footnoteReference w:id="3"/>
      </w:r>
      <w:r w:rsidR="00255124" w:rsidRPr="00F60EE1">
        <w:t xml:space="preserve"> Allegations of witchcraft</w:t>
      </w:r>
      <w:r w:rsidR="00F52F21" w:rsidRPr="00F60EE1">
        <w:t xml:space="preserve"> and </w:t>
      </w:r>
      <w:r w:rsidR="006A3586" w:rsidRPr="00F60EE1">
        <w:t>ritual attacks</w:t>
      </w:r>
      <w:r w:rsidR="00255124" w:rsidRPr="00F60EE1">
        <w:t xml:space="preserve"> against women</w:t>
      </w:r>
      <w:r w:rsidR="002F0A4C" w:rsidRPr="00F60EE1">
        <w:t>,</w:t>
      </w:r>
      <w:r w:rsidR="00255124" w:rsidRPr="00F60EE1">
        <w:t xml:space="preserve"> children</w:t>
      </w:r>
      <w:r w:rsidR="002F0A4C" w:rsidRPr="00F60EE1">
        <w:t xml:space="preserve"> and other groups in vulnerable or mar</w:t>
      </w:r>
      <w:r w:rsidR="008F586C" w:rsidRPr="00F60EE1">
        <w:t>ginalised positions</w:t>
      </w:r>
      <w:r w:rsidR="00255124" w:rsidRPr="00F60EE1">
        <w:t xml:space="preserve"> ought to be understood as a convergence of a multitude of cultural and societal factors. </w:t>
      </w:r>
      <w:bookmarkStart w:id="1" w:name="_Hlk114047160"/>
    </w:p>
    <w:p w14:paraId="0017C3B8" w14:textId="77777777" w:rsidR="00801B8F" w:rsidRDefault="00801B8F" w:rsidP="00801B8F"/>
    <w:p w14:paraId="79E3FF08" w14:textId="4659DA48" w:rsidR="00801B8F" w:rsidRPr="00AC143B" w:rsidRDefault="00801B8F" w:rsidP="00801B8F">
      <w:pPr>
        <w:sectPr w:rsidR="00801B8F" w:rsidRPr="00AC143B" w:rsidSect="002525A7">
          <w:headerReference w:type="even" r:id="rId13"/>
          <w:headerReference w:type="default" r:id="rId14"/>
          <w:footerReference w:type="even" r:id="rId15"/>
          <w:footerReference w:type="default" r:id="rId16"/>
          <w:headerReference w:type="first" r:id="rId17"/>
          <w:footerReference w:type="first" r:id="rId18"/>
          <w:pgSz w:w="11900" w:h="16840"/>
          <w:pgMar w:top="1418" w:right="1418" w:bottom="1418" w:left="1418" w:header="709" w:footer="709" w:gutter="0"/>
          <w:cols w:space="708"/>
          <w:titlePg/>
          <w:docGrid w:linePitch="360"/>
        </w:sectPr>
      </w:pPr>
    </w:p>
    <w:p w14:paraId="3ABBDD4D" w14:textId="37EAC3FB" w:rsidR="00340CD5" w:rsidRPr="00750FBD" w:rsidRDefault="00F15CC5" w:rsidP="00AC143B">
      <w:pPr>
        <w:pStyle w:val="Heading1"/>
      </w:pPr>
      <w:bookmarkStart w:id="2" w:name="_Hlk114047145"/>
      <w:r>
        <w:t>Measures</w:t>
      </w:r>
      <w:bookmarkEnd w:id="2"/>
      <w:r>
        <w:t xml:space="preserve"> to ensure the elimination of harmful practices amounting to human rights violations related to accusations of witchcraft and ritual attacks</w:t>
      </w:r>
    </w:p>
    <w:bookmarkEnd w:id="1"/>
    <w:p w14:paraId="5425B581" w14:textId="77777777" w:rsidR="00340CD5" w:rsidRPr="00750FBD" w:rsidRDefault="00340CD5" w:rsidP="00750FBD"/>
    <w:p w14:paraId="3D9642F6" w14:textId="2C3A82E3" w:rsidR="007B4BAB" w:rsidRPr="00F60EE1" w:rsidRDefault="00D33133" w:rsidP="007B4BAB">
      <w:pPr>
        <w:pStyle w:val="ListParagraph"/>
        <w:numPr>
          <w:ilvl w:val="0"/>
          <w:numId w:val="1"/>
        </w:numPr>
        <w:rPr>
          <w:i/>
          <w:iCs/>
          <w:sz w:val="24"/>
          <w:szCs w:val="24"/>
        </w:rPr>
      </w:pPr>
      <w:r w:rsidRPr="00F60EE1">
        <w:rPr>
          <w:i/>
          <w:iCs/>
          <w:sz w:val="24"/>
          <w:szCs w:val="24"/>
        </w:rPr>
        <w:t>Eliminating</w:t>
      </w:r>
      <w:r w:rsidR="007B4BAB" w:rsidRPr="00F60EE1">
        <w:rPr>
          <w:i/>
          <w:iCs/>
          <w:sz w:val="24"/>
          <w:szCs w:val="24"/>
        </w:rPr>
        <w:t xml:space="preserve"> harmful practices amounting to human rights violations related to accusations of witchcraft and ritual attacks, as well as stigmatization</w:t>
      </w:r>
    </w:p>
    <w:p w14:paraId="17A7C236" w14:textId="77777777" w:rsidR="0073108C" w:rsidRDefault="0073108C" w:rsidP="00CA19D7"/>
    <w:p w14:paraId="0ECE8433" w14:textId="6D1D49DE" w:rsidR="00CA19D7" w:rsidRDefault="00FA4B75" w:rsidP="00CA19D7">
      <w:r>
        <w:t xml:space="preserve">When it comes to this topic, PRI’s focus has been on West Africa, where </w:t>
      </w:r>
      <w:r w:rsidR="006319BF">
        <w:t xml:space="preserve">witchcraft accusations and related harmful practices and stigmatisation are prevalent. Legislative approaches in the region </w:t>
      </w:r>
      <w:r w:rsidR="00E325BB">
        <w:t>fall in two broad categories: one</w:t>
      </w:r>
      <w:r w:rsidR="00010EDE">
        <w:t>s</w:t>
      </w:r>
      <w:r w:rsidR="00E325BB">
        <w:t xml:space="preserve"> that criminalise witchcraft </w:t>
      </w:r>
      <w:r w:rsidR="00010EDE">
        <w:t xml:space="preserve">or sorcery and </w:t>
      </w:r>
      <w:r w:rsidR="00EA55DF">
        <w:t xml:space="preserve">ones that criminalise </w:t>
      </w:r>
      <w:r w:rsidR="00F81897">
        <w:t xml:space="preserve">harmful practices resulting from accusations of witchcraft or sorcery (i.e. working to protect those accused). </w:t>
      </w:r>
    </w:p>
    <w:p w14:paraId="29D05CB8" w14:textId="3981DA42" w:rsidR="00021E01" w:rsidRDefault="00021E01" w:rsidP="00CA19D7"/>
    <w:p w14:paraId="1E6A4693" w14:textId="6D93FE6E" w:rsidR="00C21267" w:rsidRDefault="00C21267" w:rsidP="00C21267">
      <w:r w:rsidRPr="00C21267">
        <w:t>Due to ambiguity around the legal definition of witchcraft, states often rely on customary courts</w:t>
      </w:r>
      <w:r w:rsidR="000D414F">
        <w:t xml:space="preserve"> for prosecuting related cases, </w:t>
      </w:r>
      <w:r w:rsidR="00901EC5">
        <w:t xml:space="preserve">operating </w:t>
      </w:r>
      <w:r w:rsidRPr="00C21267">
        <w:t xml:space="preserve">alongside or in place of the formal court system. The procedure in these traditional </w:t>
      </w:r>
      <w:r w:rsidR="00901EC5">
        <w:t xml:space="preserve">for a does not have </w:t>
      </w:r>
      <w:r w:rsidR="00A14C3D">
        <w:t>sufficient procedural safeguards in place and</w:t>
      </w:r>
      <w:r w:rsidRPr="00C21267">
        <w:t xml:space="preserve"> is </w:t>
      </w:r>
      <w:r w:rsidR="00A14C3D">
        <w:t xml:space="preserve">often </w:t>
      </w:r>
      <w:r w:rsidRPr="00C21267">
        <w:t xml:space="preserve">unfair and arbitrary, </w:t>
      </w:r>
      <w:r w:rsidR="00A14C3D">
        <w:t>with</w:t>
      </w:r>
      <w:r w:rsidRPr="00C21267">
        <w:t xml:space="preserve"> judges </w:t>
      </w:r>
      <w:r w:rsidR="00A14C3D">
        <w:t>who are</w:t>
      </w:r>
      <w:r w:rsidRPr="00C21267">
        <w:t xml:space="preserve"> biased and </w:t>
      </w:r>
      <w:r w:rsidR="0098136E">
        <w:t>a</w:t>
      </w:r>
      <w:r w:rsidRPr="00C21267">
        <w:t xml:space="preserve"> threshold for </w:t>
      </w:r>
      <w:r w:rsidR="0098136E">
        <w:t xml:space="preserve">credible </w:t>
      </w:r>
      <w:r w:rsidRPr="00C21267">
        <w:t xml:space="preserve">evidence </w:t>
      </w:r>
      <w:r w:rsidR="0098136E">
        <w:t>that is</w:t>
      </w:r>
      <w:r w:rsidRPr="00C21267">
        <w:t xml:space="preserve"> low or non-existent. For example, trial by ordeal is a common means of determining the guilt of an accused witch in customary courts</w:t>
      </w:r>
      <w:r w:rsidR="00125981">
        <w:t>.</w:t>
      </w:r>
      <w:r w:rsidR="00C3272F">
        <w:t xml:space="preserve"> </w:t>
      </w:r>
      <w:r w:rsidR="00125981">
        <w:t>Trials by ordeal can take</w:t>
      </w:r>
      <w:r w:rsidRPr="00C21267">
        <w:t xml:space="preserve"> many arbitrary forms, </w:t>
      </w:r>
      <w:r w:rsidR="00C3272F">
        <w:t>such as</w:t>
      </w:r>
      <w:r w:rsidRPr="00C21267">
        <w:t xml:space="preserve"> a suspected witch </w:t>
      </w:r>
      <w:r w:rsidR="00C3272F">
        <w:t>being</w:t>
      </w:r>
      <w:r w:rsidRPr="00C21267">
        <w:t xml:space="preserve"> forced to consume a harmful substance, </w:t>
      </w:r>
      <w:r w:rsidR="00125981">
        <w:t>with</w:t>
      </w:r>
      <w:r w:rsidRPr="00C21267">
        <w:t xml:space="preserve"> their reaction to the ordeal </w:t>
      </w:r>
      <w:r w:rsidR="003D134D">
        <w:t xml:space="preserve">being used as a means to prove </w:t>
      </w:r>
      <w:r w:rsidRPr="00C21267">
        <w:t>their guilt or innocence.</w:t>
      </w:r>
      <w:r w:rsidRPr="00C21267">
        <w:rPr>
          <w:vertAlign w:val="superscript"/>
        </w:rPr>
        <w:footnoteReference w:id="4"/>
      </w:r>
    </w:p>
    <w:p w14:paraId="6194C310" w14:textId="230C1574" w:rsidR="00AA4EA4" w:rsidRDefault="00AA4EA4" w:rsidP="00C21267"/>
    <w:p w14:paraId="451B9151" w14:textId="51156D0C" w:rsidR="00AA4EA4" w:rsidRPr="00AA4EA4" w:rsidRDefault="006E73B2" w:rsidP="00AA4EA4">
      <w:r>
        <w:t>In Malawi, u</w:t>
      </w:r>
      <w:r w:rsidR="00AA4EA4" w:rsidRPr="00AA4EA4">
        <w:t>nder the Witchcraft Act of 1911 enacted under British colonial rule it is a criminal offense to:</w:t>
      </w:r>
    </w:p>
    <w:p w14:paraId="4DA2B62E" w14:textId="21364BE8" w:rsidR="00AA4EA4" w:rsidRPr="00AA4EA4" w:rsidRDefault="00AA4EA4" w:rsidP="00AA4EA4">
      <w:pPr>
        <w:numPr>
          <w:ilvl w:val="0"/>
          <w:numId w:val="7"/>
        </w:numPr>
      </w:pPr>
      <w:r w:rsidRPr="00AA4EA4">
        <w:t>accuse someone of witchcraft (unless through the relevant authority),</w:t>
      </w:r>
    </w:p>
    <w:p w14:paraId="7633CFCF" w14:textId="77777777" w:rsidR="00AA4EA4" w:rsidRPr="00AA4EA4" w:rsidRDefault="00AA4EA4" w:rsidP="00AA4EA4">
      <w:pPr>
        <w:numPr>
          <w:ilvl w:val="0"/>
          <w:numId w:val="7"/>
        </w:numPr>
      </w:pPr>
      <w:r w:rsidRPr="00AA4EA4">
        <w:t>pretend that you practise witchcraft</w:t>
      </w:r>
    </w:p>
    <w:p w14:paraId="3CB834E1" w14:textId="77777777" w:rsidR="00AA4EA4" w:rsidRPr="00AA4EA4" w:rsidRDefault="00AA4EA4" w:rsidP="00AA4EA4">
      <w:pPr>
        <w:numPr>
          <w:ilvl w:val="0"/>
          <w:numId w:val="7"/>
        </w:numPr>
      </w:pPr>
      <w:r w:rsidRPr="00AA4EA4">
        <w:t>claim to be a witch finder, direct, assist or be present at a trial by ordeal</w:t>
      </w:r>
    </w:p>
    <w:p w14:paraId="01D17F2C" w14:textId="77777777" w:rsidR="00AA4EA4" w:rsidRPr="00AA4EA4" w:rsidRDefault="00AA4EA4" w:rsidP="00AA4EA4">
      <w:pPr>
        <w:numPr>
          <w:ilvl w:val="0"/>
          <w:numId w:val="7"/>
        </w:numPr>
      </w:pPr>
      <w:r w:rsidRPr="00AA4EA4">
        <w:t>use any charm with a view to committing an unlawful act</w:t>
      </w:r>
    </w:p>
    <w:p w14:paraId="0B42C3F8" w14:textId="77777777" w:rsidR="00755FCC" w:rsidRDefault="00AA4EA4" w:rsidP="00AA4EA4">
      <w:r w:rsidRPr="00AA4EA4">
        <w:t>Violence related to witchcraft accusations can be prosecuted under other offences in the Criminal Code, such as murder, assault, etc. There is no provision under the Penal Code prohibiting accusing someone of being a witch</w:t>
      </w:r>
    </w:p>
    <w:p w14:paraId="008A2110" w14:textId="77777777" w:rsidR="00755FCC" w:rsidRDefault="00755FCC" w:rsidP="00AA4EA4"/>
    <w:p w14:paraId="459EE088" w14:textId="0A4E63C3" w:rsidR="00021E01" w:rsidRPr="00750FBD" w:rsidRDefault="00755FCC" w:rsidP="00CA19D7">
      <w:r>
        <w:t xml:space="preserve">There are many problematic aspects of the legislative and practical treatment of witchcraft accusations. For example, the Act is based on the assumption that witchcraft does not exist, and therefore there is no definition for witchcraft and simultaneously no consistent means of proving or disproving a person is a witch once accused. Additionally, the law is at odds with Malawi’s beliefs in witchcraft, </w:t>
      </w:r>
      <w:r w:rsidRPr="002D474B">
        <w:t>making it unlikely that adherence will follow. Despite the Witchcraft Act prohibiting accusations of witchcraft, accusations and violence against alleged witches have increased, while convictions against accusers are extremely rare. There should be no convictions or imprisonment of witchcraft according to the Act, yet in 2009, at least 44 women were known to be detained on charges of practising witchcraft in Malawi.</w:t>
      </w:r>
      <w:r>
        <w:rPr>
          <w:rStyle w:val="FootnoteReference"/>
        </w:rPr>
        <w:footnoteReference w:id="5"/>
      </w:r>
      <w:r w:rsidRPr="002D474B">
        <w:t xml:space="preserve"> Similarly, researchers have determined trials by ordeal still occur, and deaths as a result of these trials also continue.</w:t>
      </w:r>
      <w:r>
        <w:rPr>
          <w:rStyle w:val="FootnoteReference"/>
        </w:rPr>
        <w:footnoteReference w:id="6"/>
      </w:r>
    </w:p>
    <w:p w14:paraId="30D1B637" w14:textId="77777777" w:rsidR="00CA19D7" w:rsidRPr="00CA19D7" w:rsidRDefault="00CA19D7" w:rsidP="00CA19D7">
      <w:pPr>
        <w:rPr>
          <w:b/>
          <w:bCs/>
          <w:sz w:val="26"/>
          <w:szCs w:val="26"/>
        </w:rPr>
      </w:pPr>
    </w:p>
    <w:p w14:paraId="1CC3A36D" w14:textId="6B339936" w:rsidR="00AA3CE9" w:rsidRPr="00F60EE1" w:rsidRDefault="008A3200" w:rsidP="00E930A0">
      <w:pPr>
        <w:pStyle w:val="ListParagraph"/>
        <w:numPr>
          <w:ilvl w:val="0"/>
          <w:numId w:val="1"/>
        </w:numPr>
        <w:rPr>
          <w:i/>
          <w:iCs/>
          <w:sz w:val="22"/>
          <w:szCs w:val="22"/>
        </w:rPr>
      </w:pPr>
      <w:r w:rsidRPr="00F60EE1">
        <w:rPr>
          <w:i/>
          <w:iCs/>
          <w:sz w:val="24"/>
          <w:szCs w:val="24"/>
        </w:rPr>
        <w:lastRenderedPageBreak/>
        <w:t>E</w:t>
      </w:r>
      <w:r w:rsidR="00AA3CE9" w:rsidRPr="00F60EE1">
        <w:rPr>
          <w:i/>
          <w:iCs/>
          <w:sz w:val="24"/>
          <w:szCs w:val="24"/>
        </w:rPr>
        <w:t>nsur</w:t>
      </w:r>
      <w:r w:rsidRPr="00F60EE1">
        <w:rPr>
          <w:i/>
          <w:iCs/>
          <w:sz w:val="24"/>
          <w:szCs w:val="24"/>
        </w:rPr>
        <w:t>ing</w:t>
      </w:r>
      <w:r w:rsidR="00AA3CE9" w:rsidRPr="00F60EE1">
        <w:rPr>
          <w:i/>
          <w:iCs/>
          <w:sz w:val="24"/>
          <w:szCs w:val="24"/>
        </w:rPr>
        <w:t xml:space="preserve"> that no one is deprived of the right to life, liberty or security of person because of religion or belief, and that no one is subjected to torture, arbitrary arrest or detention on the account of accusations of witchcraft and ritual attacks</w:t>
      </w:r>
    </w:p>
    <w:p w14:paraId="07F74DA5" w14:textId="77777777" w:rsidR="00A73EEC" w:rsidRDefault="00A73EEC" w:rsidP="00AA3CE9"/>
    <w:p w14:paraId="7A892B3E" w14:textId="18797E84" w:rsidR="00CA19D7" w:rsidRDefault="00092841" w:rsidP="00AA3CE9">
      <w:r w:rsidRPr="00092841">
        <w:t>The consequences of the current country specific laws in place in west Africa is pervasive persecution of the most vulnerable people under the guise of accusations of witchcraft. Women and children thought to be witches often face psychological trauma, physical harm, social exclusion, impoverishment and banishment from their homes and communities. Often driven out of their communities due to violence and persecution, many women and children reside in “witch camps” that serve as de facto prisons, despite the accused never being given a trial, or the chance to appeal, but ultimately forced to live out a life sentence. The number of accusations of witchcraft has increased in recent years sometimes resulting in outbursts of violence and widespread disruption. Country specific laws that criminalise witchcraft or fail to protect those accused of witchcraft work to entrench larger existing societal inequalities related to socioeconomic standing, age, gender, and health.</w:t>
      </w:r>
    </w:p>
    <w:p w14:paraId="236D62ED" w14:textId="77777777" w:rsidR="00424ED9" w:rsidRPr="00424ED9" w:rsidRDefault="00424ED9" w:rsidP="00424ED9">
      <w:pPr>
        <w:rPr>
          <w:b/>
          <w:bCs/>
          <w:sz w:val="26"/>
          <w:szCs w:val="26"/>
        </w:rPr>
      </w:pPr>
    </w:p>
    <w:p w14:paraId="3B542273" w14:textId="7E65F7FD" w:rsidR="00424ED9" w:rsidRPr="00750FBD" w:rsidRDefault="00424ED9" w:rsidP="00AC143B">
      <w:pPr>
        <w:pStyle w:val="Heading1"/>
      </w:pPr>
      <w:r>
        <w:t>Data collection</w:t>
      </w:r>
    </w:p>
    <w:p w14:paraId="6AA8ED15" w14:textId="77777777" w:rsidR="00C8325A" w:rsidRDefault="00C8325A" w:rsidP="003C610B"/>
    <w:p w14:paraId="69ED27A8" w14:textId="66702D03" w:rsidR="00E272F5" w:rsidRDefault="00D12059" w:rsidP="00B258F0">
      <w:r>
        <w:t>The lack of</w:t>
      </w:r>
      <w:r w:rsidR="00BE1936">
        <w:t xml:space="preserve"> data is one of the core challenges </w:t>
      </w:r>
      <w:r w:rsidR="00C409ED">
        <w:t xml:space="preserve">in understanding and addressing </w:t>
      </w:r>
      <w:r w:rsidR="00DB32E6">
        <w:t xml:space="preserve">human rights violations and abuses rooted in harmful practices related to accusations of witchcraft and ritual attacks, as well as stigmatisation across the globe. </w:t>
      </w:r>
      <w:r w:rsidR="006A69D4">
        <w:t xml:space="preserve">In 2021, </w:t>
      </w:r>
      <w:r w:rsidR="00B258F0">
        <w:t>most of the approximately 24 women in prison in Central African Republic have been accused of witchcraft</w:t>
      </w:r>
      <w:r w:rsidR="00C968A5">
        <w:t xml:space="preserve"> (</w:t>
      </w:r>
      <w:r w:rsidR="00B258F0">
        <w:t>which attracts a prison sentence</w:t>
      </w:r>
      <w:r w:rsidR="00C968A5">
        <w:t xml:space="preserve"> </w:t>
      </w:r>
      <w:r w:rsidR="00B258F0">
        <w:t>of five to ten years and a fine</w:t>
      </w:r>
      <w:r w:rsidR="00C968A5">
        <w:t>)</w:t>
      </w:r>
      <w:r w:rsidR="00B258F0">
        <w:t>.</w:t>
      </w:r>
      <w:r w:rsidR="00913925">
        <w:rPr>
          <w:rStyle w:val="FootnoteReference"/>
        </w:rPr>
        <w:footnoteReference w:id="7"/>
      </w:r>
      <w:r w:rsidR="00B258F0">
        <w:t xml:space="preserve"> </w:t>
      </w:r>
      <w:r w:rsidR="00E0794C">
        <w:t xml:space="preserve">According to the </w:t>
      </w:r>
      <w:r w:rsidR="00E0794C" w:rsidRPr="00E0794C">
        <w:t>Independent Expert on the enjoyment of human rights by persons with albinism</w:t>
      </w:r>
      <w:r w:rsidR="00E0794C">
        <w:t>, c</w:t>
      </w:r>
      <w:r w:rsidR="00DB32E6" w:rsidRPr="00DB32E6">
        <w:t>ases of women and children being abused, mistreated, or executed due to accusations of witchcraft have been recorded, with thousands of alleged witches having been beaten or killed in several African countries over the past thirty years.</w:t>
      </w:r>
      <w:r w:rsidR="00DB32E6" w:rsidRPr="00DB32E6">
        <w:rPr>
          <w:vertAlign w:val="superscript"/>
        </w:rPr>
        <w:footnoteReference w:id="8"/>
      </w:r>
      <w:r w:rsidR="00DB32E6" w:rsidRPr="00DB32E6">
        <w:t xml:space="preserve"> </w:t>
      </w:r>
    </w:p>
    <w:p w14:paraId="213F55C5" w14:textId="77777777" w:rsidR="00E272F5" w:rsidRDefault="00E272F5" w:rsidP="003C610B"/>
    <w:p w14:paraId="49D53806" w14:textId="6FA3A1D1" w:rsidR="003C610B" w:rsidRPr="00750FBD" w:rsidRDefault="007A4FCC" w:rsidP="003C610B">
      <w:r>
        <w:t>Such</w:t>
      </w:r>
      <w:r w:rsidR="00DB32E6" w:rsidRPr="00DB32E6">
        <w:t xml:space="preserve"> accounts that witchcraft allegation practices are increasing and becoming more violent</w:t>
      </w:r>
      <w:r w:rsidR="00474BE4">
        <w:t xml:space="preserve"> hig</w:t>
      </w:r>
      <w:r w:rsidR="00BC3C67">
        <w:t>hlight</w:t>
      </w:r>
      <w:r w:rsidR="00DB32E6" w:rsidRPr="00DB32E6">
        <w:t xml:space="preserve"> </w:t>
      </w:r>
      <w:r w:rsidR="00E71F2B">
        <w:t>the lack</w:t>
      </w:r>
      <w:r w:rsidR="00DB32E6" w:rsidRPr="00DB32E6">
        <w:t xml:space="preserve"> of data available </w:t>
      </w:r>
      <w:r w:rsidR="00BC3C67">
        <w:t>a</w:t>
      </w:r>
      <w:r w:rsidR="0081016A">
        <w:t xml:space="preserve">s </w:t>
      </w:r>
      <w:r w:rsidR="002614EC">
        <w:t xml:space="preserve">a </w:t>
      </w:r>
      <w:r w:rsidR="0081016A">
        <w:t>fundamental</w:t>
      </w:r>
      <w:r w:rsidR="002614EC">
        <w:t xml:space="preserve"> issue</w:t>
      </w:r>
      <w:r w:rsidR="00DB32E6" w:rsidRPr="00DB32E6">
        <w:t xml:space="preserve">. This gap in data makes reliable estimates of the number of incidents related to witchcraft accusations against women and children difficult to discern, as we are forced to rely on conservative assessments that likely understate the extent of the problem. </w:t>
      </w:r>
    </w:p>
    <w:p w14:paraId="684FFEA5" w14:textId="3B32322C" w:rsidR="001A270A" w:rsidRDefault="001A270A" w:rsidP="001A270A">
      <w:pPr>
        <w:rPr>
          <w:b/>
          <w:bCs/>
          <w:sz w:val="26"/>
          <w:szCs w:val="26"/>
        </w:rPr>
      </w:pPr>
    </w:p>
    <w:p w14:paraId="60D42522" w14:textId="6C3BCAC3" w:rsidR="001A270A" w:rsidRPr="00750FBD" w:rsidRDefault="001A270A" w:rsidP="00AC143B">
      <w:pPr>
        <w:pStyle w:val="Heading1"/>
      </w:pPr>
      <w:r>
        <w:t>Challenges and opportunities</w:t>
      </w:r>
    </w:p>
    <w:p w14:paraId="65E188E5" w14:textId="77777777" w:rsidR="003C610B" w:rsidRPr="003C610B" w:rsidRDefault="003C610B" w:rsidP="003C610B">
      <w:pPr>
        <w:rPr>
          <w:b/>
          <w:bCs/>
          <w:sz w:val="26"/>
          <w:szCs w:val="26"/>
        </w:rPr>
      </w:pPr>
    </w:p>
    <w:p w14:paraId="312ADD67" w14:textId="42F0D8EF" w:rsidR="006A195C" w:rsidRPr="00F60EE1" w:rsidRDefault="00841B00" w:rsidP="00F60EE1">
      <w:pPr>
        <w:pStyle w:val="ListParagraph"/>
        <w:numPr>
          <w:ilvl w:val="0"/>
          <w:numId w:val="1"/>
        </w:numPr>
        <w:rPr>
          <w:sz w:val="24"/>
          <w:szCs w:val="24"/>
        </w:rPr>
      </w:pPr>
      <w:r w:rsidRPr="00F60EE1">
        <w:rPr>
          <w:i/>
          <w:iCs/>
          <w:sz w:val="24"/>
          <w:szCs w:val="24"/>
        </w:rPr>
        <w:t>A</w:t>
      </w:r>
      <w:r w:rsidR="003C610B" w:rsidRPr="00F60EE1">
        <w:rPr>
          <w:i/>
          <w:iCs/>
          <w:sz w:val="24"/>
          <w:szCs w:val="24"/>
        </w:rPr>
        <w:t xml:space="preserve">ction </w:t>
      </w:r>
      <w:r w:rsidRPr="00F60EE1">
        <w:rPr>
          <w:i/>
          <w:iCs/>
          <w:sz w:val="24"/>
          <w:szCs w:val="24"/>
        </w:rPr>
        <w:t xml:space="preserve">that </w:t>
      </w:r>
      <w:r w:rsidR="003C610B" w:rsidRPr="00F60EE1">
        <w:rPr>
          <w:i/>
          <w:iCs/>
          <w:sz w:val="24"/>
          <w:szCs w:val="24"/>
        </w:rPr>
        <w:t>could be undertaken by existing mechanisms at the United Nations for the elimination of human rights violations related to accusations of witchcraft and ritual attacks, as well as stigmatization</w:t>
      </w:r>
    </w:p>
    <w:p w14:paraId="136651C1" w14:textId="77777777" w:rsidR="003D4464" w:rsidRDefault="003D4464" w:rsidP="003C610B"/>
    <w:p w14:paraId="1AC9825A" w14:textId="38CED3A1" w:rsidR="003C610B" w:rsidRPr="00750FBD" w:rsidRDefault="009C749F" w:rsidP="003C610B">
      <w:r w:rsidRPr="009C749F">
        <w:t>Although the global community is increasingly understanding</w:t>
      </w:r>
      <w:r w:rsidR="004249D7">
        <w:t xml:space="preserve"> harmful practices in response to </w:t>
      </w:r>
      <w:r w:rsidRPr="009C749F">
        <w:t>witchcraft accusations</w:t>
      </w:r>
      <w:r w:rsidR="00950E21">
        <w:t xml:space="preserve"> and ritual attacks</w:t>
      </w:r>
      <w:r w:rsidRPr="009C749F">
        <w:t xml:space="preserve"> as human rights violations, there has been little examination and interrogation of the issue from </w:t>
      </w:r>
      <w:r w:rsidR="00EA5334">
        <w:t>the</w:t>
      </w:r>
      <w:r w:rsidRPr="009C749F">
        <w:t xml:space="preserve"> </w:t>
      </w:r>
      <w:r w:rsidR="00950E21">
        <w:t xml:space="preserve">international </w:t>
      </w:r>
      <w:r w:rsidR="00EA5334">
        <w:t>community</w:t>
      </w:r>
      <w:r w:rsidRPr="009C749F">
        <w:t xml:space="preserve">, </w:t>
      </w:r>
      <w:r>
        <w:t>including</w:t>
      </w:r>
      <w:r w:rsidRPr="009C749F">
        <w:t xml:space="preserve"> the United Nations</w:t>
      </w:r>
      <w:r>
        <w:t xml:space="preserve">, </w:t>
      </w:r>
      <w:r w:rsidR="00956450">
        <w:t>with</w:t>
      </w:r>
      <w:r w:rsidR="00D32127">
        <w:t xml:space="preserve"> local NGOs left with the burden of demanding attention and justice for </w:t>
      </w:r>
      <w:r w:rsidR="0031274E">
        <w:t xml:space="preserve">the </w:t>
      </w:r>
      <w:r w:rsidR="0031274E">
        <w:lastRenderedPageBreak/>
        <w:t>occurring practices and violations. T</w:t>
      </w:r>
      <w:r w:rsidR="00956450">
        <w:t xml:space="preserve">he </w:t>
      </w:r>
      <w:r w:rsidR="00EB6A81">
        <w:t>inadequate efforts by the international community</w:t>
      </w:r>
      <w:r w:rsidR="0031274E">
        <w:t xml:space="preserve"> </w:t>
      </w:r>
      <w:r w:rsidR="00704174">
        <w:t>arise partially</w:t>
      </w:r>
      <w:r w:rsidR="00966738">
        <w:t xml:space="preserve"> from</w:t>
      </w:r>
      <w:r w:rsidR="00EB6A81">
        <w:t xml:space="preserve"> </w:t>
      </w:r>
      <w:r w:rsidR="00EB6A81" w:rsidRPr="00EB6A81">
        <w:t>“the difficulty of defining ‘witches’ and ‘witchcraft’ across cultures”</w:t>
      </w:r>
      <w:r w:rsidR="00966738">
        <w:t>,</w:t>
      </w:r>
      <w:r w:rsidR="00BF7AEB">
        <w:rPr>
          <w:rStyle w:val="FootnoteReference"/>
        </w:rPr>
        <w:footnoteReference w:id="9"/>
      </w:r>
      <w:r w:rsidR="00966738">
        <w:t xml:space="preserve"> which highlights</w:t>
      </w:r>
      <w:r w:rsidR="003355B8">
        <w:t xml:space="preserve"> a key need for a </w:t>
      </w:r>
      <w:r w:rsidR="003355B8" w:rsidRPr="003355B8">
        <w:t xml:space="preserve">normative framework or formal mechanism to conceptualize, record, monitor </w:t>
      </w:r>
      <w:r w:rsidR="00B25BEF">
        <w:t>and</w:t>
      </w:r>
      <w:r w:rsidR="003355B8" w:rsidRPr="003355B8">
        <w:t xml:space="preserve"> respond to human rights violations</w:t>
      </w:r>
      <w:r w:rsidR="00B25BEF">
        <w:t xml:space="preserve"> and harmful practices related to these issues</w:t>
      </w:r>
      <w:r w:rsidR="00704174">
        <w:t xml:space="preserve"> across countries and regions</w:t>
      </w:r>
      <w:r w:rsidR="003355B8" w:rsidRPr="003355B8">
        <w:t>.</w:t>
      </w:r>
      <w:r w:rsidR="003355B8" w:rsidRPr="003355B8">
        <w:rPr>
          <w:vertAlign w:val="superscript"/>
        </w:rPr>
        <w:footnoteReference w:id="10"/>
      </w:r>
    </w:p>
    <w:p w14:paraId="1610A9FC" w14:textId="77777777" w:rsidR="003C610B" w:rsidRPr="003C610B" w:rsidRDefault="003C610B" w:rsidP="003C610B">
      <w:pPr>
        <w:rPr>
          <w:b/>
          <w:bCs/>
          <w:sz w:val="26"/>
          <w:szCs w:val="26"/>
        </w:rPr>
      </w:pPr>
    </w:p>
    <w:p w14:paraId="6ABCAA75" w14:textId="77777777" w:rsidR="00CA19D7" w:rsidRDefault="00CA19D7" w:rsidP="00750FBD"/>
    <w:p w14:paraId="4E80FE92" w14:textId="77777777" w:rsidR="00CE47F4" w:rsidRDefault="00CE47F4" w:rsidP="00750FBD"/>
    <w:p w14:paraId="45B2F617" w14:textId="77777777" w:rsidR="00CE47F4" w:rsidRPr="007E4F17" w:rsidRDefault="00CE47F4" w:rsidP="00CE47F4">
      <w:pPr>
        <w:spacing w:after="120"/>
        <w:rPr>
          <w:rFonts w:ascii="Calibri Light" w:hAnsi="Calibri Light" w:cs="Calibri Light"/>
          <w:b/>
          <w:bCs/>
          <w:color w:val="470A68"/>
          <w:sz w:val="20"/>
          <w:szCs w:val="20"/>
        </w:rPr>
      </w:pPr>
      <w:r w:rsidRPr="007E4F17">
        <w:rPr>
          <w:rFonts w:ascii="Calibri Light" w:hAnsi="Calibri Light" w:cs="Calibri Light"/>
          <w:b/>
          <w:bCs/>
          <w:color w:val="470A68"/>
          <w:sz w:val="20"/>
          <w:szCs w:val="20"/>
        </w:rPr>
        <w:t>Penal Reform International briefing note</w:t>
      </w:r>
    </w:p>
    <w:p w14:paraId="7D979C08" w14:textId="77777777" w:rsidR="00CE47F4" w:rsidRPr="007E4F17" w:rsidRDefault="00CE47F4" w:rsidP="00CE47F4">
      <w:pPr>
        <w:rPr>
          <w:rFonts w:ascii="Calibri Light" w:hAnsi="Calibri Light" w:cs="Calibri Light"/>
          <w:color w:val="470A68"/>
          <w:sz w:val="20"/>
          <w:szCs w:val="20"/>
        </w:rPr>
      </w:pPr>
      <w:r w:rsidRPr="007E4F17">
        <w:rPr>
          <w:rFonts w:ascii="Calibri Light" w:hAnsi="Calibri Light" w:cs="Calibri Light"/>
          <w:color w:val="470A68"/>
          <w:sz w:val="20"/>
          <w:szCs w:val="20"/>
        </w:rPr>
        <w:t>Contact person at PRI:</w:t>
      </w:r>
    </w:p>
    <w:p w14:paraId="3A3FE165" w14:textId="77777777" w:rsidR="00B041DD" w:rsidRDefault="00B041DD" w:rsidP="00B041DD">
      <w:pPr>
        <w:rPr>
          <w:rFonts w:ascii="Calibri Light" w:hAnsi="Calibri Light" w:cs="Calibri Light"/>
          <w:sz w:val="20"/>
          <w:szCs w:val="20"/>
        </w:rPr>
      </w:pPr>
      <w:r>
        <w:rPr>
          <w:rFonts w:ascii="Calibri Light" w:hAnsi="Calibri Light" w:cs="Calibri Light"/>
          <w:sz w:val="20"/>
          <w:szCs w:val="20"/>
        </w:rPr>
        <w:t>Tríona Lenihan</w:t>
      </w:r>
    </w:p>
    <w:p w14:paraId="3FB6AB72" w14:textId="77777777" w:rsidR="00B041DD" w:rsidRDefault="00B041DD" w:rsidP="00B041DD">
      <w:pPr>
        <w:rPr>
          <w:rFonts w:ascii="Calibri Light" w:hAnsi="Calibri Light" w:cs="Calibri Light"/>
          <w:sz w:val="20"/>
          <w:szCs w:val="20"/>
        </w:rPr>
      </w:pPr>
      <w:r>
        <w:rPr>
          <w:rFonts w:ascii="Calibri Light" w:hAnsi="Calibri Light" w:cs="Calibri Light"/>
          <w:sz w:val="20"/>
          <w:szCs w:val="20"/>
        </w:rPr>
        <w:t>Policy and International Advocacy Manager</w:t>
      </w:r>
    </w:p>
    <w:p w14:paraId="5DDC0064" w14:textId="77777777" w:rsidR="00B041DD" w:rsidRDefault="00B041DD" w:rsidP="00B041DD">
      <w:pPr>
        <w:rPr>
          <w:rFonts w:ascii="Calibri Light" w:hAnsi="Calibri Light" w:cs="Calibri Light"/>
          <w:sz w:val="20"/>
          <w:szCs w:val="20"/>
        </w:rPr>
      </w:pPr>
      <w:r w:rsidRPr="00F45A5B">
        <w:rPr>
          <w:rFonts w:ascii="Calibri Light" w:hAnsi="Calibri Light" w:cs="Calibri Light"/>
          <w:sz w:val="20"/>
          <w:szCs w:val="20"/>
        </w:rPr>
        <w:t>tlenihan@penalreform.org</w:t>
      </w:r>
    </w:p>
    <w:p w14:paraId="5C0093FD" w14:textId="77777777" w:rsidR="00CE47F4" w:rsidRDefault="00CE47F4" w:rsidP="00CE47F4">
      <w:pPr>
        <w:rPr>
          <w:rFonts w:ascii="Calibri Light" w:hAnsi="Calibri Light" w:cs="Calibri Light"/>
          <w:color w:val="470A68"/>
          <w:sz w:val="20"/>
          <w:szCs w:val="20"/>
        </w:rPr>
      </w:pPr>
    </w:p>
    <w:p w14:paraId="1D3A262E" w14:textId="77777777" w:rsidR="00CE47F4" w:rsidRPr="00CE47F4" w:rsidRDefault="00CE47F4" w:rsidP="00750FBD">
      <w:pPr>
        <w:rPr>
          <w:rFonts w:ascii="Calibri Light" w:hAnsi="Calibri Light" w:cs="Calibri Light"/>
          <w:color w:val="470A68"/>
          <w:sz w:val="20"/>
          <w:szCs w:val="20"/>
        </w:rPr>
      </w:pPr>
      <w:r w:rsidRPr="007E4F17">
        <w:rPr>
          <w:rFonts w:ascii="Calibri Light" w:hAnsi="Calibri Light" w:cs="Calibri Light"/>
          <w:color w:val="470A68"/>
          <w:sz w:val="20"/>
          <w:szCs w:val="20"/>
        </w:rPr>
        <w:t>www.penalreform.org</w:t>
      </w:r>
    </w:p>
    <w:sectPr w:rsidR="00CE47F4" w:rsidRPr="00CE47F4" w:rsidSect="00750FBD">
      <w:headerReference w:type="even" r:id="rId19"/>
      <w:headerReference w:type="default" r:id="rId20"/>
      <w:footerReference w:type="even" r:id="rId21"/>
      <w:footerReference w:type="default" r:id="rId22"/>
      <w:headerReference w:type="first" r:id="rId23"/>
      <w:footerReference w:type="first" r:id="rId24"/>
      <w:type w:val="continuous"/>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AD45" w14:textId="77777777" w:rsidR="00B14C07" w:rsidRDefault="00B14C07" w:rsidP="00750FBD">
      <w:r>
        <w:separator/>
      </w:r>
    </w:p>
  </w:endnote>
  <w:endnote w:type="continuationSeparator" w:id="0">
    <w:p w14:paraId="5CC2CC86" w14:textId="77777777" w:rsidR="00B14C07" w:rsidRDefault="00B14C07" w:rsidP="00750FBD">
      <w:r>
        <w:continuationSeparator/>
      </w:r>
    </w:p>
  </w:endnote>
  <w:endnote w:type="continuationNotice" w:id="1">
    <w:p w14:paraId="356925ED" w14:textId="77777777" w:rsidR="00B14C07" w:rsidRDefault="00B14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D1EC" w14:textId="77777777" w:rsidR="001579BF" w:rsidRDefault="00157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DA47" w14:textId="77777777" w:rsidR="00082F29" w:rsidRPr="003363CA" w:rsidRDefault="00082F29" w:rsidP="003363CA">
    <w:pPr>
      <w:pStyle w:val="Footer"/>
      <w:jc w:val="center"/>
      <w:rPr>
        <w:rFonts w:ascii="Calibri Light" w:hAnsi="Calibri Light" w:cs="Calibri Light"/>
        <w:sz w:val="16"/>
        <w:szCs w:val="16"/>
      </w:rPr>
    </w:pPr>
  </w:p>
  <w:p w14:paraId="149ADA92" w14:textId="77777777" w:rsidR="00082F29" w:rsidRPr="003363CA" w:rsidRDefault="00082F29" w:rsidP="003363CA">
    <w:pPr>
      <w:pStyle w:val="Footer"/>
      <w:spacing w:after="120"/>
      <w:jc w:val="center"/>
      <w:rPr>
        <w:rFonts w:ascii="Calibri Light" w:hAnsi="Calibri Light" w:cs="Calibri Light"/>
        <w:sz w:val="16"/>
        <w:szCs w:val="16"/>
      </w:rPr>
    </w:pPr>
    <w:r w:rsidRPr="003363CA">
      <w:rPr>
        <w:rFonts w:ascii="Calibri Light" w:hAnsi="Calibri Light" w:cs="Calibri Light"/>
        <w:sz w:val="16"/>
        <w:szCs w:val="16"/>
      </w:rPr>
      <w:t xml:space="preserve">Page </w:t>
    </w:r>
    <w:r w:rsidRPr="003363CA">
      <w:rPr>
        <w:rFonts w:ascii="Calibri Light" w:hAnsi="Calibri Light" w:cs="Calibri Light"/>
        <w:sz w:val="16"/>
        <w:szCs w:val="16"/>
      </w:rPr>
      <w:fldChar w:fldCharType="begin"/>
    </w:r>
    <w:r w:rsidRPr="003363CA">
      <w:rPr>
        <w:rFonts w:ascii="Calibri Light" w:hAnsi="Calibri Light" w:cs="Calibri Light"/>
        <w:sz w:val="16"/>
        <w:szCs w:val="16"/>
      </w:rPr>
      <w:instrText xml:space="preserve"> PAGE </w:instrText>
    </w:r>
    <w:r w:rsidRPr="003363CA">
      <w:rPr>
        <w:rFonts w:ascii="Calibri Light" w:hAnsi="Calibri Light" w:cs="Calibri Light"/>
        <w:sz w:val="16"/>
        <w:szCs w:val="16"/>
      </w:rPr>
      <w:fldChar w:fldCharType="separate"/>
    </w:r>
    <w:r w:rsidRPr="003363CA">
      <w:rPr>
        <w:rFonts w:ascii="Calibri Light" w:hAnsi="Calibri Light" w:cs="Calibri Light"/>
        <w:sz w:val="16"/>
        <w:szCs w:val="16"/>
      </w:rPr>
      <w:t>2</w:t>
    </w:r>
    <w:r w:rsidRPr="003363CA">
      <w:rPr>
        <w:rFonts w:ascii="Calibri Light" w:hAnsi="Calibri Light" w:cs="Calibri Light"/>
        <w:sz w:val="16"/>
        <w:szCs w:val="16"/>
      </w:rPr>
      <w:fldChar w:fldCharType="end"/>
    </w:r>
    <w:r w:rsidRPr="003363CA">
      <w:rPr>
        <w:rFonts w:ascii="Calibri Light" w:hAnsi="Calibri Light" w:cs="Calibri Light"/>
        <w:sz w:val="16"/>
        <w:szCs w:val="16"/>
      </w:rPr>
      <w:t xml:space="preserve"> of </w:t>
    </w:r>
    <w:r w:rsidRPr="003363CA">
      <w:rPr>
        <w:rFonts w:ascii="Calibri Light" w:hAnsi="Calibri Light" w:cs="Calibri Light"/>
        <w:sz w:val="16"/>
        <w:szCs w:val="16"/>
      </w:rPr>
      <w:fldChar w:fldCharType="begin"/>
    </w:r>
    <w:r w:rsidRPr="003363CA">
      <w:rPr>
        <w:rFonts w:ascii="Calibri Light" w:hAnsi="Calibri Light" w:cs="Calibri Light"/>
        <w:sz w:val="16"/>
        <w:szCs w:val="16"/>
      </w:rPr>
      <w:instrText xml:space="preserve"> NUMPAGES </w:instrText>
    </w:r>
    <w:r w:rsidRPr="003363CA">
      <w:rPr>
        <w:rFonts w:ascii="Calibri Light" w:hAnsi="Calibri Light" w:cs="Calibri Light"/>
        <w:sz w:val="16"/>
        <w:szCs w:val="16"/>
      </w:rPr>
      <w:fldChar w:fldCharType="separate"/>
    </w:r>
    <w:r w:rsidRPr="003363CA">
      <w:rPr>
        <w:rFonts w:ascii="Calibri Light" w:hAnsi="Calibri Light" w:cs="Calibri Light"/>
        <w:sz w:val="16"/>
        <w:szCs w:val="16"/>
      </w:rPr>
      <w:t>2</w:t>
    </w:r>
    <w:r w:rsidRPr="003363CA">
      <w:rPr>
        <w:rFonts w:ascii="Calibri Light" w:hAnsi="Calibri Light" w:cs="Calibri Light"/>
        <w:sz w:val="16"/>
        <w:szCs w:val="16"/>
      </w:rPr>
      <w:fldChar w:fldCharType="end"/>
    </w:r>
  </w:p>
  <w:p w14:paraId="13BFC16C" w14:textId="77777777" w:rsidR="00082F29" w:rsidRPr="003363CA" w:rsidRDefault="00082F29" w:rsidP="003363CA">
    <w:pPr>
      <w:pStyle w:val="Footer"/>
      <w:jc w:val="center"/>
      <w:rPr>
        <w:rFonts w:ascii="Calibri Light" w:hAnsi="Calibri Light" w:cs="Calibri Light"/>
        <w:color w:val="470A68"/>
        <w:sz w:val="16"/>
        <w:szCs w:val="16"/>
      </w:rPr>
    </w:pPr>
    <w:r w:rsidRPr="003363CA">
      <w:rPr>
        <w:rFonts w:ascii="Calibri Light" w:hAnsi="Calibri Light" w:cs="Calibri Light"/>
        <w:color w:val="470A68"/>
        <w:sz w:val="16"/>
        <w:szCs w:val="16"/>
      </w:rPr>
      <w:t>www.penalreform.org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0A01" w14:textId="77777777" w:rsidR="00082F29" w:rsidRPr="003363CA" w:rsidRDefault="00082F29" w:rsidP="003363CA">
    <w:pPr>
      <w:pStyle w:val="Footer"/>
      <w:jc w:val="center"/>
      <w:rPr>
        <w:rFonts w:ascii="Calibri Light" w:hAnsi="Calibri Light" w:cs="Calibri Light"/>
        <w:sz w:val="16"/>
        <w:szCs w:val="16"/>
      </w:rPr>
    </w:pPr>
  </w:p>
  <w:p w14:paraId="1224A7E6" w14:textId="77777777" w:rsidR="00082F29" w:rsidRPr="003363CA" w:rsidRDefault="00082F29" w:rsidP="003363CA">
    <w:pPr>
      <w:pStyle w:val="Footer"/>
      <w:spacing w:after="120"/>
      <w:jc w:val="center"/>
      <w:rPr>
        <w:rFonts w:ascii="Calibri Light" w:hAnsi="Calibri Light" w:cs="Calibri Light"/>
        <w:sz w:val="16"/>
        <w:szCs w:val="16"/>
        <w:lang w:val="en-US"/>
      </w:rPr>
    </w:pPr>
    <w:r w:rsidRPr="003363CA">
      <w:rPr>
        <w:rFonts w:ascii="Calibri Light" w:hAnsi="Calibri Light" w:cs="Calibri Light"/>
        <w:sz w:val="16"/>
        <w:szCs w:val="16"/>
        <w:lang w:val="en-US"/>
      </w:rPr>
      <w:t>PRI is a non-profit association, registered in the Netherlands (Registration no 40025979)</w:t>
    </w:r>
  </w:p>
  <w:p w14:paraId="2349ECBC" w14:textId="77777777" w:rsidR="00082F29" w:rsidRPr="003363CA" w:rsidRDefault="00082F29" w:rsidP="003363CA">
    <w:pPr>
      <w:pStyle w:val="Footer"/>
      <w:jc w:val="center"/>
      <w:rPr>
        <w:rFonts w:ascii="Calibri Light" w:hAnsi="Calibri Light" w:cs="Calibri Light"/>
        <w:color w:val="470A68"/>
        <w:sz w:val="16"/>
        <w:szCs w:val="16"/>
      </w:rPr>
    </w:pPr>
    <w:r w:rsidRPr="003363CA">
      <w:rPr>
        <w:rFonts w:ascii="Calibri Light" w:hAnsi="Calibri Light" w:cs="Calibri Light"/>
        <w:color w:val="470A68"/>
        <w:sz w:val="16"/>
        <w:szCs w:val="16"/>
      </w:rPr>
      <w:t>www.penalreform.org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9A5D" w14:textId="77777777" w:rsidR="00CA19D7" w:rsidRDefault="00CA19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573F" w14:textId="77777777" w:rsidR="00CA19D7" w:rsidRPr="003363CA" w:rsidRDefault="00CA19D7" w:rsidP="003363CA">
    <w:pPr>
      <w:pStyle w:val="Footer"/>
      <w:jc w:val="center"/>
      <w:rPr>
        <w:rFonts w:ascii="Calibri Light" w:hAnsi="Calibri Light" w:cs="Calibri Light"/>
        <w:sz w:val="16"/>
        <w:szCs w:val="16"/>
      </w:rPr>
    </w:pPr>
  </w:p>
  <w:p w14:paraId="603FFDB3" w14:textId="77777777" w:rsidR="00CA19D7" w:rsidRPr="003363CA" w:rsidRDefault="00CA19D7" w:rsidP="003363CA">
    <w:pPr>
      <w:pStyle w:val="Footer"/>
      <w:spacing w:after="120"/>
      <w:jc w:val="center"/>
      <w:rPr>
        <w:rFonts w:ascii="Calibri Light" w:hAnsi="Calibri Light" w:cs="Calibri Light"/>
        <w:sz w:val="16"/>
        <w:szCs w:val="16"/>
      </w:rPr>
    </w:pPr>
    <w:r w:rsidRPr="003363CA">
      <w:rPr>
        <w:rFonts w:ascii="Calibri Light" w:hAnsi="Calibri Light" w:cs="Calibri Light"/>
        <w:sz w:val="16"/>
        <w:szCs w:val="16"/>
      </w:rPr>
      <w:t xml:space="preserve">Page </w:t>
    </w:r>
    <w:r w:rsidRPr="003363CA">
      <w:rPr>
        <w:rFonts w:ascii="Calibri Light" w:hAnsi="Calibri Light" w:cs="Calibri Light"/>
        <w:sz w:val="16"/>
        <w:szCs w:val="16"/>
      </w:rPr>
      <w:fldChar w:fldCharType="begin"/>
    </w:r>
    <w:r w:rsidRPr="003363CA">
      <w:rPr>
        <w:rFonts w:ascii="Calibri Light" w:hAnsi="Calibri Light" w:cs="Calibri Light"/>
        <w:sz w:val="16"/>
        <w:szCs w:val="16"/>
      </w:rPr>
      <w:instrText xml:space="preserve"> PAGE </w:instrText>
    </w:r>
    <w:r w:rsidRPr="003363CA">
      <w:rPr>
        <w:rFonts w:ascii="Calibri Light" w:hAnsi="Calibri Light" w:cs="Calibri Light"/>
        <w:sz w:val="16"/>
        <w:szCs w:val="16"/>
      </w:rPr>
      <w:fldChar w:fldCharType="separate"/>
    </w:r>
    <w:r w:rsidRPr="003363CA">
      <w:rPr>
        <w:rFonts w:ascii="Calibri Light" w:hAnsi="Calibri Light" w:cs="Calibri Light"/>
        <w:sz w:val="16"/>
        <w:szCs w:val="16"/>
      </w:rPr>
      <w:t>2</w:t>
    </w:r>
    <w:r w:rsidRPr="003363CA">
      <w:rPr>
        <w:rFonts w:ascii="Calibri Light" w:hAnsi="Calibri Light" w:cs="Calibri Light"/>
        <w:sz w:val="16"/>
        <w:szCs w:val="16"/>
      </w:rPr>
      <w:fldChar w:fldCharType="end"/>
    </w:r>
    <w:r w:rsidRPr="003363CA">
      <w:rPr>
        <w:rFonts w:ascii="Calibri Light" w:hAnsi="Calibri Light" w:cs="Calibri Light"/>
        <w:sz w:val="16"/>
        <w:szCs w:val="16"/>
      </w:rPr>
      <w:t xml:space="preserve"> of </w:t>
    </w:r>
    <w:r w:rsidRPr="003363CA">
      <w:rPr>
        <w:rFonts w:ascii="Calibri Light" w:hAnsi="Calibri Light" w:cs="Calibri Light"/>
        <w:sz w:val="16"/>
        <w:szCs w:val="16"/>
      </w:rPr>
      <w:fldChar w:fldCharType="begin"/>
    </w:r>
    <w:r w:rsidRPr="003363CA">
      <w:rPr>
        <w:rFonts w:ascii="Calibri Light" w:hAnsi="Calibri Light" w:cs="Calibri Light"/>
        <w:sz w:val="16"/>
        <w:szCs w:val="16"/>
      </w:rPr>
      <w:instrText xml:space="preserve"> NUMPAGES </w:instrText>
    </w:r>
    <w:r w:rsidRPr="003363CA">
      <w:rPr>
        <w:rFonts w:ascii="Calibri Light" w:hAnsi="Calibri Light" w:cs="Calibri Light"/>
        <w:sz w:val="16"/>
        <w:szCs w:val="16"/>
      </w:rPr>
      <w:fldChar w:fldCharType="separate"/>
    </w:r>
    <w:r w:rsidRPr="003363CA">
      <w:rPr>
        <w:rFonts w:ascii="Calibri Light" w:hAnsi="Calibri Light" w:cs="Calibri Light"/>
        <w:sz w:val="16"/>
        <w:szCs w:val="16"/>
      </w:rPr>
      <w:t>2</w:t>
    </w:r>
    <w:r w:rsidRPr="003363CA">
      <w:rPr>
        <w:rFonts w:ascii="Calibri Light" w:hAnsi="Calibri Light" w:cs="Calibri Light"/>
        <w:sz w:val="16"/>
        <w:szCs w:val="16"/>
      </w:rPr>
      <w:fldChar w:fldCharType="end"/>
    </w:r>
  </w:p>
  <w:p w14:paraId="11F4B8DC" w14:textId="77777777" w:rsidR="00CA19D7" w:rsidRPr="003363CA" w:rsidRDefault="00CA19D7" w:rsidP="003363CA">
    <w:pPr>
      <w:pStyle w:val="Footer"/>
      <w:jc w:val="center"/>
      <w:rPr>
        <w:rFonts w:ascii="Calibri Light" w:hAnsi="Calibri Light" w:cs="Calibri Light"/>
        <w:color w:val="470A68"/>
        <w:sz w:val="16"/>
        <w:szCs w:val="16"/>
      </w:rPr>
    </w:pPr>
    <w:r w:rsidRPr="003363CA">
      <w:rPr>
        <w:rFonts w:ascii="Calibri Light" w:hAnsi="Calibri Light" w:cs="Calibri Light"/>
        <w:color w:val="470A68"/>
        <w:sz w:val="16"/>
        <w:szCs w:val="16"/>
      </w:rPr>
      <w:t>www.penalreform.org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ED25" w14:textId="77777777" w:rsidR="00CA19D7" w:rsidRPr="003363CA" w:rsidRDefault="00CA19D7" w:rsidP="003363CA">
    <w:pPr>
      <w:pStyle w:val="Footer"/>
      <w:jc w:val="center"/>
      <w:rPr>
        <w:rFonts w:ascii="Calibri Light" w:hAnsi="Calibri Light" w:cs="Calibri Light"/>
        <w:sz w:val="16"/>
        <w:szCs w:val="16"/>
      </w:rPr>
    </w:pPr>
  </w:p>
  <w:p w14:paraId="78245F1B" w14:textId="77777777" w:rsidR="00CA19D7" w:rsidRPr="003363CA" w:rsidRDefault="00CA19D7" w:rsidP="003363CA">
    <w:pPr>
      <w:pStyle w:val="Footer"/>
      <w:spacing w:after="120"/>
      <w:jc w:val="center"/>
      <w:rPr>
        <w:rFonts w:ascii="Calibri Light" w:hAnsi="Calibri Light" w:cs="Calibri Light"/>
        <w:sz w:val="16"/>
        <w:szCs w:val="16"/>
        <w:lang w:val="en-US"/>
      </w:rPr>
    </w:pPr>
    <w:r w:rsidRPr="003363CA">
      <w:rPr>
        <w:rFonts w:ascii="Calibri Light" w:hAnsi="Calibri Light" w:cs="Calibri Light"/>
        <w:sz w:val="16"/>
        <w:szCs w:val="16"/>
        <w:lang w:val="en-US"/>
      </w:rPr>
      <w:t>PRI is a non-profit association, registered in the Netherlands (Registration no 40025979)</w:t>
    </w:r>
  </w:p>
  <w:p w14:paraId="266197A1" w14:textId="77777777" w:rsidR="00CA19D7" w:rsidRPr="003363CA" w:rsidRDefault="00CA19D7" w:rsidP="003363CA">
    <w:pPr>
      <w:pStyle w:val="Footer"/>
      <w:jc w:val="center"/>
      <w:rPr>
        <w:rFonts w:ascii="Calibri Light" w:hAnsi="Calibri Light" w:cs="Calibri Light"/>
        <w:color w:val="470A68"/>
        <w:sz w:val="16"/>
        <w:szCs w:val="16"/>
      </w:rPr>
    </w:pPr>
    <w:r w:rsidRPr="003363CA">
      <w:rPr>
        <w:rFonts w:ascii="Calibri Light" w:hAnsi="Calibri Light" w:cs="Calibri Light"/>
        <w:color w:val="470A68"/>
        <w:sz w:val="16"/>
        <w:szCs w:val="16"/>
      </w:rPr>
      <w:t>www.penalreform.org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27AB" w14:textId="77777777" w:rsidR="00B14C07" w:rsidRDefault="00B14C07" w:rsidP="00750FBD">
      <w:r>
        <w:separator/>
      </w:r>
    </w:p>
  </w:footnote>
  <w:footnote w:type="continuationSeparator" w:id="0">
    <w:p w14:paraId="2821D236" w14:textId="77777777" w:rsidR="00B14C07" w:rsidRDefault="00B14C07" w:rsidP="00750FBD">
      <w:r>
        <w:continuationSeparator/>
      </w:r>
    </w:p>
  </w:footnote>
  <w:footnote w:type="continuationNotice" w:id="1">
    <w:p w14:paraId="353A7323" w14:textId="77777777" w:rsidR="00B14C07" w:rsidRDefault="00B14C07"/>
  </w:footnote>
  <w:footnote w:id="2">
    <w:p w14:paraId="0D295773" w14:textId="5DC30342" w:rsidR="0093797F" w:rsidRPr="00C35F83" w:rsidRDefault="0093797F" w:rsidP="00F60EE1">
      <w:pPr>
        <w:pStyle w:val="FootnoteText"/>
        <w:jc w:val="left"/>
      </w:pPr>
      <w:r>
        <w:rPr>
          <w:rStyle w:val="FootnoteReference"/>
        </w:rPr>
        <w:footnoteRef/>
      </w:r>
      <w:r>
        <w:t xml:space="preserve"> </w:t>
      </w:r>
      <w:r w:rsidR="00AE176B">
        <w:t>PRI</w:t>
      </w:r>
      <w:r w:rsidR="00C35F83" w:rsidRPr="00C35F83">
        <w:t xml:space="preserve">, </w:t>
      </w:r>
      <w:r w:rsidR="00C35F83" w:rsidRPr="00C35F83">
        <w:rPr>
          <w:i/>
          <w:iCs/>
        </w:rPr>
        <w:t>Global Prison Trends 2021</w:t>
      </w:r>
      <w:r w:rsidR="00C35F83" w:rsidRPr="00C35F83">
        <w:t xml:space="preserve">, </w:t>
      </w:r>
      <w:hyperlink r:id="rId1" w:history="1">
        <w:r w:rsidR="000D4D49" w:rsidRPr="00AE5902">
          <w:rPr>
            <w:rStyle w:val="Hyperlink"/>
          </w:rPr>
          <w:t>https://www.penalreform.org/global-prison-trends-2021/</w:t>
        </w:r>
      </w:hyperlink>
      <w:r w:rsidR="00C35F83" w:rsidRPr="00C35F83">
        <w:t>.</w:t>
      </w:r>
      <w:r w:rsidR="000D4D49">
        <w:t xml:space="preserve"> </w:t>
      </w:r>
      <w:r w:rsidR="00C35F83" w:rsidRPr="00C35F83">
        <w:t xml:space="preserve"> </w:t>
      </w:r>
    </w:p>
  </w:footnote>
  <w:footnote w:id="3">
    <w:p w14:paraId="1F32F352" w14:textId="5CFABDA2" w:rsidR="00255124" w:rsidRDefault="00255124" w:rsidP="00F60EE1">
      <w:pPr>
        <w:pStyle w:val="FootnoteText"/>
        <w:jc w:val="left"/>
      </w:pPr>
      <w:r>
        <w:rPr>
          <w:rStyle w:val="FootnoteReference"/>
        </w:rPr>
        <w:footnoteRef/>
      </w:r>
      <w:r>
        <w:t xml:space="preserve"> </w:t>
      </w:r>
      <w:bookmarkStart w:id="0" w:name="_Hlk26802071"/>
      <w:r>
        <w:t xml:space="preserve">ActionAid, </w:t>
      </w:r>
      <w:r w:rsidRPr="00F60EE1">
        <w:rPr>
          <w:i/>
          <w:iCs/>
        </w:rPr>
        <w:t>Condemned without trial: women and witchcraft in Ghana</w:t>
      </w:r>
      <w:bookmarkEnd w:id="0"/>
      <w:r w:rsidR="000D4D49">
        <w:t xml:space="preserve">, </w:t>
      </w:r>
      <w:hyperlink r:id="rId2" w:history="1">
        <w:r w:rsidR="000A5270" w:rsidRPr="00AE5902">
          <w:rPr>
            <w:rStyle w:val="Hyperlink"/>
          </w:rPr>
          <w:t>https://www.actionaid.org.uk/sites/default/files/doc_lib/ghana_report_single_pages.pdf</w:t>
        </w:r>
      </w:hyperlink>
      <w:r w:rsidR="000D4D49">
        <w:t xml:space="preserve">. </w:t>
      </w:r>
    </w:p>
  </w:footnote>
  <w:footnote w:id="4">
    <w:p w14:paraId="6E2243DA" w14:textId="34C63B7A" w:rsidR="00C21267" w:rsidRDefault="00C21267" w:rsidP="00F60EE1">
      <w:pPr>
        <w:pStyle w:val="FootnoteText"/>
        <w:jc w:val="left"/>
      </w:pPr>
      <w:r>
        <w:rPr>
          <w:rStyle w:val="FootnoteReference"/>
        </w:rPr>
        <w:footnoteRef/>
      </w:r>
      <w:r>
        <w:t xml:space="preserve"> </w:t>
      </w:r>
      <w:r w:rsidR="003B0EC4" w:rsidRPr="002D474B">
        <w:t xml:space="preserve">Help Age International, </w:t>
      </w:r>
      <w:r w:rsidR="003B0EC4" w:rsidRPr="0020217F">
        <w:rPr>
          <w:i/>
          <w:iCs/>
        </w:rPr>
        <w:t>Using the law to tackle accusations of witchcraft: HelpAge International’s position</w:t>
      </w:r>
      <w:r w:rsidR="003B0EC4" w:rsidRPr="0020217F">
        <w:t>, 2011.</w:t>
      </w:r>
    </w:p>
  </w:footnote>
  <w:footnote w:id="5">
    <w:p w14:paraId="30B3C23C" w14:textId="24164191" w:rsidR="00755FCC" w:rsidRDefault="00755FCC" w:rsidP="00F60EE1">
      <w:pPr>
        <w:pStyle w:val="FootnoteText"/>
        <w:jc w:val="left"/>
      </w:pPr>
      <w:r>
        <w:rPr>
          <w:rStyle w:val="FootnoteReference"/>
        </w:rPr>
        <w:footnoteRef/>
      </w:r>
      <w:r>
        <w:t xml:space="preserve"> </w:t>
      </w:r>
      <w:r w:rsidR="003B0EC4">
        <w:t>Ibid</w:t>
      </w:r>
      <w:r w:rsidR="0020217F" w:rsidRPr="0020217F">
        <w:t>.</w:t>
      </w:r>
      <w:r w:rsidR="0020217F">
        <w:rPr>
          <w:rStyle w:val="Hyperlink"/>
          <w:b/>
          <w:bCs/>
          <w:i/>
          <w:iCs/>
        </w:rPr>
        <w:t xml:space="preserve"> </w:t>
      </w:r>
    </w:p>
  </w:footnote>
  <w:footnote w:id="6">
    <w:p w14:paraId="7B2F35D6" w14:textId="77777777" w:rsidR="00755FCC" w:rsidRDefault="00755FCC" w:rsidP="00F60EE1">
      <w:pPr>
        <w:pStyle w:val="FootnoteText"/>
        <w:jc w:val="left"/>
      </w:pPr>
      <w:r>
        <w:rPr>
          <w:rStyle w:val="FootnoteReference"/>
        </w:rPr>
        <w:footnoteRef/>
      </w:r>
      <w:r>
        <w:t xml:space="preserve"> Ibid.</w:t>
      </w:r>
    </w:p>
  </w:footnote>
  <w:footnote w:id="7">
    <w:p w14:paraId="1AD5049B" w14:textId="69F66F21" w:rsidR="00913925" w:rsidRPr="00F60EE1" w:rsidRDefault="00913925" w:rsidP="00F60EE1">
      <w:pPr>
        <w:pStyle w:val="FootnoteText"/>
        <w:jc w:val="left"/>
        <w:rPr>
          <w:lang w:val="en-US"/>
        </w:rPr>
      </w:pPr>
      <w:r>
        <w:rPr>
          <w:rStyle w:val="FootnoteReference"/>
        </w:rPr>
        <w:footnoteRef/>
      </w:r>
      <w:r>
        <w:t xml:space="preserve"> </w:t>
      </w:r>
      <w:r w:rsidR="0069652F">
        <w:rPr>
          <w:lang w:val="en-US"/>
        </w:rPr>
        <w:t>PRI</w:t>
      </w:r>
      <w:r w:rsidR="00464E18">
        <w:rPr>
          <w:lang w:val="en-US"/>
        </w:rPr>
        <w:t xml:space="preserve">, </w:t>
      </w:r>
      <w:r w:rsidR="00464E18" w:rsidRPr="0069652F">
        <w:rPr>
          <w:i/>
          <w:iCs/>
          <w:lang w:val="en-US"/>
        </w:rPr>
        <w:t>Global Prison Trends 2021</w:t>
      </w:r>
      <w:r w:rsidR="00464E18">
        <w:rPr>
          <w:lang w:val="en-US"/>
        </w:rPr>
        <w:t>, p.</w:t>
      </w:r>
      <w:r w:rsidR="00BF72A4">
        <w:rPr>
          <w:lang w:val="en-US"/>
        </w:rPr>
        <w:t xml:space="preserve">11, </w:t>
      </w:r>
      <w:hyperlink r:id="rId3" w:history="1">
        <w:r w:rsidR="00BF72A4" w:rsidRPr="00AE5902">
          <w:rPr>
            <w:rStyle w:val="Hyperlink"/>
            <w:lang w:val="en-US"/>
          </w:rPr>
          <w:t>https://www.penalreform.org/global-prison-trends-2021/</w:t>
        </w:r>
      </w:hyperlink>
      <w:r w:rsidR="00BF72A4">
        <w:rPr>
          <w:lang w:val="en-US"/>
        </w:rPr>
        <w:t xml:space="preserve">. </w:t>
      </w:r>
    </w:p>
  </w:footnote>
  <w:footnote w:id="8">
    <w:p w14:paraId="093AC1F7" w14:textId="52E0A5DB" w:rsidR="00DB32E6" w:rsidRDefault="00DB32E6" w:rsidP="00F60EE1">
      <w:pPr>
        <w:pStyle w:val="FootnoteText"/>
        <w:jc w:val="left"/>
      </w:pPr>
      <w:r>
        <w:rPr>
          <w:rStyle w:val="FootnoteReference"/>
        </w:rPr>
        <w:footnoteRef/>
      </w:r>
      <w:r>
        <w:t xml:space="preserve"> </w:t>
      </w:r>
      <w:r w:rsidR="00E44151" w:rsidRPr="0069652F">
        <w:rPr>
          <w:i/>
          <w:iCs/>
        </w:rPr>
        <w:t>Report of the Independent Expert on the enjoyment of human rights by persons with albinism on the expert workshop on witchcraft and human rights</w:t>
      </w:r>
      <w:r w:rsidR="00E44151">
        <w:t xml:space="preserve">, </w:t>
      </w:r>
      <w:r w:rsidR="0083678C">
        <w:t xml:space="preserve">23 January </w:t>
      </w:r>
      <w:r w:rsidR="00E44151">
        <w:t xml:space="preserve">2018, </w:t>
      </w:r>
      <w:r w:rsidR="0020217F">
        <w:t xml:space="preserve">A/HRC/37/57/Add.2, </w:t>
      </w:r>
      <w:hyperlink r:id="rId4" w:history="1">
        <w:r w:rsidR="0083678C" w:rsidRPr="00AE5902">
          <w:rPr>
            <w:rStyle w:val="Hyperlink"/>
          </w:rPr>
          <w:t>https://undocs.org/Home/Mobile?FinalSymbol=A%2FHRC%2F37%2F57%2FAdd.2&amp;Language=E&amp;DeviceType=Desktop&amp;LangRequested=False</w:t>
        </w:r>
      </w:hyperlink>
      <w:r w:rsidR="0083678C">
        <w:t xml:space="preserve">. </w:t>
      </w:r>
    </w:p>
  </w:footnote>
  <w:footnote w:id="9">
    <w:p w14:paraId="78F68A2A" w14:textId="03AD80BF" w:rsidR="00BF7AEB" w:rsidRDefault="00BF7AEB" w:rsidP="00F60EE1">
      <w:pPr>
        <w:pStyle w:val="FootnoteText"/>
        <w:jc w:val="left"/>
      </w:pPr>
      <w:r>
        <w:rPr>
          <w:rStyle w:val="FootnoteReference"/>
        </w:rPr>
        <w:footnoteRef/>
      </w:r>
      <w:r>
        <w:t xml:space="preserve"> </w:t>
      </w:r>
      <w:r w:rsidR="00AC143B">
        <w:t>Ibid.</w:t>
      </w:r>
    </w:p>
  </w:footnote>
  <w:footnote w:id="10">
    <w:p w14:paraId="067BE9D7" w14:textId="4DD6D803" w:rsidR="003355B8" w:rsidRDefault="003355B8" w:rsidP="00F60EE1">
      <w:pPr>
        <w:pStyle w:val="FootnoteText"/>
        <w:jc w:val="left"/>
      </w:pPr>
      <w:r>
        <w:rPr>
          <w:rStyle w:val="FootnoteReference"/>
        </w:rPr>
        <w:footnoteRef/>
      </w:r>
      <w:r>
        <w:t xml:space="preserve"> </w:t>
      </w:r>
      <w:r w:rsidRPr="008E742F">
        <w:t>Witchcraft and Human Rights Information Network (WHRIN)</w:t>
      </w:r>
      <w:r>
        <w:t>,</w:t>
      </w:r>
      <w:r w:rsidRPr="00F354DA">
        <w:rPr>
          <w:sz w:val="22"/>
          <w:szCs w:val="22"/>
        </w:rPr>
        <w:t xml:space="preserve"> </w:t>
      </w:r>
      <w:r w:rsidRPr="0069652F">
        <w:rPr>
          <w:i/>
          <w:iCs/>
        </w:rPr>
        <w:t>Witchcraft Accusations and Persecution; Muti Murders and Human Sacrifice: Harmful Beliefs and Practices Behind a Global Crisis in Human Rights</w:t>
      </w:r>
      <w:r>
        <w:t xml:space="preserve"> </w:t>
      </w:r>
      <w:hyperlink r:id="rId5" w:history="1">
        <w:r w:rsidRPr="00B72E9E">
          <w:rPr>
            <w:rStyle w:val="Hyperlink"/>
          </w:rPr>
          <w:t>http://www.whrin.org/wp-content/uploads/2017/10/2017-UNREPORT-final.pdf</w:t>
        </w:r>
      </w:hyperlink>
      <w:r w:rsidR="000A5270">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7B94" w14:textId="77777777" w:rsidR="001579BF" w:rsidRDefault="00157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7487" w14:textId="77777777" w:rsidR="001579BF" w:rsidRDefault="00157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BDF3" w14:textId="77777777" w:rsidR="00082F29" w:rsidRDefault="00140ABC" w:rsidP="00750FBD">
    <w:pPr>
      <w:pStyle w:val="Header"/>
    </w:pPr>
    <w:r>
      <w:rPr>
        <w:noProof/>
      </w:rPr>
      <mc:AlternateContent>
        <mc:Choice Requires="wps">
          <w:drawing>
            <wp:anchor distT="0" distB="0" distL="114300" distR="114300" simplePos="0" relativeHeight="251653120" behindDoc="1" locked="0" layoutInCell="1" allowOverlap="1" wp14:anchorId="65BF9731" wp14:editId="02182C1D">
              <wp:simplePos x="0" y="0"/>
              <wp:positionH relativeFrom="column">
                <wp:posOffset>-1224430</wp:posOffset>
              </wp:positionH>
              <wp:positionV relativeFrom="paragraph">
                <wp:posOffset>-673415</wp:posOffset>
              </wp:positionV>
              <wp:extent cx="8048625" cy="2793600"/>
              <wp:effectExtent l="0" t="0" r="3175" b="635"/>
              <wp:wrapNone/>
              <wp:docPr id="1" name="Rectangle 1"/>
              <wp:cNvGraphicFramePr/>
              <a:graphic xmlns:a="http://schemas.openxmlformats.org/drawingml/2006/main">
                <a:graphicData uri="http://schemas.microsoft.com/office/word/2010/wordprocessingShape">
                  <wps:wsp>
                    <wps:cNvSpPr/>
                    <wps:spPr>
                      <a:xfrm>
                        <a:off x="0" y="0"/>
                        <a:ext cx="8048625" cy="2793600"/>
                      </a:xfrm>
                      <a:prstGeom prst="rect">
                        <a:avLst/>
                      </a:prstGeom>
                      <a:solidFill>
                        <a:srgbClr val="470A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67BCE" id="Rectangle 1" o:spid="_x0000_s1026" style="position:absolute;margin-left:-96.4pt;margin-top:-53pt;width:633.75pt;height:2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" fillcolor="#470a68" stroked="f" strokeweight="1pt"/>
          </w:pict>
        </mc:Fallback>
      </mc:AlternateContent>
    </w:r>
    <w:r w:rsidR="001579BF" w:rsidRPr="001579BF">
      <w:rPr>
        <w:noProof/>
      </w:rPr>
      <w:drawing>
        <wp:anchor distT="0" distB="0" distL="114300" distR="114300" simplePos="0" relativeHeight="251663360" behindDoc="0" locked="1" layoutInCell="1" allowOverlap="1" wp14:anchorId="74610AEE" wp14:editId="49ED47B8">
          <wp:simplePos x="0" y="0"/>
          <wp:positionH relativeFrom="page">
            <wp:posOffset>540385</wp:posOffset>
          </wp:positionH>
          <wp:positionV relativeFrom="page">
            <wp:posOffset>540385</wp:posOffset>
          </wp:positionV>
          <wp:extent cx="1440000" cy="14400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7A89EE63" w14:textId="77777777" w:rsidR="00980892" w:rsidRDefault="00140ABC" w:rsidP="00750FBD">
    <w:pPr>
      <w:pStyle w:val="Header"/>
    </w:pPr>
    <w:r>
      <w:rPr>
        <w:noProof/>
      </w:rPr>
      <w:drawing>
        <wp:anchor distT="0" distB="0" distL="114300" distR="114300" simplePos="0" relativeHeight="251658240" behindDoc="0" locked="0" layoutInCell="1" allowOverlap="1" wp14:anchorId="2EE546F8" wp14:editId="2CE06BDD">
          <wp:simplePos x="0" y="0"/>
          <wp:positionH relativeFrom="margin">
            <wp:posOffset>3559175</wp:posOffset>
          </wp:positionH>
          <wp:positionV relativeFrom="paragraph">
            <wp:posOffset>62865</wp:posOffset>
          </wp:positionV>
          <wp:extent cx="2451100" cy="933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1100" cy="93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8B4760" w14:textId="77777777" w:rsidR="00980892" w:rsidRDefault="002525A7" w:rsidP="00750FBD">
    <w:pPr>
      <w:pStyle w:val="Header"/>
    </w:pPr>
    <w:r>
      <w:rPr>
        <w:noProof/>
      </w:rPr>
      <mc:AlternateContent>
        <mc:Choice Requires="wps">
          <w:drawing>
            <wp:anchor distT="0" distB="0" distL="114300" distR="114300" simplePos="0" relativeHeight="251648000" behindDoc="0" locked="0" layoutInCell="1" allowOverlap="1" wp14:anchorId="3896D9F9" wp14:editId="0E34F363">
              <wp:simplePos x="0" y="0"/>
              <wp:positionH relativeFrom="margin">
                <wp:posOffset>3599852</wp:posOffset>
              </wp:positionH>
              <wp:positionV relativeFrom="page">
                <wp:posOffset>905434</wp:posOffset>
              </wp:positionV>
              <wp:extent cx="2449830" cy="1071880"/>
              <wp:effectExtent l="0" t="0" r="1270" b="7620"/>
              <wp:wrapNone/>
              <wp:docPr id="6" name="Zone de texte 6"/>
              <wp:cNvGraphicFramePr/>
              <a:graphic xmlns:a="http://schemas.openxmlformats.org/drawingml/2006/main">
                <a:graphicData uri="http://schemas.microsoft.com/office/word/2010/wordprocessingShape">
                  <wps:wsp>
                    <wps:cNvSpPr txBox="1"/>
                    <wps:spPr>
                      <a:xfrm>
                        <a:off x="0" y="0"/>
                        <a:ext cx="2449830" cy="1071880"/>
                      </a:xfrm>
                      <a:prstGeom prst="rect">
                        <a:avLst/>
                      </a:prstGeom>
                      <a:noFill/>
                      <a:ln w="6350">
                        <a:noFill/>
                      </a:ln>
                    </wps:spPr>
                    <wps:txbx>
                      <w:txbxContent>
                        <w:p w14:paraId="2069CCD9" w14:textId="77777777" w:rsidR="00750FBD" w:rsidRPr="00750FBD" w:rsidRDefault="002525A7" w:rsidP="003363CA">
                          <w:pPr>
                            <w:rPr>
                              <w:rFonts w:ascii="Calibri Light" w:hAnsi="Calibri Light" w:cs="Calibri Light"/>
                              <w:color w:val="FFFFFF" w:themeColor="background1"/>
                              <w:sz w:val="16"/>
                              <w:szCs w:val="16"/>
                            </w:rPr>
                          </w:pPr>
                          <w:r w:rsidRPr="00750FBD">
                            <w:rPr>
                              <w:rFonts w:ascii="Calibri Light" w:hAnsi="Calibri Light" w:cs="Calibri Light"/>
                              <w:color w:val="FFFFFF" w:themeColor="background1"/>
                              <w:sz w:val="16"/>
                              <w:szCs w:val="16"/>
                            </w:rPr>
                            <w:t>Amman | Bishkek | Kampala | London | Nur-Sultan | Tbilisi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6D9F9" id="_x0000_t202" coordsize="21600,21600" o:spt="202" path="m,l,21600r21600,l21600,xe">
              <v:stroke joinstyle="miter"/>
              <v:path gradientshapeok="t" o:connecttype="rect"/>
            </v:shapetype>
            <v:shape id="Zone de texte 6" o:spid="_x0000_s1026" type="#_x0000_t202" style="position:absolute;left:0;text-align:left;margin-left:283.45pt;margin-top:71.3pt;width:192.9pt;height:84.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" filled="f" stroked="f" strokeweight=".5pt">
              <v:textbox inset="0,0,0,0">
                <w:txbxContent>
                  <w:p w14:paraId="2069CCD9" w14:textId="77777777" w:rsidR="00750FBD" w:rsidRPr="00750FBD" w:rsidRDefault="002525A7" w:rsidP="003363CA">
                    <w:pPr>
                      <w:rPr>
                        <w:rFonts w:ascii="Calibri Light" w:hAnsi="Calibri Light" w:cs="Calibri Light"/>
                        <w:color w:val="FFFFFF" w:themeColor="background1"/>
                        <w:sz w:val="16"/>
                        <w:szCs w:val="16"/>
                      </w:rPr>
                    </w:pPr>
                    <w:r w:rsidRPr="00750FBD">
                      <w:rPr>
                        <w:rFonts w:ascii="Calibri Light" w:hAnsi="Calibri Light" w:cs="Calibri Light"/>
                        <w:color w:val="FFFFFF" w:themeColor="background1"/>
                        <w:sz w:val="16"/>
                        <w:szCs w:val="16"/>
                      </w:rPr>
                      <w:t>Amman | Bishkek | Kampala | London | Nur-Sultan | Tbilisi</w:t>
                    </w:r>
                  </w:p>
                </w:txbxContent>
              </v:textbox>
              <w10:wrap anchorx="margin" anchory="page"/>
            </v:shape>
          </w:pict>
        </mc:Fallback>
      </mc:AlternateContent>
    </w:r>
  </w:p>
  <w:p w14:paraId="323DE7A5" w14:textId="77777777" w:rsidR="00980892" w:rsidRDefault="00980892" w:rsidP="00750FBD">
    <w:pPr>
      <w:pStyle w:val="Header"/>
    </w:pPr>
  </w:p>
  <w:p w14:paraId="0BEC8082" w14:textId="77777777" w:rsidR="00980892" w:rsidRDefault="00980892" w:rsidP="00750FBD">
    <w:pPr>
      <w:pStyle w:val="Header"/>
    </w:pPr>
  </w:p>
  <w:p w14:paraId="0B0AAD5B" w14:textId="77777777" w:rsidR="00980892" w:rsidRDefault="00980892" w:rsidP="00750FBD">
    <w:pPr>
      <w:pStyle w:val="Header"/>
    </w:pPr>
  </w:p>
  <w:p w14:paraId="33A94364" w14:textId="77777777" w:rsidR="00082F29" w:rsidRDefault="00082F29" w:rsidP="00750FBD">
    <w:pPr>
      <w:pStyle w:val="Header"/>
    </w:pPr>
  </w:p>
  <w:p w14:paraId="7F8B2A2B" w14:textId="77777777" w:rsidR="00140ABC" w:rsidRDefault="00140ABC" w:rsidP="00750FBD">
    <w:pPr>
      <w:pStyle w:val="Header"/>
    </w:pPr>
  </w:p>
  <w:p w14:paraId="18DDA178" w14:textId="77777777" w:rsidR="00140ABC" w:rsidRDefault="00140ABC" w:rsidP="00750FBD">
    <w:pPr>
      <w:pStyle w:val="Header"/>
    </w:pPr>
  </w:p>
  <w:p w14:paraId="0988372A" w14:textId="77777777" w:rsidR="00140ABC" w:rsidRDefault="00140ABC" w:rsidP="00750FBD">
    <w:pPr>
      <w:pStyle w:val="Header"/>
    </w:pPr>
  </w:p>
  <w:p w14:paraId="49B8ED12" w14:textId="77777777" w:rsidR="00140ABC" w:rsidRDefault="00140ABC" w:rsidP="00750FBD">
    <w:pPr>
      <w:pStyle w:val="Header"/>
    </w:pPr>
  </w:p>
  <w:p w14:paraId="566BA8D3" w14:textId="77777777" w:rsidR="00140ABC" w:rsidRDefault="00140ABC" w:rsidP="00750F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8B7D" w14:textId="77777777" w:rsidR="00CA19D7" w:rsidRDefault="00CA19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B10F" w14:textId="77777777" w:rsidR="00CA19D7" w:rsidRDefault="00CA19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491E" w14:textId="77777777" w:rsidR="00CA19D7" w:rsidRDefault="00CA19D7" w:rsidP="00750FBD">
    <w:pPr>
      <w:pStyle w:val="Header"/>
    </w:pPr>
    <w:r>
      <w:rPr>
        <w:noProof/>
      </w:rPr>
      <mc:AlternateContent>
        <mc:Choice Requires="wps">
          <w:drawing>
            <wp:anchor distT="0" distB="0" distL="114300" distR="114300" simplePos="0" relativeHeight="251667456" behindDoc="1" locked="0" layoutInCell="1" allowOverlap="1" wp14:anchorId="4AE75E66" wp14:editId="291D39C3">
              <wp:simplePos x="0" y="0"/>
              <wp:positionH relativeFrom="column">
                <wp:posOffset>-1224430</wp:posOffset>
              </wp:positionH>
              <wp:positionV relativeFrom="paragraph">
                <wp:posOffset>-673415</wp:posOffset>
              </wp:positionV>
              <wp:extent cx="8048625" cy="2793600"/>
              <wp:effectExtent l="0" t="0" r="3175" b="635"/>
              <wp:wrapNone/>
              <wp:docPr id="3" name="Rectangle 3"/>
              <wp:cNvGraphicFramePr/>
              <a:graphic xmlns:a="http://schemas.openxmlformats.org/drawingml/2006/main">
                <a:graphicData uri="http://schemas.microsoft.com/office/word/2010/wordprocessingShape">
                  <wps:wsp>
                    <wps:cNvSpPr/>
                    <wps:spPr>
                      <a:xfrm>
                        <a:off x="0" y="0"/>
                        <a:ext cx="8048625" cy="2793600"/>
                      </a:xfrm>
                      <a:prstGeom prst="rect">
                        <a:avLst/>
                      </a:prstGeom>
                      <a:solidFill>
                        <a:srgbClr val="470A6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ADE75" id="Rectangle 3" o:spid="_x0000_s1026" style="position:absolute;margin-left:-96.4pt;margin-top:-53pt;width:633.75pt;height:219.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" fillcolor="#470a68" stroked="f" strokeweight="1pt"/>
          </w:pict>
        </mc:Fallback>
      </mc:AlternateContent>
    </w:r>
    <w:r w:rsidRPr="001579BF">
      <w:rPr>
        <w:noProof/>
      </w:rPr>
      <w:drawing>
        <wp:anchor distT="0" distB="0" distL="114300" distR="114300" simplePos="0" relativeHeight="251671552" behindDoc="0" locked="1" layoutInCell="1" allowOverlap="1" wp14:anchorId="613DA4FC" wp14:editId="14EF4BC3">
          <wp:simplePos x="0" y="0"/>
          <wp:positionH relativeFrom="page">
            <wp:posOffset>540385</wp:posOffset>
          </wp:positionH>
          <wp:positionV relativeFrom="page">
            <wp:posOffset>540385</wp:posOffset>
          </wp:positionV>
          <wp:extent cx="1440000" cy="1440000"/>
          <wp:effectExtent l="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3739E7A1" w14:textId="77777777" w:rsidR="00CA19D7" w:rsidRDefault="00CA19D7" w:rsidP="00750FBD">
    <w:pPr>
      <w:pStyle w:val="Header"/>
    </w:pPr>
    <w:r>
      <w:rPr>
        <w:noProof/>
      </w:rPr>
      <w:drawing>
        <wp:anchor distT="0" distB="0" distL="114300" distR="114300" simplePos="0" relativeHeight="251669504" behindDoc="0" locked="0" layoutInCell="1" allowOverlap="1" wp14:anchorId="3B3A471D" wp14:editId="45C7041E">
          <wp:simplePos x="0" y="0"/>
          <wp:positionH relativeFrom="margin">
            <wp:posOffset>3559175</wp:posOffset>
          </wp:positionH>
          <wp:positionV relativeFrom="paragraph">
            <wp:posOffset>62865</wp:posOffset>
          </wp:positionV>
          <wp:extent cx="2451100" cy="933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1100" cy="93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77DC43" w14:textId="77777777" w:rsidR="00CA19D7" w:rsidRDefault="00CA19D7" w:rsidP="00750FBD">
    <w:pPr>
      <w:pStyle w:val="Header"/>
    </w:pPr>
    <w:r>
      <w:rPr>
        <w:noProof/>
      </w:rPr>
      <mc:AlternateContent>
        <mc:Choice Requires="wps">
          <w:drawing>
            <wp:anchor distT="0" distB="0" distL="114300" distR="114300" simplePos="0" relativeHeight="251665408" behindDoc="0" locked="0" layoutInCell="1" allowOverlap="1" wp14:anchorId="7EF5D1E7" wp14:editId="37829769">
              <wp:simplePos x="0" y="0"/>
              <wp:positionH relativeFrom="margin">
                <wp:posOffset>3599852</wp:posOffset>
              </wp:positionH>
              <wp:positionV relativeFrom="page">
                <wp:posOffset>905434</wp:posOffset>
              </wp:positionV>
              <wp:extent cx="2449830" cy="1071880"/>
              <wp:effectExtent l="0" t="0" r="1270" b="7620"/>
              <wp:wrapNone/>
              <wp:docPr id="4" name="Zone de texte 6"/>
              <wp:cNvGraphicFramePr/>
              <a:graphic xmlns:a="http://schemas.openxmlformats.org/drawingml/2006/main">
                <a:graphicData uri="http://schemas.microsoft.com/office/word/2010/wordprocessingShape">
                  <wps:wsp>
                    <wps:cNvSpPr txBox="1"/>
                    <wps:spPr>
                      <a:xfrm>
                        <a:off x="0" y="0"/>
                        <a:ext cx="2449830" cy="1071880"/>
                      </a:xfrm>
                      <a:prstGeom prst="rect">
                        <a:avLst/>
                      </a:prstGeom>
                      <a:noFill/>
                      <a:ln w="6350">
                        <a:noFill/>
                      </a:ln>
                    </wps:spPr>
                    <wps:txbx>
                      <w:txbxContent>
                        <w:p w14:paraId="5CA20C03" w14:textId="77777777" w:rsidR="00CA19D7" w:rsidRPr="00750FBD" w:rsidRDefault="00CA19D7" w:rsidP="003363CA">
                          <w:pPr>
                            <w:rPr>
                              <w:rFonts w:ascii="Calibri Light" w:hAnsi="Calibri Light" w:cs="Calibri Light"/>
                              <w:color w:val="FFFFFF" w:themeColor="background1"/>
                              <w:sz w:val="16"/>
                              <w:szCs w:val="16"/>
                            </w:rPr>
                          </w:pPr>
                          <w:r w:rsidRPr="00750FBD">
                            <w:rPr>
                              <w:rFonts w:ascii="Calibri Light" w:hAnsi="Calibri Light" w:cs="Calibri Light"/>
                              <w:color w:val="FFFFFF" w:themeColor="background1"/>
                              <w:sz w:val="16"/>
                              <w:szCs w:val="16"/>
                            </w:rPr>
                            <w:t>Amman | Bishkek | Kampala | London | Nur-Sultan | Tbilisi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5D1E7" id="_x0000_t202" coordsize="21600,21600" o:spt="202" path="m,l,21600r21600,l21600,xe">
              <v:stroke joinstyle="miter"/>
              <v:path gradientshapeok="t" o:connecttype="rect"/>
            </v:shapetype>
            <v:shape id="_x0000_s1027" type="#_x0000_t202" style="position:absolute;left:0;text-align:left;margin-left:283.45pt;margin-top:71.3pt;width:192.9pt;height:8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" filled="f" stroked="f" strokeweight=".5pt">
              <v:textbox inset="0,0,0,0">
                <w:txbxContent>
                  <w:p w14:paraId="5CA20C03" w14:textId="77777777" w:rsidR="00CA19D7" w:rsidRPr="00750FBD" w:rsidRDefault="00CA19D7" w:rsidP="003363CA">
                    <w:pPr>
                      <w:rPr>
                        <w:rFonts w:ascii="Calibri Light" w:hAnsi="Calibri Light" w:cs="Calibri Light"/>
                        <w:color w:val="FFFFFF" w:themeColor="background1"/>
                        <w:sz w:val="16"/>
                        <w:szCs w:val="16"/>
                      </w:rPr>
                    </w:pPr>
                    <w:r w:rsidRPr="00750FBD">
                      <w:rPr>
                        <w:rFonts w:ascii="Calibri Light" w:hAnsi="Calibri Light" w:cs="Calibri Light"/>
                        <w:color w:val="FFFFFF" w:themeColor="background1"/>
                        <w:sz w:val="16"/>
                        <w:szCs w:val="16"/>
                      </w:rPr>
                      <w:t>Amman | Bishkek | Kampala | London | Nur-Sultan | Tbilisi</w:t>
                    </w:r>
                  </w:p>
                </w:txbxContent>
              </v:textbox>
              <w10:wrap anchorx="margin" anchory="page"/>
            </v:shape>
          </w:pict>
        </mc:Fallback>
      </mc:AlternateContent>
    </w:r>
  </w:p>
  <w:p w14:paraId="6849C8D5" w14:textId="77777777" w:rsidR="00CA19D7" w:rsidRDefault="00CA19D7" w:rsidP="00750FBD">
    <w:pPr>
      <w:pStyle w:val="Header"/>
    </w:pPr>
  </w:p>
  <w:p w14:paraId="71AA930E" w14:textId="77777777" w:rsidR="00CA19D7" w:rsidRDefault="00CA19D7" w:rsidP="00750FBD">
    <w:pPr>
      <w:pStyle w:val="Header"/>
    </w:pPr>
  </w:p>
  <w:p w14:paraId="37D86DB5" w14:textId="77777777" w:rsidR="00CA19D7" w:rsidRDefault="00CA19D7" w:rsidP="00750FBD">
    <w:pPr>
      <w:pStyle w:val="Header"/>
    </w:pPr>
  </w:p>
  <w:p w14:paraId="04F588B5" w14:textId="77777777" w:rsidR="00CA19D7" w:rsidRDefault="00CA19D7" w:rsidP="00750FBD">
    <w:pPr>
      <w:pStyle w:val="Header"/>
    </w:pPr>
  </w:p>
  <w:p w14:paraId="5A8A33F6" w14:textId="77777777" w:rsidR="00CA19D7" w:rsidRDefault="00CA19D7" w:rsidP="00750FBD">
    <w:pPr>
      <w:pStyle w:val="Header"/>
    </w:pPr>
  </w:p>
  <w:p w14:paraId="02F844A7" w14:textId="77777777" w:rsidR="00CA19D7" w:rsidRDefault="00CA19D7" w:rsidP="00750FBD">
    <w:pPr>
      <w:pStyle w:val="Header"/>
    </w:pPr>
  </w:p>
  <w:p w14:paraId="096E7DCF" w14:textId="77777777" w:rsidR="00CA19D7" w:rsidRDefault="00CA19D7" w:rsidP="00750FBD">
    <w:pPr>
      <w:pStyle w:val="Header"/>
    </w:pPr>
  </w:p>
  <w:p w14:paraId="6EDD1815" w14:textId="77777777" w:rsidR="00CA19D7" w:rsidRDefault="00CA19D7" w:rsidP="00750FBD">
    <w:pPr>
      <w:pStyle w:val="Header"/>
    </w:pPr>
  </w:p>
  <w:p w14:paraId="32F1E311" w14:textId="77777777" w:rsidR="00CA19D7" w:rsidRDefault="00CA19D7" w:rsidP="00750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C2E"/>
    <w:multiLevelType w:val="hybridMultilevel"/>
    <w:tmpl w:val="7EB0A208"/>
    <w:lvl w:ilvl="0" w:tplc="03343E54">
      <w:start w:val="1"/>
      <w:numFmt w:val="decimal"/>
      <w:lvlText w:val="%1."/>
      <w:lvlJc w:val="left"/>
      <w:pPr>
        <w:ind w:left="720" w:hanging="360"/>
      </w:pPr>
      <w:rPr>
        <w:rFonts w:hint="default"/>
        <w:b/>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2C138E"/>
    <w:multiLevelType w:val="multilevel"/>
    <w:tmpl w:val="E4481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F76614"/>
    <w:multiLevelType w:val="hybridMultilevel"/>
    <w:tmpl w:val="02887486"/>
    <w:lvl w:ilvl="0" w:tplc="4B0686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231E18"/>
    <w:multiLevelType w:val="hybridMultilevel"/>
    <w:tmpl w:val="0CFC9C5E"/>
    <w:lvl w:ilvl="0" w:tplc="58C86D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0B48D0"/>
    <w:multiLevelType w:val="hybridMultilevel"/>
    <w:tmpl w:val="4C0A75B8"/>
    <w:lvl w:ilvl="0" w:tplc="5D98087E">
      <w:start w:val="1"/>
      <w:numFmt w:val="decimal"/>
      <w:lvlText w:val="%1."/>
      <w:lvlJc w:val="left"/>
      <w:pPr>
        <w:ind w:left="720" w:hanging="360"/>
      </w:pPr>
      <w:rPr>
        <w:rFonts w:hint="default"/>
        <w:b/>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417ADB"/>
    <w:multiLevelType w:val="hybridMultilevel"/>
    <w:tmpl w:val="250EFB0C"/>
    <w:lvl w:ilvl="0" w:tplc="DB8C15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681CD8"/>
    <w:multiLevelType w:val="hybridMultilevel"/>
    <w:tmpl w:val="4B603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08"/>
  <w:hyphenationZone w:val="425"/>
  <w:drawingGridHorizontalSpacing w:val="340"/>
  <w:drawingGridVerticalSpacing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6B"/>
    <w:rsid w:val="00010EDE"/>
    <w:rsid w:val="00021E01"/>
    <w:rsid w:val="0003534A"/>
    <w:rsid w:val="0004365A"/>
    <w:rsid w:val="000453FE"/>
    <w:rsid w:val="00054D53"/>
    <w:rsid w:val="000666D5"/>
    <w:rsid w:val="00082F29"/>
    <w:rsid w:val="00092841"/>
    <w:rsid w:val="000940C6"/>
    <w:rsid w:val="000A5270"/>
    <w:rsid w:val="000A593B"/>
    <w:rsid w:val="000A7415"/>
    <w:rsid w:val="000B545A"/>
    <w:rsid w:val="000D414F"/>
    <w:rsid w:val="000D4D49"/>
    <w:rsid w:val="000E7F84"/>
    <w:rsid w:val="00102CAB"/>
    <w:rsid w:val="00111807"/>
    <w:rsid w:val="00125981"/>
    <w:rsid w:val="00140ABC"/>
    <w:rsid w:val="001579BF"/>
    <w:rsid w:val="001604A3"/>
    <w:rsid w:val="0017415A"/>
    <w:rsid w:val="001A270A"/>
    <w:rsid w:val="001B49E3"/>
    <w:rsid w:val="001D274C"/>
    <w:rsid w:val="0020217F"/>
    <w:rsid w:val="00232F68"/>
    <w:rsid w:val="002428D2"/>
    <w:rsid w:val="002525A7"/>
    <w:rsid w:val="00255124"/>
    <w:rsid w:val="002614EC"/>
    <w:rsid w:val="00280EB4"/>
    <w:rsid w:val="00282098"/>
    <w:rsid w:val="00282DB6"/>
    <w:rsid w:val="00286C47"/>
    <w:rsid w:val="002F0A4C"/>
    <w:rsid w:val="002F2893"/>
    <w:rsid w:val="0031274E"/>
    <w:rsid w:val="003355B8"/>
    <w:rsid w:val="003363CA"/>
    <w:rsid w:val="00340CD5"/>
    <w:rsid w:val="003965B6"/>
    <w:rsid w:val="003A02C3"/>
    <w:rsid w:val="003B0EC4"/>
    <w:rsid w:val="003B17D3"/>
    <w:rsid w:val="003B23D6"/>
    <w:rsid w:val="003C610B"/>
    <w:rsid w:val="003D134D"/>
    <w:rsid w:val="003D4464"/>
    <w:rsid w:val="003F1B6E"/>
    <w:rsid w:val="004249D7"/>
    <w:rsid w:val="00424ED9"/>
    <w:rsid w:val="00464E18"/>
    <w:rsid w:val="00474BE4"/>
    <w:rsid w:val="004973BE"/>
    <w:rsid w:val="004B180A"/>
    <w:rsid w:val="004B1E2D"/>
    <w:rsid w:val="004B5C9F"/>
    <w:rsid w:val="004C3A06"/>
    <w:rsid w:val="004D0063"/>
    <w:rsid w:val="004D4D1F"/>
    <w:rsid w:val="004F40ED"/>
    <w:rsid w:val="00520FB0"/>
    <w:rsid w:val="00530011"/>
    <w:rsid w:val="005335E7"/>
    <w:rsid w:val="00554749"/>
    <w:rsid w:val="0056662F"/>
    <w:rsid w:val="00566BC4"/>
    <w:rsid w:val="005707DC"/>
    <w:rsid w:val="005A5703"/>
    <w:rsid w:val="005A5ED1"/>
    <w:rsid w:val="005B65F9"/>
    <w:rsid w:val="005D60DD"/>
    <w:rsid w:val="005E24B9"/>
    <w:rsid w:val="00604C12"/>
    <w:rsid w:val="0061626D"/>
    <w:rsid w:val="006319BF"/>
    <w:rsid w:val="006468EE"/>
    <w:rsid w:val="00651911"/>
    <w:rsid w:val="00675534"/>
    <w:rsid w:val="00676D38"/>
    <w:rsid w:val="00691FE3"/>
    <w:rsid w:val="00693003"/>
    <w:rsid w:val="0069652F"/>
    <w:rsid w:val="006A195C"/>
    <w:rsid w:val="006A3586"/>
    <w:rsid w:val="006A69D4"/>
    <w:rsid w:val="006B335A"/>
    <w:rsid w:val="006B62A8"/>
    <w:rsid w:val="006C2248"/>
    <w:rsid w:val="006E3B82"/>
    <w:rsid w:val="006E73B2"/>
    <w:rsid w:val="00704174"/>
    <w:rsid w:val="0072169E"/>
    <w:rsid w:val="0073108C"/>
    <w:rsid w:val="00750FBD"/>
    <w:rsid w:val="00755FCC"/>
    <w:rsid w:val="007578B1"/>
    <w:rsid w:val="00790DA5"/>
    <w:rsid w:val="007A25FE"/>
    <w:rsid w:val="007A4FCC"/>
    <w:rsid w:val="007B3652"/>
    <w:rsid w:val="007B4BAB"/>
    <w:rsid w:val="007B78B4"/>
    <w:rsid w:val="007D6E03"/>
    <w:rsid w:val="007F3438"/>
    <w:rsid w:val="007F7522"/>
    <w:rsid w:val="00801B8F"/>
    <w:rsid w:val="0081016A"/>
    <w:rsid w:val="00817388"/>
    <w:rsid w:val="00827092"/>
    <w:rsid w:val="0083016C"/>
    <w:rsid w:val="0083678C"/>
    <w:rsid w:val="00841B00"/>
    <w:rsid w:val="0087621A"/>
    <w:rsid w:val="008A3200"/>
    <w:rsid w:val="008C6AE4"/>
    <w:rsid w:val="008E25F3"/>
    <w:rsid w:val="008E38AA"/>
    <w:rsid w:val="008F586C"/>
    <w:rsid w:val="00901EC5"/>
    <w:rsid w:val="0090516E"/>
    <w:rsid w:val="00913925"/>
    <w:rsid w:val="00914078"/>
    <w:rsid w:val="0093797F"/>
    <w:rsid w:val="00945F6E"/>
    <w:rsid w:val="00950E21"/>
    <w:rsid w:val="00956450"/>
    <w:rsid w:val="00966738"/>
    <w:rsid w:val="00980892"/>
    <w:rsid w:val="0098136E"/>
    <w:rsid w:val="00993E34"/>
    <w:rsid w:val="009C01CF"/>
    <w:rsid w:val="009C749F"/>
    <w:rsid w:val="009F18DC"/>
    <w:rsid w:val="00A1042C"/>
    <w:rsid w:val="00A14C3D"/>
    <w:rsid w:val="00A17F1F"/>
    <w:rsid w:val="00A51F5B"/>
    <w:rsid w:val="00A53E15"/>
    <w:rsid w:val="00A73EEC"/>
    <w:rsid w:val="00A86EEE"/>
    <w:rsid w:val="00AA3CE9"/>
    <w:rsid w:val="00AA4EA4"/>
    <w:rsid w:val="00AA5E6B"/>
    <w:rsid w:val="00AC143B"/>
    <w:rsid w:val="00AC4215"/>
    <w:rsid w:val="00AD5913"/>
    <w:rsid w:val="00AE176B"/>
    <w:rsid w:val="00B041DD"/>
    <w:rsid w:val="00B14C07"/>
    <w:rsid w:val="00B258F0"/>
    <w:rsid w:val="00B25BEF"/>
    <w:rsid w:val="00B60722"/>
    <w:rsid w:val="00B93251"/>
    <w:rsid w:val="00BB3C0C"/>
    <w:rsid w:val="00BC3C67"/>
    <w:rsid w:val="00BE1936"/>
    <w:rsid w:val="00BF4088"/>
    <w:rsid w:val="00BF72A4"/>
    <w:rsid w:val="00BF7AEB"/>
    <w:rsid w:val="00C144EF"/>
    <w:rsid w:val="00C21267"/>
    <w:rsid w:val="00C23D8A"/>
    <w:rsid w:val="00C3272F"/>
    <w:rsid w:val="00C35F83"/>
    <w:rsid w:val="00C406AB"/>
    <w:rsid w:val="00C409ED"/>
    <w:rsid w:val="00C446B0"/>
    <w:rsid w:val="00C55A90"/>
    <w:rsid w:val="00C56849"/>
    <w:rsid w:val="00C8325A"/>
    <w:rsid w:val="00C92B2D"/>
    <w:rsid w:val="00C9630C"/>
    <w:rsid w:val="00C968A5"/>
    <w:rsid w:val="00CA19D7"/>
    <w:rsid w:val="00CB582C"/>
    <w:rsid w:val="00CB6245"/>
    <w:rsid w:val="00CC7D44"/>
    <w:rsid w:val="00CD54D0"/>
    <w:rsid w:val="00CD7348"/>
    <w:rsid w:val="00CE47F4"/>
    <w:rsid w:val="00CE63A4"/>
    <w:rsid w:val="00CE6954"/>
    <w:rsid w:val="00D12059"/>
    <w:rsid w:val="00D32127"/>
    <w:rsid w:val="00D33133"/>
    <w:rsid w:val="00D35B83"/>
    <w:rsid w:val="00D7085C"/>
    <w:rsid w:val="00D7637F"/>
    <w:rsid w:val="00D952CD"/>
    <w:rsid w:val="00DB32E6"/>
    <w:rsid w:val="00DB6BE2"/>
    <w:rsid w:val="00DF7F58"/>
    <w:rsid w:val="00E0794C"/>
    <w:rsid w:val="00E15398"/>
    <w:rsid w:val="00E23BEC"/>
    <w:rsid w:val="00E272F5"/>
    <w:rsid w:val="00E325BB"/>
    <w:rsid w:val="00E32E79"/>
    <w:rsid w:val="00E44151"/>
    <w:rsid w:val="00E71F2B"/>
    <w:rsid w:val="00E90E48"/>
    <w:rsid w:val="00EA08C4"/>
    <w:rsid w:val="00EA5334"/>
    <w:rsid w:val="00EA53C0"/>
    <w:rsid w:val="00EA55DF"/>
    <w:rsid w:val="00EA6E3B"/>
    <w:rsid w:val="00EB6A81"/>
    <w:rsid w:val="00EC0BC0"/>
    <w:rsid w:val="00F15CC5"/>
    <w:rsid w:val="00F52486"/>
    <w:rsid w:val="00F52F21"/>
    <w:rsid w:val="00F60EE1"/>
    <w:rsid w:val="00F628F5"/>
    <w:rsid w:val="00F81897"/>
    <w:rsid w:val="00F92125"/>
    <w:rsid w:val="00F97959"/>
    <w:rsid w:val="00FA4B75"/>
    <w:rsid w:val="00FF4B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903D"/>
  <w15:chartTrackingRefBased/>
  <w15:docId w15:val="{CC09FBA5-9B4B-4B44-AB06-0A4021B2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Corps)"/>
        <w:sz w:val="23"/>
        <w:szCs w:val="23"/>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D7"/>
    <w:pPr>
      <w:jc w:val="both"/>
    </w:pPr>
    <w:rPr>
      <w:rFonts w:cstheme="minorHAnsi"/>
      <w:lang w:val="en-GB"/>
    </w:rPr>
  </w:style>
  <w:style w:type="paragraph" w:styleId="Heading1">
    <w:name w:val="heading 1"/>
    <w:basedOn w:val="Normal"/>
    <w:next w:val="Normal"/>
    <w:link w:val="Heading1Char"/>
    <w:autoRedefine/>
    <w:uiPriority w:val="9"/>
    <w:qFormat/>
    <w:rsid w:val="00AC143B"/>
    <w:pPr>
      <w:tabs>
        <w:tab w:val="left" w:pos="1134"/>
      </w:tabs>
      <w:ind w:left="1134" w:hanging="1134"/>
      <w:outlineLvl w:val="0"/>
    </w:pPr>
    <w:rPr>
      <w:rFonts w:ascii="Calibri" w:hAnsi="Calibri" w:cs="Calibri"/>
      <w:b/>
      <w:bCs/>
      <w:color w:val="470A68"/>
      <w:sz w:val="28"/>
      <w:szCs w:val="32"/>
    </w:rPr>
  </w:style>
  <w:style w:type="paragraph" w:styleId="Heading2">
    <w:name w:val="heading 2"/>
    <w:basedOn w:val="Normal"/>
    <w:next w:val="Normal"/>
    <w:link w:val="Heading2Char"/>
    <w:uiPriority w:val="9"/>
    <w:unhideWhenUsed/>
    <w:qFormat/>
    <w:rsid w:val="00750FBD"/>
    <w:pPr>
      <w:outlineLvl w:val="1"/>
    </w:pPr>
    <w:rPr>
      <w:b/>
      <w:bCs/>
      <w:sz w:val="26"/>
      <w:szCs w:val="26"/>
    </w:rPr>
  </w:style>
  <w:style w:type="paragraph" w:styleId="Heading3">
    <w:name w:val="heading 3"/>
    <w:basedOn w:val="Normal"/>
    <w:next w:val="Normal"/>
    <w:link w:val="Heading3Char"/>
    <w:uiPriority w:val="9"/>
    <w:unhideWhenUsed/>
    <w:qFormat/>
    <w:rsid w:val="00750FBD"/>
    <w:pPr>
      <w:outlineLvl w:val="2"/>
    </w:pPr>
    <w:rPr>
      <w:rFonts w:ascii="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5A"/>
    <w:pPr>
      <w:tabs>
        <w:tab w:val="center" w:pos="4536"/>
        <w:tab w:val="right" w:pos="9072"/>
      </w:tabs>
    </w:pPr>
  </w:style>
  <w:style w:type="character" w:customStyle="1" w:styleId="HeaderChar">
    <w:name w:val="Header Char"/>
    <w:basedOn w:val="DefaultParagraphFont"/>
    <w:link w:val="Header"/>
    <w:uiPriority w:val="99"/>
    <w:rsid w:val="0004365A"/>
    <w:rPr>
      <w:lang w:val="en-GB"/>
    </w:rPr>
  </w:style>
  <w:style w:type="paragraph" w:styleId="Footer">
    <w:name w:val="footer"/>
    <w:basedOn w:val="Normal"/>
    <w:link w:val="FooterChar"/>
    <w:uiPriority w:val="99"/>
    <w:unhideWhenUsed/>
    <w:rsid w:val="0004365A"/>
    <w:pPr>
      <w:tabs>
        <w:tab w:val="center" w:pos="4536"/>
        <w:tab w:val="right" w:pos="9072"/>
      </w:tabs>
    </w:pPr>
  </w:style>
  <w:style w:type="character" w:customStyle="1" w:styleId="FooterChar">
    <w:name w:val="Footer Char"/>
    <w:basedOn w:val="DefaultParagraphFont"/>
    <w:link w:val="Footer"/>
    <w:uiPriority w:val="99"/>
    <w:rsid w:val="0004365A"/>
    <w:rPr>
      <w:lang w:val="en-GB"/>
    </w:rPr>
  </w:style>
  <w:style w:type="character" w:styleId="Hyperlink">
    <w:name w:val="Hyperlink"/>
    <w:basedOn w:val="DefaultParagraphFont"/>
    <w:uiPriority w:val="99"/>
    <w:unhideWhenUsed/>
    <w:rsid w:val="0004365A"/>
    <w:rPr>
      <w:color w:val="0563C1" w:themeColor="hyperlink"/>
      <w:u w:val="single"/>
    </w:rPr>
  </w:style>
  <w:style w:type="character" w:styleId="UnresolvedMention">
    <w:name w:val="Unresolved Mention"/>
    <w:basedOn w:val="DefaultParagraphFont"/>
    <w:uiPriority w:val="99"/>
    <w:semiHidden/>
    <w:unhideWhenUsed/>
    <w:rsid w:val="0004365A"/>
    <w:rPr>
      <w:color w:val="605E5C"/>
      <w:shd w:val="clear" w:color="auto" w:fill="E1DFDD"/>
    </w:rPr>
  </w:style>
  <w:style w:type="paragraph" w:styleId="ListParagraph">
    <w:name w:val="List Paragraph"/>
    <w:basedOn w:val="Normal"/>
    <w:uiPriority w:val="34"/>
    <w:qFormat/>
    <w:rsid w:val="00340CD5"/>
    <w:pPr>
      <w:ind w:left="720"/>
      <w:contextualSpacing/>
    </w:pPr>
  </w:style>
  <w:style w:type="character" w:customStyle="1" w:styleId="Heading1Char">
    <w:name w:val="Heading 1 Char"/>
    <w:basedOn w:val="DefaultParagraphFont"/>
    <w:link w:val="Heading1"/>
    <w:uiPriority w:val="9"/>
    <w:rsid w:val="00AC143B"/>
    <w:rPr>
      <w:rFonts w:ascii="Calibri" w:hAnsi="Calibri" w:cs="Calibri"/>
      <w:b/>
      <w:bCs/>
      <w:color w:val="470A68"/>
      <w:sz w:val="28"/>
      <w:szCs w:val="32"/>
      <w:lang w:val="en-GB"/>
    </w:rPr>
  </w:style>
  <w:style w:type="paragraph" w:styleId="Title">
    <w:name w:val="Title"/>
    <w:basedOn w:val="Heading1"/>
    <w:next w:val="Normal"/>
    <w:link w:val="TitleChar"/>
    <w:uiPriority w:val="10"/>
    <w:qFormat/>
    <w:rsid w:val="00750FBD"/>
    <w:rPr>
      <w:sz w:val="72"/>
      <w:szCs w:val="72"/>
    </w:rPr>
  </w:style>
  <w:style w:type="character" w:customStyle="1" w:styleId="TitleChar">
    <w:name w:val="Title Char"/>
    <w:basedOn w:val="DefaultParagraphFont"/>
    <w:link w:val="Title"/>
    <w:uiPriority w:val="10"/>
    <w:rsid w:val="00750FBD"/>
    <w:rPr>
      <w:rFonts w:ascii="Calibri" w:hAnsi="Calibri" w:cs="Calibri"/>
      <w:b/>
      <w:bCs/>
      <w:color w:val="470A68"/>
      <w:sz w:val="72"/>
      <w:szCs w:val="72"/>
      <w:lang w:val="en-GB"/>
    </w:rPr>
  </w:style>
  <w:style w:type="character" w:customStyle="1" w:styleId="Heading2Char">
    <w:name w:val="Heading 2 Char"/>
    <w:basedOn w:val="DefaultParagraphFont"/>
    <w:link w:val="Heading2"/>
    <w:uiPriority w:val="9"/>
    <w:rsid w:val="00750FBD"/>
    <w:rPr>
      <w:rFonts w:cstheme="minorHAnsi"/>
      <w:b/>
      <w:bCs/>
      <w:sz w:val="26"/>
      <w:szCs w:val="26"/>
      <w:lang w:val="en-GB"/>
    </w:rPr>
  </w:style>
  <w:style w:type="character" w:customStyle="1" w:styleId="Heading3Char">
    <w:name w:val="Heading 3 Char"/>
    <w:basedOn w:val="DefaultParagraphFont"/>
    <w:link w:val="Heading3"/>
    <w:uiPriority w:val="9"/>
    <w:rsid w:val="00750FBD"/>
    <w:rPr>
      <w:rFonts w:ascii="Calibri Light" w:hAnsi="Calibri Light" w:cs="Calibri Light"/>
      <w:sz w:val="26"/>
      <w:szCs w:val="26"/>
      <w:lang w:val="en-GB"/>
    </w:rPr>
  </w:style>
  <w:style w:type="character" w:styleId="CommentReference">
    <w:name w:val="annotation reference"/>
    <w:basedOn w:val="DefaultParagraphFont"/>
    <w:uiPriority w:val="99"/>
    <w:semiHidden/>
    <w:unhideWhenUsed/>
    <w:rsid w:val="00EC0BC0"/>
    <w:rPr>
      <w:sz w:val="16"/>
      <w:szCs w:val="16"/>
    </w:rPr>
  </w:style>
  <w:style w:type="paragraph" w:styleId="CommentText">
    <w:name w:val="annotation text"/>
    <w:basedOn w:val="Normal"/>
    <w:link w:val="CommentTextChar"/>
    <w:uiPriority w:val="99"/>
    <w:unhideWhenUsed/>
    <w:rsid w:val="00EC0BC0"/>
    <w:rPr>
      <w:sz w:val="20"/>
      <w:szCs w:val="20"/>
    </w:rPr>
  </w:style>
  <w:style w:type="character" w:customStyle="1" w:styleId="CommentTextChar">
    <w:name w:val="Comment Text Char"/>
    <w:basedOn w:val="DefaultParagraphFont"/>
    <w:link w:val="CommentText"/>
    <w:uiPriority w:val="99"/>
    <w:rsid w:val="00EC0BC0"/>
    <w:rPr>
      <w:rFonts w:cstheme="minorHAnsi"/>
      <w:sz w:val="20"/>
      <w:szCs w:val="20"/>
      <w:lang w:val="en-GB"/>
    </w:rPr>
  </w:style>
  <w:style w:type="paragraph" w:styleId="CommentSubject">
    <w:name w:val="annotation subject"/>
    <w:basedOn w:val="CommentText"/>
    <w:next w:val="CommentText"/>
    <w:link w:val="CommentSubjectChar"/>
    <w:uiPriority w:val="99"/>
    <w:semiHidden/>
    <w:unhideWhenUsed/>
    <w:rsid w:val="00EC0BC0"/>
    <w:rPr>
      <w:b/>
      <w:bCs/>
    </w:rPr>
  </w:style>
  <w:style w:type="character" w:customStyle="1" w:styleId="CommentSubjectChar">
    <w:name w:val="Comment Subject Char"/>
    <w:basedOn w:val="CommentTextChar"/>
    <w:link w:val="CommentSubject"/>
    <w:uiPriority w:val="99"/>
    <w:semiHidden/>
    <w:rsid w:val="00EC0BC0"/>
    <w:rPr>
      <w:rFonts w:cstheme="minorHAnsi"/>
      <w:b/>
      <w:bCs/>
      <w:sz w:val="20"/>
      <w:szCs w:val="20"/>
      <w:lang w:val="en-GB"/>
    </w:rPr>
  </w:style>
  <w:style w:type="paragraph" w:styleId="FootnoteText">
    <w:name w:val="footnote text"/>
    <w:basedOn w:val="Normal"/>
    <w:link w:val="FootnoteTextChar"/>
    <w:uiPriority w:val="99"/>
    <w:unhideWhenUsed/>
    <w:rsid w:val="001D274C"/>
    <w:rPr>
      <w:sz w:val="20"/>
      <w:szCs w:val="20"/>
    </w:rPr>
  </w:style>
  <w:style w:type="character" w:customStyle="1" w:styleId="FootnoteTextChar">
    <w:name w:val="Footnote Text Char"/>
    <w:basedOn w:val="DefaultParagraphFont"/>
    <w:link w:val="FootnoteText"/>
    <w:uiPriority w:val="99"/>
    <w:rsid w:val="001D274C"/>
    <w:rPr>
      <w:rFonts w:cstheme="minorHAnsi"/>
      <w:sz w:val="20"/>
      <w:szCs w:val="20"/>
      <w:lang w:val="en-GB"/>
    </w:rPr>
  </w:style>
  <w:style w:type="character" w:styleId="FootnoteReference">
    <w:name w:val="footnote reference"/>
    <w:basedOn w:val="DefaultParagraphFont"/>
    <w:uiPriority w:val="99"/>
    <w:semiHidden/>
    <w:unhideWhenUsed/>
    <w:rsid w:val="001D274C"/>
    <w:rPr>
      <w:vertAlign w:val="superscript"/>
    </w:rPr>
  </w:style>
  <w:style w:type="paragraph" w:styleId="Revision">
    <w:name w:val="Revision"/>
    <w:hidden/>
    <w:uiPriority w:val="99"/>
    <w:semiHidden/>
    <w:rsid w:val="005D60DD"/>
    <w:rPr>
      <w:rFonts w:cstheme="minorHAnsi"/>
      <w:lang w:val="en-GB"/>
    </w:rPr>
  </w:style>
  <w:style w:type="character" w:styleId="FollowedHyperlink">
    <w:name w:val="FollowedHyperlink"/>
    <w:basedOn w:val="DefaultParagraphFont"/>
    <w:uiPriority w:val="99"/>
    <w:semiHidden/>
    <w:unhideWhenUsed/>
    <w:rsid w:val="00BF7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71009">
      <w:bodyDiv w:val="1"/>
      <w:marLeft w:val="0"/>
      <w:marRight w:val="0"/>
      <w:marTop w:val="0"/>
      <w:marBottom w:val="0"/>
      <w:divBdr>
        <w:top w:val="none" w:sz="0" w:space="0" w:color="auto"/>
        <w:left w:val="none" w:sz="0" w:space="0" w:color="auto"/>
        <w:bottom w:val="none" w:sz="0" w:space="0" w:color="auto"/>
        <w:right w:val="none" w:sz="0" w:space="0" w:color="auto"/>
      </w:divBdr>
    </w:div>
    <w:div w:id="20659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penalreform.org/global-prison-trends-2021/" TargetMode="External"/><Relationship Id="rId2" Type="http://schemas.openxmlformats.org/officeDocument/2006/relationships/hyperlink" Target="https://www.actionaid.org.uk/sites/default/files/doc_lib/ghana_report_single_pages.pdf" TargetMode="External"/><Relationship Id="rId1" Type="http://schemas.openxmlformats.org/officeDocument/2006/relationships/hyperlink" Target="https://www.penalreform.org/global-prison-trends-2021/" TargetMode="External"/><Relationship Id="rId5" Type="http://schemas.openxmlformats.org/officeDocument/2006/relationships/hyperlink" Target="http://www.whrin.org/wp-content/uploads/2017/10/2017-UNREPORT-final.pdf" TargetMode="External"/><Relationship Id="rId4" Type="http://schemas.openxmlformats.org/officeDocument/2006/relationships/hyperlink" Target="https://undocs.org/Home/Mobile?FinalSymbol=A%2FHRC%2F37%2F57%2FAdd.2&amp;Language=E&amp;DeviceType=Desktop&amp;LangRequested=Fals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jaDejanova.AzureAD\OneDrive%20-%20Penal%20Reform\Desktop\Misc\Templates\Briefing%20note%20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bdcb56cc-22ec-4907-b888-665f7c919ebe" ContentTypeId="0x0101006D3AC66AD3AC804A9C376D2E2236A8EA"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Info and Comms" ma:contentTypeID="0x0101006D3AC66AD3AC804A9C376D2E2236A8EA00FDAF115C84305E47BC195B71F477138C" ma:contentTypeVersion="133" ma:contentTypeDescription="" ma:contentTypeScope="" ma:versionID="e6715334b9f0919830a8f271fe633ed3">
  <xsd:schema xmlns:xsd="http://www.w3.org/2001/XMLSchema" xmlns:xs="http://www.w3.org/2001/XMLSchema" xmlns:p="http://schemas.microsoft.com/office/2006/metadata/properties" xmlns:ns2="15ce6288-cbd3-4e72-9810-f231d6342630" targetNamespace="http://schemas.microsoft.com/office/2006/metadata/properties" ma:root="true" ma:fieldsID="56ec45184f67cf906a8abbad7414ca0a" ns2:_="">
    <xsd:import namespace="15ce6288-cbd3-4e72-9810-f231d6342630"/>
    <xsd:element name="properties">
      <xsd:complexType>
        <xsd:sequence>
          <xsd:element name="documentManagement">
            <xsd:complexType>
              <xsd:all>
                <xsd:element ref="ns2:i19f933d898244c085f6b1799d3b9e38" minOccurs="0"/>
                <xsd:element ref="ns2:TaxCatchAll" minOccurs="0"/>
                <xsd:element ref="ns2:TaxCatchAllLabel" minOccurs="0"/>
                <xsd:element ref="ns2:id72dec699d84017801f163eb69e76bd" minOccurs="0"/>
                <xsd:element ref="ns2:f04c551774344e51936cd7e2020cc741" minOccurs="0"/>
                <xsd:element ref="ns2:e111de919c32460fb576e7b7a2dd380f" minOccurs="0"/>
                <xsd:element ref="ns2:jd9c837ecf8a47928647c8ba31986e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6288-cbd3-4e72-9810-f231d6342630" elementFormDefault="qualified">
    <xsd:import namespace="http://schemas.microsoft.com/office/2006/documentManagement/types"/>
    <xsd:import namespace="http://schemas.microsoft.com/office/infopath/2007/PartnerControls"/>
    <xsd:element name="i19f933d898244c085f6b1799d3b9e38" ma:index="7" nillable="true" ma:taxonomy="true" ma:internalName="i19f933d898244c085f6b1799d3b9e38" ma:taxonomyFieldName="Project" ma:displayName="Comms Subject" ma:indexed="true" ma:default="" ma:fieldId="{219f933d-8982-44c0-85f6-b1799d3b9e38}" ma:sspId="bdcb56cc-22ec-4907-b888-665f7c919ebe" ma:termSetId="66cec260-3d79-4c30-8cee-4b2452b05c72" ma:anchorId="00000000-0000-0000-0000-000000000000" ma:open="true" ma:isKeyword="false">
      <xsd:complexType>
        <xsd:sequence>
          <xsd:element ref="pc:Terms" minOccurs="0" maxOccurs="1"/>
        </xsd:sequence>
      </xsd:complexType>
    </xsd:element>
    <xsd:element name="TaxCatchAll" ma:index="8" nillable="true" ma:displayName="Taxonomy Catch All Column" ma:description="" ma:hidden="true" ma:list="{825bf32a-5f4f-48b7-832f-6804a7d31c97}" ma:internalName="TaxCatchAll" ma:showField="CatchAllData" ma:web="3f69f27c-ec3b-4f62-8934-f542ef3a903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825bf32a-5f4f-48b7-832f-6804a7d31c97}" ma:internalName="TaxCatchAllLabel" ma:readOnly="true" ma:showField="CatchAllDataLabel" ma:web="3f69f27c-ec3b-4f62-8934-f542ef3a9033">
      <xsd:complexType>
        <xsd:complexContent>
          <xsd:extension base="dms:MultiChoiceLookup">
            <xsd:sequence>
              <xsd:element name="Value" type="dms:Lookup" maxOccurs="unbounded" minOccurs="0" nillable="true"/>
            </xsd:sequence>
          </xsd:extension>
        </xsd:complexContent>
      </xsd:complexType>
    </xsd:element>
    <xsd:element name="id72dec699d84017801f163eb69e76bd" ma:index="11" nillable="true" ma:taxonomy="true" ma:internalName="id72dec699d84017801f163eb69e76bd" ma:taxonomyFieldName="Comms_x0020_Document_x0020_Type" ma:displayName="Comms Document Type" ma:indexed="true" ma:default="" ma:fieldId="{2d72dec6-99d8-4017-801f-163eb69e76bd}" ma:sspId="bdcb56cc-22ec-4907-b888-665f7c919ebe" ma:termSetId="02637dac-47c6-4e04-b991-d22a011d9948" ma:anchorId="00000000-0000-0000-0000-000000000000" ma:open="true" ma:isKeyword="false">
      <xsd:complexType>
        <xsd:sequence>
          <xsd:element ref="pc:Terms" minOccurs="0" maxOccurs="1"/>
        </xsd:sequence>
      </xsd:complexType>
    </xsd:element>
    <xsd:element name="f04c551774344e51936cd7e2020cc741" ma:index="14" ma:taxonomy="true" ma:internalName="f04c551774344e51936cd7e2020cc741" ma:taxonomyFieldName="PRI_x0020_Offices" ma:displayName="Offices" ma:indexed="true" ma:default="" ma:fieldId="{f04c5517-7434-4e51-936c-d7e2020cc741}" ma:sspId="bdcb56cc-22ec-4907-b888-665f7c919ebe" ma:termSetId="dee2619e-808e-4304-88e3-e4fa5c7e6354" ma:anchorId="00000000-0000-0000-0000-000000000000" ma:open="false" ma:isKeyword="false">
      <xsd:complexType>
        <xsd:sequence>
          <xsd:element ref="pc:Terms" minOccurs="0" maxOccurs="1"/>
        </xsd:sequence>
      </xsd:complexType>
    </xsd:element>
    <xsd:element name="e111de919c32460fb576e7b7a2dd380f" ma:index="16" nillable="true" ma:taxonomy="true" ma:internalName="e111de919c32460fb576e7b7a2dd380f" ma:taxonomyFieldName="Year" ma:displayName="Year" ma:indexed="true" ma:default="" ma:fieldId="{e111de91-9c32-460f-b576-e7b7a2dd380f}" ma:sspId="bdcb56cc-22ec-4907-b888-665f7c919ebe" ma:termSetId="6782685a-26fc-4164-86c4-b884384fa3db" ma:anchorId="00000000-0000-0000-0000-000000000000" ma:open="false" ma:isKeyword="false">
      <xsd:complexType>
        <xsd:sequence>
          <xsd:element ref="pc:Terms" minOccurs="0" maxOccurs="1"/>
        </xsd:sequence>
      </xsd:complexType>
    </xsd:element>
    <xsd:element name="jd9c837ecf8a47928647c8ba31986ee2" ma:index="18" nillable="true" ma:taxonomy="true" ma:internalName="jd9c837ecf8a47928647c8ba31986ee2" ma:taxonomyFieldName="PRI_x0020_Theme" ma:displayName="PRI Theme" ma:default="" ma:fieldId="{3d9c837e-cf8a-4792-8647-c8ba31986ee2}" ma:taxonomyMulti="true" ma:sspId="bdcb56cc-22ec-4907-b888-665f7c919ebe" ma:termSetId="d808ce15-42c1-4834-b271-3562253290c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jd9c837ecf8a47928647c8ba31986ee2 xmlns="15ce6288-cbd3-4e72-9810-f231d6342630">
      <Terms xmlns="http://schemas.microsoft.com/office/infopath/2007/PartnerControls"/>
    </jd9c837ecf8a47928647c8ba31986ee2>
    <TaxCatchAll xmlns="15ce6288-cbd3-4e72-9810-f231d6342630">
      <Value>20</Value>
      <Value>249</Value>
      <Value>713</Value>
      <Value>263</Value>
    </TaxCatchAll>
    <f04c551774344e51936cd7e2020cc741 xmlns="15ce6288-cbd3-4e72-9810-f231d6342630">
      <Terms xmlns="http://schemas.microsoft.com/office/infopath/2007/PartnerControls">
        <TermInfo xmlns="http://schemas.microsoft.com/office/infopath/2007/PartnerControls">
          <TermName xmlns="http://schemas.microsoft.com/office/infopath/2007/PartnerControls">Organisational</TermName>
          <TermId xmlns="http://schemas.microsoft.com/office/infopath/2007/PartnerControls">36fcc256-9009-46b9-905a-517613e4ca44</TermId>
        </TermInfo>
      </Terms>
    </f04c551774344e51936cd7e2020cc741>
    <id72dec699d84017801f163eb69e76bd xmlns="15ce6288-cbd3-4e72-9810-f231d6342630">
      <Terms xmlns="http://schemas.microsoft.com/office/infopath/2007/PartnerControls">
        <TermInfo xmlns="http://schemas.microsoft.com/office/infopath/2007/PartnerControls">
          <TermName xmlns="http://schemas.microsoft.com/office/infopath/2007/PartnerControls">Templates/form</TermName>
          <TermId xmlns="http://schemas.microsoft.com/office/infopath/2007/PartnerControls">41843426-7833-4f56-8926-b6b40b3102cb</TermId>
        </TermInfo>
      </Terms>
    </id72dec699d84017801f163eb69e76bd>
    <e111de919c32460fb576e7b7a2dd380f xmlns="15ce6288-cbd3-4e72-9810-f231d6342630">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1a0b4b31-1f4c-4e04-a782-a8ba081d5748</TermId>
        </TermInfo>
      </Terms>
    </e111de919c32460fb576e7b7a2dd380f>
    <i19f933d898244c085f6b1799d3b9e38 xmlns="15ce6288-cbd3-4e72-9810-f231d6342630">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7298d474-0827-4064-b09d-4dc7be266af7</TermId>
        </TermInfo>
      </Terms>
    </i19f933d898244c085f6b1799d3b9e38>
  </documentManagement>
</p:properties>
</file>

<file path=customXml/itemProps1.xml><?xml version="1.0" encoding="utf-8"?>
<ds:datastoreItem xmlns:ds="http://schemas.openxmlformats.org/officeDocument/2006/customXml" ds:itemID="{3EF1D1B0-EBA7-41F6-B710-9F4660D61A1A}">
  <ds:schemaRefs>
    <ds:schemaRef ds:uri="http://schemas.microsoft.com/sharepoint/v3/contenttype/forms"/>
  </ds:schemaRefs>
</ds:datastoreItem>
</file>

<file path=customXml/itemProps2.xml><?xml version="1.0" encoding="utf-8"?>
<ds:datastoreItem xmlns:ds="http://schemas.openxmlformats.org/officeDocument/2006/customXml" ds:itemID="{5D327019-3647-416A-83EF-35AD8B89422B}">
  <ds:schemaRefs>
    <ds:schemaRef ds:uri="http://schemas.microsoft.com/office/2006/metadata/customXsn"/>
  </ds:schemaRefs>
</ds:datastoreItem>
</file>

<file path=customXml/itemProps3.xml><?xml version="1.0" encoding="utf-8"?>
<ds:datastoreItem xmlns:ds="http://schemas.openxmlformats.org/officeDocument/2006/customXml" ds:itemID="{55632CD1-3E49-4286-BFA4-2E05541CB5C4}">
  <ds:schemaRefs>
    <ds:schemaRef ds:uri="Microsoft.SharePoint.Taxonomy.ContentTypeSync"/>
  </ds:schemaRefs>
</ds:datastoreItem>
</file>

<file path=customXml/itemProps4.xml><?xml version="1.0" encoding="utf-8"?>
<ds:datastoreItem xmlns:ds="http://schemas.openxmlformats.org/officeDocument/2006/customXml" ds:itemID="{5F72031C-F35B-2F41-AC8B-35B9FA405E4A}">
  <ds:schemaRefs>
    <ds:schemaRef ds:uri="http://schemas.openxmlformats.org/officeDocument/2006/bibliography"/>
  </ds:schemaRefs>
</ds:datastoreItem>
</file>

<file path=customXml/itemProps5.xml><?xml version="1.0" encoding="utf-8"?>
<ds:datastoreItem xmlns:ds="http://schemas.openxmlformats.org/officeDocument/2006/customXml" ds:itemID="{7D8E81A0-485A-4E7C-9272-FF7E61768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e6288-cbd3-4e72-9810-f231d6342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180895-9D26-41E8-A2CB-30A5A57C19FF}">
  <ds:schemaRefs>
    <ds:schemaRef ds:uri="http://schemas.microsoft.com/office/2006/metadata/properties"/>
    <ds:schemaRef ds:uri="http://schemas.microsoft.com/office/infopath/2007/PartnerControls"/>
    <ds:schemaRef ds:uri="15ce6288-cbd3-4e72-9810-f231d6342630"/>
  </ds:schemaRefs>
</ds:datastoreItem>
</file>

<file path=docProps/app.xml><?xml version="1.0" encoding="utf-8"?>
<Properties xmlns="http://schemas.openxmlformats.org/officeDocument/2006/extended-properties" xmlns:vt="http://schemas.openxmlformats.org/officeDocument/2006/docPropsVTypes">
  <Template>Briefing note template.dotx</Template>
  <TotalTime>2</TotalTime>
  <Pages>4</Pages>
  <Words>1318</Words>
  <Characters>7515</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Dejanova</dc:creator>
  <cp:keywords/>
  <dc:description/>
  <cp:lastModifiedBy>OHCHR_TN</cp:lastModifiedBy>
  <cp:revision>2</cp:revision>
  <cp:lastPrinted>2022-09-21T12:43:00Z</cp:lastPrinted>
  <dcterms:created xsi:type="dcterms:W3CDTF">2022-09-21T13:27:00Z</dcterms:created>
  <dcterms:modified xsi:type="dcterms:W3CDTF">2022-09-21T13:27:00Z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0x0101006D3AC66AD3AC804A9C376D2E2236A8EA00FDAF115C84305E47BC195B71F477138C</vt:lpwstr>
  </property>
  <property fmtid="{D5CDD505-2E9C-101B-9397-08002B2CF9AE}" pid="3" name="Project">
    <vt:lpwstr>249;#Stationery|7298d474-0827-4064-b09d-4dc7be266af7</vt:lpwstr>
  </property>
  <property fmtid="{D5CDD505-2E9C-101B-9397-08002B2CF9AE}" pid="4" name="Year">
    <vt:lpwstr>713;#2019|1a0b4b31-1f4c-4e04-a782-a8ba081d5748</vt:lpwstr>
  </property>
  <property fmtid="{D5CDD505-2E9C-101B-9397-08002B2CF9AE}" pid="5" name="PRI Theme">
    <vt:lpwstr/>
  </property>
  <property fmtid="{D5CDD505-2E9C-101B-9397-08002B2CF9AE}" pid="6" name="PRI Offices">
    <vt:lpwstr>20;#Organisational|36fcc256-9009-46b9-905a-517613e4ca44</vt:lpwstr>
  </property>
  <property fmtid="{D5CDD505-2E9C-101B-9397-08002B2CF9AE}" pid="7" name="Comms Document Type">
    <vt:lpwstr>263;#Templates/form|41843426-7833-4f56-8926-b6b40b3102cb</vt:lpwstr>
  </property>
</Properties>
</file>