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D314" w14:textId="77777777" w:rsidR="00C760AB" w:rsidRPr="001B64A0" w:rsidRDefault="009D50C7" w:rsidP="009D50C7">
      <w:pPr>
        <w:autoSpaceDE w:val="0"/>
        <w:autoSpaceDN w:val="0"/>
        <w:adjustRightInd w:val="0"/>
        <w:jc w:val="center"/>
        <w:rPr>
          <w:rFonts w:ascii="Arial" w:hAnsi="Arial" w:cs="Arial"/>
          <w:b/>
          <w:bCs/>
          <w:lang w:val="es-EC"/>
        </w:rPr>
      </w:pPr>
      <w:r w:rsidRPr="001B64A0">
        <w:rPr>
          <w:rFonts w:ascii="Arial" w:hAnsi="Arial" w:cs="Arial"/>
          <w:b/>
          <w:bCs/>
          <w:lang w:val="es-EC"/>
        </w:rPr>
        <w:t>CONTRIBUCION ECUADOR A LA CONVOCATORIA PARA LA PRESENTACION DE INSUMOS ESCRITOS PARA LA ELABORACION DE UN ESTUDIO  SOBRE LA ELIMINACIÓN DE LAS PRÁCTICAS NOCIVAS RELACIONADAS CON ACUSACIONES DE BRUJERÍA Y ATAQUES RITUALES, ASI COMO LA ESTIGMATIZACIÓN</w:t>
      </w:r>
    </w:p>
    <w:p w14:paraId="7B4667E6" w14:textId="77777777" w:rsidR="009D50C7" w:rsidRPr="001B64A0" w:rsidRDefault="009D50C7" w:rsidP="009D50C7">
      <w:pPr>
        <w:autoSpaceDE w:val="0"/>
        <w:autoSpaceDN w:val="0"/>
        <w:adjustRightInd w:val="0"/>
        <w:jc w:val="center"/>
        <w:rPr>
          <w:rFonts w:ascii="Arial" w:hAnsi="Arial" w:cs="Arial"/>
          <w:b/>
          <w:bCs/>
          <w:lang w:val="es-EC"/>
        </w:rPr>
      </w:pPr>
      <w:r w:rsidRPr="001B64A0">
        <w:rPr>
          <w:rFonts w:ascii="Arial" w:hAnsi="Arial" w:cs="Arial"/>
          <w:b/>
          <w:bCs/>
          <w:lang w:val="es-EC"/>
        </w:rPr>
        <w:t xml:space="preserve">RESOLUCIÓN 47/8 DEL CONSEJO DE DERECHOS HUMANOS DE LA ONU </w:t>
      </w:r>
    </w:p>
    <w:p w14:paraId="570CE740" w14:textId="77777777" w:rsidR="009D50C7" w:rsidRPr="001B64A0" w:rsidRDefault="009D50C7" w:rsidP="009D50C7">
      <w:pPr>
        <w:autoSpaceDE w:val="0"/>
        <w:autoSpaceDN w:val="0"/>
        <w:adjustRightInd w:val="0"/>
        <w:jc w:val="center"/>
        <w:rPr>
          <w:rFonts w:ascii="Arial" w:hAnsi="Arial" w:cs="Arial"/>
          <w:b/>
          <w:bCs/>
          <w:lang w:val="es-EC"/>
        </w:rPr>
      </w:pPr>
    </w:p>
    <w:p w14:paraId="25107677" w14:textId="77777777" w:rsidR="00C760AB" w:rsidRPr="001B64A0" w:rsidRDefault="00C760AB" w:rsidP="009D50C7">
      <w:pPr>
        <w:autoSpaceDE w:val="0"/>
        <w:autoSpaceDN w:val="0"/>
        <w:adjustRightInd w:val="0"/>
        <w:jc w:val="both"/>
        <w:rPr>
          <w:rFonts w:ascii="Arial" w:hAnsi="Arial" w:cs="Arial"/>
          <w:b/>
          <w:bCs/>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AF0975" w:rsidRPr="001B64A0" w14:paraId="4CA46F72" w14:textId="77777777" w:rsidTr="00DF0650">
        <w:tc>
          <w:tcPr>
            <w:tcW w:w="8488" w:type="dxa"/>
            <w:shd w:val="clear" w:color="auto" w:fill="auto"/>
          </w:tcPr>
          <w:p w14:paraId="039D8282" w14:textId="77777777" w:rsidR="00AF0975" w:rsidRPr="001B64A0" w:rsidRDefault="00AF0975" w:rsidP="009D50C7">
            <w:pPr>
              <w:autoSpaceDE w:val="0"/>
              <w:autoSpaceDN w:val="0"/>
              <w:adjustRightInd w:val="0"/>
              <w:jc w:val="both"/>
              <w:rPr>
                <w:rFonts w:ascii="Arial" w:hAnsi="Arial" w:cs="Arial"/>
                <w:b/>
                <w:bCs/>
                <w:lang w:val="es-EC"/>
              </w:rPr>
            </w:pPr>
            <w:r w:rsidRPr="001B64A0">
              <w:rPr>
                <w:rFonts w:ascii="Arial" w:hAnsi="Arial" w:cs="Arial"/>
                <w:b/>
                <w:bCs/>
                <w:lang w:val="es-EC"/>
              </w:rPr>
              <w:t>3. ¿Qué medidas se han implementado para garantizar la igualdad de acceso a la justicia, incluidos el recurso efectivo, el apoyo psicosocial, la rehabilitación y la reintegración de los y las supervivientes?</w:t>
            </w:r>
          </w:p>
        </w:tc>
      </w:tr>
    </w:tbl>
    <w:p w14:paraId="5B54476C" w14:textId="77777777" w:rsidR="00C760AB" w:rsidRPr="001B64A0" w:rsidRDefault="00C760AB" w:rsidP="009D50C7">
      <w:pPr>
        <w:autoSpaceDE w:val="0"/>
        <w:autoSpaceDN w:val="0"/>
        <w:adjustRightInd w:val="0"/>
        <w:jc w:val="both"/>
        <w:rPr>
          <w:rFonts w:ascii="Arial" w:hAnsi="Arial" w:cs="Arial"/>
          <w:b/>
          <w:bCs/>
          <w:lang w:val="es-EC"/>
        </w:rPr>
      </w:pPr>
    </w:p>
    <w:p w14:paraId="4B44E05C" w14:textId="77777777" w:rsidR="00675F3F" w:rsidRPr="001B64A0" w:rsidRDefault="00675F3F" w:rsidP="009D50C7">
      <w:pPr>
        <w:jc w:val="both"/>
        <w:rPr>
          <w:rFonts w:ascii="Arial" w:hAnsi="Arial" w:cs="Arial"/>
        </w:rPr>
      </w:pPr>
      <w:r w:rsidRPr="001B64A0">
        <w:rPr>
          <w:rFonts w:ascii="Arial" w:hAnsi="Arial" w:cs="Arial"/>
        </w:rPr>
        <w:t xml:space="preserve">El acceso a la justicia en el </w:t>
      </w:r>
      <w:r w:rsidR="009D50C7" w:rsidRPr="009D50C7">
        <w:rPr>
          <w:rFonts w:ascii="Arial" w:hAnsi="Arial" w:cs="Arial"/>
        </w:rPr>
        <w:t>Ecuador</w:t>
      </w:r>
      <w:r w:rsidRPr="001B64A0">
        <w:rPr>
          <w:rFonts w:ascii="Arial" w:hAnsi="Arial" w:cs="Arial"/>
        </w:rPr>
        <w:t xml:space="preserve"> se encuentra garantizado en el artículo 75 de la Constitución </w:t>
      </w:r>
      <w:r w:rsidR="00E70C1E">
        <w:rPr>
          <w:rFonts w:ascii="Arial" w:hAnsi="Arial" w:cs="Arial"/>
        </w:rPr>
        <w:t xml:space="preserve">que establece </w:t>
      </w:r>
      <w:r w:rsidRPr="001B64A0">
        <w:rPr>
          <w:rFonts w:ascii="Arial" w:hAnsi="Arial" w:cs="Arial"/>
        </w:rPr>
        <w:t>que toda persona tiene derecho al acceso gratuito a la justicia y a la tutela efectiva, imparcial y expedita de sus derechos e intereses, con sujeción a los principios de inmediación y celeridad; en ningún caso quedará en indefensión. El incumplimiento de las resoluciones judiciales será sancionado por la ley.</w:t>
      </w:r>
    </w:p>
    <w:p w14:paraId="2C60195E" w14:textId="77777777" w:rsidR="00675F3F" w:rsidRPr="001B64A0" w:rsidRDefault="00675F3F" w:rsidP="009D50C7">
      <w:pPr>
        <w:jc w:val="both"/>
        <w:rPr>
          <w:rFonts w:ascii="Arial" w:hAnsi="Arial" w:cs="Arial"/>
        </w:rPr>
      </w:pPr>
    </w:p>
    <w:p w14:paraId="7DB9ECDB" w14:textId="77777777" w:rsidR="00675F3F" w:rsidRPr="001B64A0" w:rsidRDefault="00E70C1E" w:rsidP="009D50C7">
      <w:pPr>
        <w:jc w:val="both"/>
        <w:rPr>
          <w:rFonts w:ascii="Arial" w:hAnsi="Arial" w:cs="Arial"/>
        </w:rPr>
      </w:pPr>
      <w:r>
        <w:rPr>
          <w:rFonts w:ascii="Arial" w:hAnsi="Arial" w:cs="Arial"/>
        </w:rPr>
        <w:t>El</w:t>
      </w:r>
      <w:r w:rsidR="00675F3F" w:rsidRPr="001B64A0">
        <w:rPr>
          <w:rFonts w:ascii="Arial" w:hAnsi="Arial" w:cs="Arial"/>
        </w:rPr>
        <w:t xml:space="preserve"> Código Orgánico de la Función Judicial (COFJ)</w:t>
      </w:r>
      <w:r w:rsidR="009D50C7">
        <w:rPr>
          <w:rFonts w:ascii="Arial" w:hAnsi="Arial" w:cs="Arial"/>
        </w:rPr>
        <w:t>,</w:t>
      </w:r>
      <w:r w:rsidR="00675F3F" w:rsidRPr="001B64A0">
        <w:rPr>
          <w:rFonts w:ascii="Arial" w:hAnsi="Arial" w:cs="Arial"/>
        </w:rPr>
        <w:t xml:space="preserve"> </w:t>
      </w:r>
      <w:r w:rsidR="000561B0" w:rsidRPr="001B64A0">
        <w:rPr>
          <w:rFonts w:ascii="Arial" w:hAnsi="Arial" w:cs="Arial"/>
        </w:rPr>
        <w:t>en su artículo 22</w:t>
      </w:r>
      <w:r w:rsidR="009D50C7">
        <w:rPr>
          <w:rFonts w:ascii="Arial" w:hAnsi="Arial" w:cs="Arial"/>
        </w:rPr>
        <w:t>,</w:t>
      </w:r>
      <w:r w:rsidR="000561B0" w:rsidRPr="001B64A0">
        <w:rPr>
          <w:rFonts w:ascii="Arial" w:hAnsi="Arial" w:cs="Arial"/>
        </w:rPr>
        <w:t xml:space="preserve"> </w:t>
      </w:r>
      <w:r w:rsidR="00675F3F" w:rsidRPr="001B64A0">
        <w:rPr>
          <w:rFonts w:ascii="Arial" w:hAnsi="Arial" w:cs="Arial"/>
        </w:rPr>
        <w:t xml:space="preserve">se refiere al acceso a la justicia y lo incorpora entre los principios rectores y disposiciones fundamentales que rigen la administración de justicia en los siguientes términos: </w:t>
      </w:r>
    </w:p>
    <w:p w14:paraId="60C09939" w14:textId="77777777" w:rsidR="00675F3F" w:rsidRPr="001B64A0" w:rsidRDefault="00675F3F" w:rsidP="009D50C7">
      <w:pPr>
        <w:jc w:val="both"/>
        <w:rPr>
          <w:rFonts w:ascii="Arial" w:hAnsi="Arial" w:cs="Arial"/>
        </w:rPr>
      </w:pPr>
    </w:p>
    <w:p w14:paraId="57C30FB9" w14:textId="77777777" w:rsidR="00675F3F" w:rsidRPr="001B64A0" w:rsidRDefault="000561B0" w:rsidP="009D50C7">
      <w:pPr>
        <w:ind w:left="705"/>
        <w:jc w:val="both"/>
        <w:rPr>
          <w:rFonts w:ascii="Arial" w:hAnsi="Arial" w:cs="Arial"/>
        </w:rPr>
      </w:pPr>
      <w:r w:rsidRPr="001B64A0">
        <w:rPr>
          <w:rFonts w:ascii="Arial" w:hAnsi="Arial" w:cs="Arial"/>
          <w:i/>
        </w:rPr>
        <w:t>“</w:t>
      </w:r>
      <w:r w:rsidR="00675F3F" w:rsidRPr="001B64A0">
        <w:rPr>
          <w:rFonts w:ascii="Arial" w:hAnsi="Arial" w:cs="Arial"/>
          <w:i/>
        </w:rPr>
        <w:t>[…]</w:t>
      </w:r>
      <w:r w:rsidR="007573D0" w:rsidRPr="001B64A0">
        <w:rPr>
          <w:rFonts w:ascii="Arial" w:hAnsi="Arial" w:cs="Arial"/>
          <w:i/>
        </w:rPr>
        <w:t xml:space="preserve"> </w:t>
      </w:r>
      <w:r w:rsidR="00675F3F" w:rsidRPr="001B64A0">
        <w:rPr>
          <w:rFonts w:ascii="Arial" w:hAnsi="Arial" w:cs="Arial"/>
          <w:i/>
        </w:rPr>
        <w:t>el Consejo de la Judicatura, en coordinación con los organismos de la Función Judicial, establecerá las medidas para superar las barreras estructurales de índole jurídica, económica, social, generacional, de género, cultural, geográfica, o de cualquier naturaleza que sea discriminatoria e impida la igualdad de acceso y de oportunidades de defensa en el proceso.</w:t>
      </w:r>
      <w:r w:rsidRPr="001B64A0">
        <w:rPr>
          <w:rFonts w:ascii="Arial" w:hAnsi="Arial" w:cs="Arial"/>
        </w:rPr>
        <w:t xml:space="preserve">” </w:t>
      </w:r>
    </w:p>
    <w:p w14:paraId="713F1B40" w14:textId="77777777" w:rsidR="00675F3F" w:rsidRPr="001B64A0" w:rsidRDefault="00675F3F" w:rsidP="009D50C7">
      <w:pPr>
        <w:jc w:val="both"/>
        <w:rPr>
          <w:rFonts w:ascii="Arial" w:hAnsi="Arial" w:cs="Arial"/>
        </w:rPr>
      </w:pPr>
    </w:p>
    <w:p w14:paraId="1D05476F" w14:textId="77777777" w:rsidR="00E70C1E" w:rsidRDefault="007573D0" w:rsidP="009D50C7">
      <w:pPr>
        <w:jc w:val="both"/>
        <w:rPr>
          <w:rFonts w:ascii="Arial" w:hAnsi="Arial" w:cs="Arial"/>
        </w:rPr>
      </w:pPr>
      <w:r w:rsidRPr="001B64A0">
        <w:rPr>
          <w:rFonts w:ascii="Arial" w:hAnsi="Arial" w:cs="Arial"/>
        </w:rPr>
        <w:t xml:space="preserve">Teniendo en cuenta el enfoque intercultural y plurinacional, </w:t>
      </w:r>
      <w:r w:rsidR="002912FB" w:rsidRPr="001B64A0">
        <w:rPr>
          <w:rFonts w:ascii="Arial" w:hAnsi="Arial" w:cs="Arial"/>
        </w:rPr>
        <w:t xml:space="preserve">el Consejo de la Judicatura ha impulsado y fortalecido el desarrollo de propuestas e iniciativas orientadas a promover el </w:t>
      </w:r>
      <w:r w:rsidR="00E70C1E">
        <w:rPr>
          <w:rFonts w:ascii="Arial" w:hAnsi="Arial" w:cs="Arial"/>
        </w:rPr>
        <w:t xml:space="preserve">disfrute </w:t>
      </w:r>
      <w:r w:rsidR="00E70C1E" w:rsidRPr="0011795A">
        <w:rPr>
          <w:rFonts w:ascii="Arial" w:hAnsi="Arial" w:cs="Arial"/>
        </w:rPr>
        <w:t>del derecho a la igualdad y no discriminación</w:t>
      </w:r>
      <w:r w:rsidR="00E70C1E" w:rsidRPr="00E70C1E">
        <w:rPr>
          <w:rFonts w:ascii="Arial" w:hAnsi="Arial" w:cs="Arial"/>
        </w:rPr>
        <w:t xml:space="preserve"> </w:t>
      </w:r>
      <w:r w:rsidR="00E70C1E">
        <w:rPr>
          <w:rFonts w:ascii="Arial" w:hAnsi="Arial" w:cs="Arial"/>
        </w:rPr>
        <w:t xml:space="preserve">y el </w:t>
      </w:r>
      <w:r w:rsidR="002912FB" w:rsidRPr="001B64A0">
        <w:rPr>
          <w:rFonts w:ascii="Arial" w:hAnsi="Arial" w:cs="Arial"/>
        </w:rPr>
        <w:t>óptimo acceso de los pueblos y nacionalidades indígenas a los servicios de justicia, coordinando y articulando procesos interinstitucionales orientados al acceso integral a la justicia, con énfasis en la aplicación del principio de interculturalidad</w:t>
      </w:r>
      <w:r w:rsidR="00E70C1E">
        <w:rPr>
          <w:rFonts w:ascii="Arial" w:hAnsi="Arial" w:cs="Arial"/>
        </w:rPr>
        <w:t xml:space="preserve">. </w:t>
      </w:r>
    </w:p>
    <w:p w14:paraId="6E92376D" w14:textId="77777777" w:rsidR="00E70C1E" w:rsidRDefault="00E70C1E" w:rsidP="009D50C7">
      <w:pPr>
        <w:jc w:val="both"/>
        <w:rPr>
          <w:rFonts w:ascii="Arial" w:hAnsi="Arial" w:cs="Arial"/>
        </w:rPr>
      </w:pPr>
    </w:p>
    <w:p w14:paraId="7A654316" w14:textId="77777777" w:rsidR="008A58D2" w:rsidRPr="001B64A0" w:rsidRDefault="00E70C1E" w:rsidP="009D50C7">
      <w:pPr>
        <w:jc w:val="both"/>
        <w:rPr>
          <w:rFonts w:ascii="Arial" w:hAnsi="Arial" w:cs="Arial"/>
        </w:rPr>
      </w:pPr>
      <w:r>
        <w:rPr>
          <w:rFonts w:ascii="Arial" w:hAnsi="Arial" w:cs="Arial"/>
        </w:rPr>
        <w:t>También,</w:t>
      </w:r>
      <w:r w:rsidR="002912FB" w:rsidRPr="001B64A0">
        <w:rPr>
          <w:rFonts w:ascii="Arial" w:hAnsi="Arial" w:cs="Arial"/>
        </w:rPr>
        <w:t xml:space="preserve"> ha establecido como uno de sus ejes estratégicos </w:t>
      </w:r>
      <w:r>
        <w:rPr>
          <w:rFonts w:ascii="Arial" w:hAnsi="Arial" w:cs="Arial"/>
        </w:rPr>
        <w:t>la promoción del</w:t>
      </w:r>
      <w:r w:rsidR="002912FB" w:rsidRPr="001B64A0">
        <w:rPr>
          <w:rFonts w:ascii="Arial" w:hAnsi="Arial" w:cs="Arial"/>
        </w:rPr>
        <w:t xml:space="preserve"> acceso de la ciudadanía a los servicios de justicia, eliminando las barreras estructurales de índole jurídico, económico, social, generacional, de género, cultural, geográfico que impiden o menoscaban el derecho de todas las personas a gozar de una justicia igualitaria, gratuita, cercana, transparente, e intercultural</w:t>
      </w:r>
      <w:r>
        <w:rPr>
          <w:rFonts w:ascii="Arial" w:hAnsi="Arial" w:cs="Arial"/>
        </w:rPr>
        <w:t xml:space="preserve">, </w:t>
      </w:r>
      <w:r w:rsidR="002912FB" w:rsidRPr="001B64A0">
        <w:rPr>
          <w:rFonts w:ascii="Arial" w:hAnsi="Arial" w:cs="Arial"/>
        </w:rPr>
        <w:t xml:space="preserve">entre otros. </w:t>
      </w:r>
    </w:p>
    <w:p w14:paraId="19CB91D0" w14:textId="77777777" w:rsidR="009D50C7" w:rsidRPr="001B64A0" w:rsidRDefault="009D50C7" w:rsidP="001B64A0">
      <w:pPr>
        <w:pStyle w:val="ListParagraph"/>
        <w:ind w:left="0"/>
        <w:jc w:val="both"/>
        <w:rPr>
          <w:rFonts w:ascii="Arial" w:hAnsi="Arial" w:cs="Arial"/>
        </w:rPr>
      </w:pPr>
    </w:p>
    <w:p w14:paraId="31A5A4EA" w14:textId="77777777" w:rsidR="002912FB" w:rsidRPr="001B64A0" w:rsidRDefault="002912FB" w:rsidP="009D50C7">
      <w:pPr>
        <w:jc w:val="both"/>
        <w:rPr>
          <w:rFonts w:ascii="Arial" w:hAnsi="Arial" w:cs="Arial"/>
        </w:rPr>
      </w:pPr>
      <w:r w:rsidRPr="001B64A0">
        <w:rPr>
          <w:rFonts w:ascii="Arial" w:hAnsi="Arial" w:cs="Arial"/>
        </w:rPr>
        <w:t xml:space="preserve">Así, el Consejo de la Judicatura ha impulsado proyectos y convenios especializados en el eje de interculturalidad en la justicia, dando como resultado la difusión y promoción de la “Guía para la Transversalización del Principio de Interculturalidad” </w:t>
      </w:r>
      <w:r w:rsidRPr="001B64A0">
        <w:rPr>
          <w:rFonts w:ascii="Arial" w:hAnsi="Arial" w:cs="Arial"/>
        </w:rPr>
        <w:lastRenderedPageBreak/>
        <w:t xml:space="preserve">durante los años 2019 y 2020. Asimismo, se resalta el proceso de traducción al </w:t>
      </w:r>
      <w:proofErr w:type="spellStart"/>
      <w:r w:rsidRPr="001B64A0">
        <w:rPr>
          <w:rFonts w:ascii="Arial" w:hAnsi="Arial" w:cs="Arial"/>
        </w:rPr>
        <w:t>kichwa</w:t>
      </w:r>
      <w:proofErr w:type="spellEnd"/>
      <w:r w:rsidRPr="001B64A0">
        <w:rPr>
          <w:rFonts w:ascii="Arial" w:hAnsi="Arial" w:cs="Arial"/>
        </w:rPr>
        <w:t xml:space="preserve"> del “Protocolo para peritos interpretes en violencia de género”.</w:t>
      </w:r>
    </w:p>
    <w:p w14:paraId="3AB4825E" w14:textId="77777777" w:rsidR="002912FB" w:rsidRPr="001B64A0" w:rsidRDefault="002912FB" w:rsidP="009D50C7">
      <w:pPr>
        <w:pStyle w:val="ListParagraph"/>
        <w:ind w:left="780"/>
        <w:jc w:val="both"/>
        <w:rPr>
          <w:rFonts w:ascii="Arial" w:hAnsi="Arial" w:cs="Arial"/>
        </w:rPr>
      </w:pPr>
    </w:p>
    <w:p w14:paraId="39FA366D" w14:textId="77777777" w:rsidR="002912FB" w:rsidRPr="001B64A0" w:rsidRDefault="00F41B41" w:rsidP="009D50C7">
      <w:pPr>
        <w:jc w:val="both"/>
        <w:rPr>
          <w:rFonts w:ascii="Arial" w:hAnsi="Arial" w:cs="Arial"/>
        </w:rPr>
      </w:pPr>
      <w:r w:rsidRPr="001B64A0">
        <w:rPr>
          <w:rFonts w:ascii="Arial" w:hAnsi="Arial" w:cs="Arial"/>
        </w:rPr>
        <w:t xml:space="preserve">Por otra parte, se han </w:t>
      </w:r>
      <w:r w:rsidR="002912FB" w:rsidRPr="001B64A0">
        <w:rPr>
          <w:rFonts w:ascii="Arial" w:hAnsi="Arial" w:cs="Arial"/>
        </w:rPr>
        <w:t>establec</w:t>
      </w:r>
      <w:r w:rsidRPr="001B64A0">
        <w:rPr>
          <w:rFonts w:ascii="Arial" w:hAnsi="Arial" w:cs="Arial"/>
        </w:rPr>
        <w:t xml:space="preserve">ido </w:t>
      </w:r>
      <w:r w:rsidR="002912FB" w:rsidRPr="001B64A0">
        <w:rPr>
          <w:rFonts w:ascii="Arial" w:hAnsi="Arial" w:cs="Arial"/>
        </w:rPr>
        <w:t>parámetros para garanti</w:t>
      </w:r>
      <w:r w:rsidRPr="001B64A0">
        <w:rPr>
          <w:rFonts w:ascii="Arial" w:hAnsi="Arial" w:cs="Arial"/>
        </w:rPr>
        <w:t xml:space="preserve">zar una justicia intercultural, </w:t>
      </w:r>
      <w:r w:rsidR="00A57140">
        <w:rPr>
          <w:rFonts w:ascii="Arial" w:hAnsi="Arial" w:cs="Arial"/>
        </w:rPr>
        <w:t xml:space="preserve">según lo dispuesto en </w:t>
      </w:r>
      <w:r w:rsidRPr="001B64A0">
        <w:rPr>
          <w:rFonts w:ascii="Arial" w:hAnsi="Arial" w:cs="Arial"/>
        </w:rPr>
        <w:t xml:space="preserve">la </w:t>
      </w:r>
      <w:r w:rsidR="002912FB" w:rsidRPr="001B64A0">
        <w:rPr>
          <w:rFonts w:ascii="Arial" w:hAnsi="Arial" w:cs="Arial"/>
        </w:rPr>
        <w:t>sentencia de Corte Constitucional No. 112-14-JH/21 de 28 de julio</w:t>
      </w:r>
      <w:r w:rsidR="00A57140">
        <w:rPr>
          <w:rFonts w:ascii="Arial" w:hAnsi="Arial" w:cs="Arial"/>
        </w:rPr>
        <w:t>. El</w:t>
      </w:r>
      <w:r w:rsidR="002912FB" w:rsidRPr="001B64A0">
        <w:rPr>
          <w:rFonts w:ascii="Arial" w:hAnsi="Arial" w:cs="Arial"/>
        </w:rPr>
        <w:t xml:space="preserve"> Consejo de la Judicatura, en coordinación con la Defensoría Pública, la Fiscalía y la Defensoría del Pueblo, en el marco de sus competencias y con la participación de autoridades y organizaciones indígenas, se encuentran formulando un plan participativo para fortalecer el enfoque intercultural en los órganos de justicia, en el que se incluyen ejes programáticos para la consolidación e implementación del proceso de fortalecimiento del enfoque intercultural en los órganos de justicia, a través de metodologías de diálogo conjunto y participativo entre operadores de justicia, autoridades que administran justicia indígena, abogados en libre ejercicio y demás</w:t>
      </w:r>
      <w:r w:rsidRPr="001B64A0">
        <w:rPr>
          <w:rFonts w:ascii="Arial" w:hAnsi="Arial" w:cs="Arial"/>
        </w:rPr>
        <w:t xml:space="preserve"> actores en la materia.</w:t>
      </w:r>
    </w:p>
    <w:p w14:paraId="4F06CB1D" w14:textId="77777777" w:rsidR="00F41B41" w:rsidRPr="001B64A0" w:rsidRDefault="00F41B41" w:rsidP="009D50C7">
      <w:pPr>
        <w:pStyle w:val="ListParagraph"/>
        <w:ind w:left="780"/>
        <w:jc w:val="both"/>
        <w:rPr>
          <w:rFonts w:ascii="Arial" w:hAnsi="Arial" w:cs="Arial"/>
        </w:rPr>
      </w:pPr>
    </w:p>
    <w:p w14:paraId="52AAF75E" w14:textId="77777777" w:rsidR="00F41B41" w:rsidRPr="001B64A0" w:rsidRDefault="00F41B41" w:rsidP="009D50C7">
      <w:pPr>
        <w:jc w:val="both"/>
        <w:rPr>
          <w:rFonts w:ascii="Arial" w:hAnsi="Arial" w:cs="Arial"/>
          <w:lang w:val="es-EC"/>
        </w:rPr>
      </w:pPr>
      <w:r w:rsidRPr="001B64A0">
        <w:rPr>
          <w:rFonts w:ascii="Arial" w:hAnsi="Arial" w:cs="Arial"/>
          <w:lang w:val="es-EC"/>
        </w:rPr>
        <w:t xml:space="preserve">Un avance constituye el levantamiento de </w:t>
      </w:r>
      <w:r w:rsidR="00E70C1E">
        <w:rPr>
          <w:rFonts w:ascii="Arial" w:hAnsi="Arial" w:cs="Arial"/>
          <w:lang w:val="es-EC"/>
        </w:rPr>
        <w:t xml:space="preserve">los </w:t>
      </w:r>
      <w:r w:rsidRPr="001B64A0">
        <w:rPr>
          <w:rFonts w:ascii="Arial" w:hAnsi="Arial" w:cs="Arial"/>
          <w:lang w:val="es-EC"/>
        </w:rPr>
        <w:t xml:space="preserve">estándares constitucionales sobre el principio de interculturalidad, </w:t>
      </w:r>
      <w:r w:rsidR="00A57140">
        <w:rPr>
          <w:rFonts w:ascii="Arial" w:hAnsi="Arial" w:cs="Arial"/>
          <w:lang w:val="es-EC"/>
        </w:rPr>
        <w:t>según se establece</w:t>
      </w:r>
      <w:r w:rsidR="00A57140" w:rsidRPr="001B64A0">
        <w:rPr>
          <w:rFonts w:ascii="Arial" w:hAnsi="Arial" w:cs="Arial"/>
          <w:lang w:val="es-EC"/>
        </w:rPr>
        <w:t xml:space="preserve"> </w:t>
      </w:r>
      <w:r w:rsidRPr="001B64A0">
        <w:rPr>
          <w:rFonts w:ascii="Arial" w:hAnsi="Arial" w:cs="Arial"/>
          <w:lang w:val="es-EC"/>
        </w:rPr>
        <w:t>en las sentencias emitidas por la Corte Constitucional del Ecuador sobre pluralismo jurídico</w:t>
      </w:r>
      <w:r w:rsidR="00A57140">
        <w:rPr>
          <w:rFonts w:ascii="Arial" w:hAnsi="Arial" w:cs="Arial"/>
          <w:lang w:val="es-EC"/>
        </w:rPr>
        <w:t xml:space="preserve"> y que refuerzan las competencias de </w:t>
      </w:r>
      <w:r w:rsidR="00A57140" w:rsidRPr="0011795A">
        <w:rPr>
          <w:rFonts w:ascii="Arial" w:hAnsi="Arial" w:cs="Arial"/>
          <w:lang w:val="es-EC"/>
        </w:rPr>
        <w:t>asesoría a órganos jurisdiccionales</w:t>
      </w:r>
      <w:r w:rsidR="00A57140">
        <w:rPr>
          <w:rFonts w:ascii="Arial" w:hAnsi="Arial" w:cs="Arial"/>
          <w:lang w:val="es-EC"/>
        </w:rPr>
        <w:t>.</w:t>
      </w:r>
    </w:p>
    <w:p w14:paraId="03E0B734" w14:textId="77777777" w:rsidR="008E4607" w:rsidRPr="001B64A0" w:rsidRDefault="008E4607" w:rsidP="009D50C7">
      <w:pPr>
        <w:jc w:val="both"/>
        <w:rPr>
          <w:rFonts w:ascii="Arial" w:hAnsi="Arial" w:cs="Arial"/>
          <w:lang w:val="es-EC"/>
        </w:rPr>
      </w:pPr>
    </w:p>
    <w:p w14:paraId="5EE10880" w14:textId="77777777" w:rsidR="00A57140" w:rsidRDefault="00F41B41" w:rsidP="009D50C7">
      <w:pPr>
        <w:jc w:val="both"/>
        <w:rPr>
          <w:rFonts w:ascii="Arial" w:hAnsi="Arial" w:cs="Arial"/>
          <w:lang w:val="es-EC"/>
        </w:rPr>
      </w:pPr>
      <w:r w:rsidRPr="001B64A0">
        <w:rPr>
          <w:rFonts w:ascii="Arial" w:hAnsi="Arial" w:cs="Arial"/>
          <w:lang w:val="es-EC"/>
        </w:rPr>
        <w:t xml:space="preserve">De igual manera, es importante resaltar el apoyo técnico y la cooperación desde el fortalecimiento de alianzas estratégicas con distintos actores. </w:t>
      </w:r>
      <w:r w:rsidR="00A57140">
        <w:rPr>
          <w:rFonts w:ascii="Arial" w:hAnsi="Arial" w:cs="Arial"/>
          <w:lang w:val="es-EC"/>
        </w:rPr>
        <w:t>En</w:t>
      </w:r>
      <w:r w:rsidRPr="001B64A0">
        <w:rPr>
          <w:rFonts w:ascii="Arial" w:hAnsi="Arial" w:cs="Arial"/>
          <w:lang w:val="es-EC"/>
        </w:rPr>
        <w:t xml:space="preserve"> 2021, se suscribi</w:t>
      </w:r>
      <w:r w:rsidR="00A57140">
        <w:rPr>
          <w:rFonts w:ascii="Arial" w:hAnsi="Arial" w:cs="Arial"/>
          <w:lang w:val="es-EC"/>
        </w:rPr>
        <w:t>eron dos instrumentos:</w:t>
      </w:r>
    </w:p>
    <w:p w14:paraId="7A1002B1" w14:textId="77777777" w:rsidR="00E70C1E" w:rsidRDefault="00E70C1E" w:rsidP="009D50C7">
      <w:pPr>
        <w:jc w:val="both"/>
        <w:rPr>
          <w:rFonts w:ascii="Arial" w:hAnsi="Arial" w:cs="Arial"/>
          <w:lang w:val="es-EC"/>
        </w:rPr>
      </w:pPr>
    </w:p>
    <w:p w14:paraId="53444B97" w14:textId="77777777" w:rsidR="00A57140" w:rsidRDefault="00F41B41" w:rsidP="00A57140">
      <w:pPr>
        <w:numPr>
          <w:ilvl w:val="0"/>
          <w:numId w:val="3"/>
        </w:numPr>
        <w:jc w:val="both"/>
        <w:rPr>
          <w:rFonts w:ascii="Arial" w:hAnsi="Arial" w:cs="Arial"/>
          <w:lang w:val="es-EC"/>
        </w:rPr>
      </w:pPr>
      <w:r w:rsidRPr="001B64A0">
        <w:rPr>
          <w:rFonts w:ascii="Arial" w:hAnsi="Arial" w:cs="Arial"/>
          <w:lang w:val="es-EC"/>
        </w:rPr>
        <w:t xml:space="preserve">Convenio de </w:t>
      </w:r>
      <w:r w:rsidR="00A57140">
        <w:rPr>
          <w:rFonts w:ascii="Arial" w:hAnsi="Arial" w:cs="Arial"/>
          <w:lang w:val="es-EC"/>
        </w:rPr>
        <w:t>v</w:t>
      </w:r>
      <w:r w:rsidRPr="001B64A0">
        <w:rPr>
          <w:rFonts w:ascii="Arial" w:hAnsi="Arial" w:cs="Arial"/>
          <w:lang w:val="es-EC"/>
        </w:rPr>
        <w:t xml:space="preserve">inculación docente entre el Consejo de la Judicatura y el Instituto Superior Tecnológico Intercultural “Eugenio Espejo, </w:t>
      </w:r>
      <w:r w:rsidR="002A4BA7">
        <w:rPr>
          <w:rFonts w:ascii="Arial" w:hAnsi="Arial" w:cs="Arial"/>
          <w:lang w:val="es-EC"/>
        </w:rPr>
        <w:t>para</w:t>
      </w:r>
      <w:r w:rsidRPr="001B64A0">
        <w:rPr>
          <w:rFonts w:ascii="Arial" w:hAnsi="Arial" w:cs="Arial"/>
          <w:lang w:val="es-EC"/>
        </w:rPr>
        <w:t xml:space="preserve"> la difusión de políticas, resoluciones, protocolos y procedimientos para el acceso a la justicia de pueblos y nacionalidades indígenas</w:t>
      </w:r>
      <w:r w:rsidR="002A4BA7">
        <w:rPr>
          <w:rFonts w:ascii="Arial" w:hAnsi="Arial" w:cs="Arial"/>
          <w:lang w:val="es-EC"/>
        </w:rPr>
        <w:t xml:space="preserve"> </w:t>
      </w:r>
      <w:r w:rsidR="002A4BA7" w:rsidRPr="0011795A">
        <w:rPr>
          <w:rFonts w:ascii="Arial" w:hAnsi="Arial" w:cs="Arial"/>
          <w:lang w:val="es-EC"/>
        </w:rPr>
        <w:t>en lenguas ancestrales</w:t>
      </w:r>
      <w:r w:rsidR="002A4BA7">
        <w:rPr>
          <w:rFonts w:ascii="Arial" w:hAnsi="Arial" w:cs="Arial"/>
          <w:lang w:val="es-EC"/>
        </w:rPr>
        <w:t xml:space="preserve">. </w:t>
      </w:r>
      <w:r w:rsidRPr="001B64A0">
        <w:rPr>
          <w:rFonts w:ascii="Arial" w:hAnsi="Arial" w:cs="Arial"/>
          <w:lang w:val="es-EC"/>
        </w:rPr>
        <w:t xml:space="preserve"> </w:t>
      </w:r>
      <w:r w:rsidR="00E70C1E">
        <w:rPr>
          <w:rFonts w:ascii="Arial" w:hAnsi="Arial" w:cs="Arial"/>
          <w:lang w:val="es-EC"/>
        </w:rPr>
        <w:t>y la traducción del español</w:t>
      </w:r>
      <w:r w:rsidRPr="001B64A0">
        <w:rPr>
          <w:rFonts w:ascii="Arial" w:hAnsi="Arial" w:cs="Arial"/>
          <w:lang w:val="es-EC"/>
        </w:rPr>
        <w:t xml:space="preserve"> al </w:t>
      </w:r>
      <w:proofErr w:type="spellStart"/>
      <w:r w:rsidRPr="001B64A0">
        <w:rPr>
          <w:rFonts w:ascii="Arial" w:hAnsi="Arial" w:cs="Arial"/>
          <w:lang w:val="es-EC"/>
        </w:rPr>
        <w:t>kiwcha</w:t>
      </w:r>
      <w:proofErr w:type="spellEnd"/>
      <w:r w:rsidRPr="001B64A0">
        <w:rPr>
          <w:rFonts w:ascii="Arial" w:hAnsi="Arial" w:cs="Arial"/>
          <w:lang w:val="es-EC"/>
        </w:rPr>
        <w:t xml:space="preserve"> de dichos documentos en materia de violencia contra las mujeres, niñez y adolescencia, interculturalidad</w:t>
      </w:r>
      <w:r w:rsidR="002A4BA7">
        <w:rPr>
          <w:rFonts w:ascii="Arial" w:hAnsi="Arial" w:cs="Arial"/>
          <w:lang w:val="es-EC"/>
        </w:rPr>
        <w:t xml:space="preserve"> y</w:t>
      </w:r>
      <w:r w:rsidRPr="001B64A0">
        <w:rPr>
          <w:rFonts w:ascii="Arial" w:hAnsi="Arial" w:cs="Arial"/>
          <w:lang w:val="es-EC"/>
        </w:rPr>
        <w:t xml:space="preserve"> pluralismo jurídico</w:t>
      </w:r>
      <w:r w:rsidR="002A4BA7">
        <w:rPr>
          <w:rFonts w:ascii="Arial" w:hAnsi="Arial" w:cs="Arial"/>
          <w:lang w:val="es-EC"/>
        </w:rPr>
        <w:t>.</w:t>
      </w:r>
    </w:p>
    <w:p w14:paraId="7E14D377" w14:textId="77777777" w:rsidR="002A4BA7" w:rsidRDefault="002A4BA7" w:rsidP="001B64A0">
      <w:pPr>
        <w:ind w:left="720"/>
        <w:jc w:val="both"/>
        <w:rPr>
          <w:rFonts w:ascii="Arial" w:hAnsi="Arial" w:cs="Arial"/>
          <w:lang w:val="es-EC"/>
        </w:rPr>
      </w:pPr>
    </w:p>
    <w:p w14:paraId="000186DA" w14:textId="77777777" w:rsidR="00F41B41" w:rsidRPr="001B64A0" w:rsidRDefault="00F41B41" w:rsidP="001B64A0">
      <w:pPr>
        <w:numPr>
          <w:ilvl w:val="0"/>
          <w:numId w:val="3"/>
        </w:numPr>
        <w:jc w:val="both"/>
        <w:rPr>
          <w:rFonts w:ascii="Arial" w:hAnsi="Arial" w:cs="Arial"/>
          <w:lang w:val="es-EC"/>
        </w:rPr>
      </w:pPr>
      <w:r w:rsidRPr="001B64A0">
        <w:rPr>
          <w:rFonts w:ascii="Arial" w:hAnsi="Arial" w:cs="Arial"/>
          <w:lang w:val="es-EC"/>
        </w:rPr>
        <w:t>Convenio Consorcio Justicia indígena con la Universidad Central del Ecuador, el Movimiento Indígena Campesino de Cotopaxi, Manos Unidad y la Central Ecuatoriana de Servicios Agrícolas, gracias al impulso del “Proyecto Fomento de una cultura de paz y democracia a través del fortalecimiento de la Justicia indígena en Ecuador”</w:t>
      </w:r>
      <w:r w:rsidR="00A57140">
        <w:rPr>
          <w:rFonts w:ascii="Arial" w:hAnsi="Arial" w:cs="Arial"/>
          <w:lang w:val="es-EC"/>
        </w:rPr>
        <w:t xml:space="preserve">. Los esfuerzos nacionales se han complementado con cooperación de </w:t>
      </w:r>
      <w:r w:rsidRPr="001B64A0">
        <w:rPr>
          <w:rFonts w:ascii="Arial" w:hAnsi="Arial" w:cs="Arial"/>
          <w:lang w:val="es-EC"/>
        </w:rPr>
        <w:t>la Unión Europea.</w:t>
      </w:r>
    </w:p>
    <w:p w14:paraId="559F0E2B" w14:textId="77777777" w:rsidR="008E4607" w:rsidRPr="001B64A0" w:rsidRDefault="008E4607" w:rsidP="009D50C7">
      <w:pPr>
        <w:jc w:val="both"/>
        <w:rPr>
          <w:rFonts w:ascii="Arial" w:hAnsi="Arial" w:cs="Arial"/>
        </w:rPr>
      </w:pPr>
    </w:p>
    <w:p w14:paraId="51EF7192" w14:textId="77777777" w:rsidR="00E81E41" w:rsidRPr="001B64A0" w:rsidRDefault="00EC6564" w:rsidP="009D50C7">
      <w:pPr>
        <w:jc w:val="both"/>
        <w:rPr>
          <w:rFonts w:ascii="Arial" w:hAnsi="Arial" w:cs="Arial"/>
        </w:rPr>
      </w:pPr>
      <w:r w:rsidRPr="001B64A0">
        <w:rPr>
          <w:rFonts w:ascii="Arial" w:hAnsi="Arial" w:cs="Arial"/>
        </w:rPr>
        <w:t xml:space="preserve">Finalmente, el Sistema Pericial de la Función Judicial también se ha visto beneficiado con </w:t>
      </w:r>
      <w:r w:rsidR="00A57140">
        <w:rPr>
          <w:rFonts w:ascii="Arial" w:hAnsi="Arial" w:cs="Arial"/>
        </w:rPr>
        <w:t xml:space="preserve">la </w:t>
      </w:r>
      <w:r w:rsidRPr="001B64A0">
        <w:rPr>
          <w:rFonts w:ascii="Arial" w:hAnsi="Arial" w:cs="Arial"/>
        </w:rPr>
        <w:t>inclusión de profesionales expertos en lenguas ancestrales e interculturalidad. Es así que, para 2019, se contaba con un total de 13 peritos acreditados a nivel nacional, mientras que hasta el mes de septiembre de 2022, el Sistema cuenta con un total de 29 peritos acreditado</w:t>
      </w:r>
      <w:r w:rsidR="00A57140">
        <w:rPr>
          <w:rFonts w:ascii="Arial" w:hAnsi="Arial" w:cs="Arial"/>
        </w:rPr>
        <w:t>s.</w:t>
      </w:r>
    </w:p>
    <w:p w14:paraId="69E4CF98" w14:textId="77777777" w:rsidR="00AF0975" w:rsidRPr="001B64A0" w:rsidRDefault="00AF0975" w:rsidP="009D50C7">
      <w:pPr>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AF0975" w:rsidRPr="001B64A0" w14:paraId="463A3446" w14:textId="77777777" w:rsidTr="00DF0650">
        <w:tc>
          <w:tcPr>
            <w:tcW w:w="8488" w:type="dxa"/>
            <w:shd w:val="clear" w:color="auto" w:fill="auto"/>
          </w:tcPr>
          <w:p w14:paraId="09FCE718" w14:textId="77777777" w:rsidR="00AF0975" w:rsidRPr="001B64A0" w:rsidRDefault="00AF0975" w:rsidP="009D50C7">
            <w:pPr>
              <w:jc w:val="both"/>
              <w:rPr>
                <w:rFonts w:ascii="Arial" w:hAnsi="Arial" w:cs="Arial"/>
                <w:b/>
                <w:lang w:val="es-EC"/>
              </w:rPr>
            </w:pPr>
            <w:r w:rsidRPr="001B64A0">
              <w:rPr>
                <w:rFonts w:ascii="Arial" w:hAnsi="Arial" w:cs="Arial"/>
                <w:b/>
                <w:lang w:val="es-EC"/>
              </w:rPr>
              <w:lastRenderedPageBreak/>
              <w:t>5. ¿Existen marcos integrales de rendición de cuentas que vayan más allá de la justicia penal y los tribunales?</w:t>
            </w:r>
          </w:p>
        </w:tc>
      </w:tr>
    </w:tbl>
    <w:p w14:paraId="41F42FE1" w14:textId="77777777" w:rsidR="00AF0975" w:rsidRPr="001B64A0" w:rsidRDefault="008141F1" w:rsidP="009D50C7">
      <w:pPr>
        <w:jc w:val="both"/>
        <w:rPr>
          <w:rFonts w:ascii="Arial" w:hAnsi="Arial" w:cs="Arial"/>
          <w:lang w:val="es-ES"/>
        </w:rPr>
      </w:pPr>
      <w:r w:rsidRPr="001B64A0">
        <w:rPr>
          <w:rFonts w:ascii="Arial" w:hAnsi="Arial" w:cs="Arial"/>
          <w:lang w:val="es-ES"/>
        </w:rPr>
        <w:t xml:space="preserve"> </w:t>
      </w:r>
    </w:p>
    <w:p w14:paraId="4FDDAB65" w14:textId="77777777" w:rsidR="002C049A" w:rsidRPr="001B64A0" w:rsidRDefault="00212D91" w:rsidP="009D50C7">
      <w:pPr>
        <w:jc w:val="both"/>
        <w:rPr>
          <w:rFonts w:ascii="Arial" w:hAnsi="Arial" w:cs="Arial"/>
          <w:lang w:val="es-ES"/>
        </w:rPr>
      </w:pPr>
      <w:r w:rsidRPr="001B64A0">
        <w:rPr>
          <w:rFonts w:ascii="Arial" w:hAnsi="Arial" w:cs="Arial"/>
          <w:lang w:val="es-ES"/>
        </w:rPr>
        <w:t>Por mandato constitucional</w:t>
      </w:r>
      <w:r w:rsidR="007D52D3" w:rsidRPr="001B64A0">
        <w:rPr>
          <w:rFonts w:ascii="Arial" w:hAnsi="Arial" w:cs="Arial"/>
          <w:lang w:val="es-ES"/>
        </w:rPr>
        <w:t>, el Ecuador es un Estado intercultural, plurinacional y unitario</w:t>
      </w:r>
      <w:r w:rsidR="000479B1" w:rsidRPr="001B64A0">
        <w:rPr>
          <w:rFonts w:ascii="Arial" w:hAnsi="Arial" w:cs="Arial"/>
          <w:lang w:val="es-ES"/>
        </w:rPr>
        <w:t xml:space="preserve">, que </w:t>
      </w:r>
      <w:r w:rsidR="007D52D3" w:rsidRPr="001B64A0">
        <w:rPr>
          <w:rFonts w:ascii="Arial" w:hAnsi="Arial" w:cs="Arial"/>
          <w:lang w:val="es-ES"/>
        </w:rPr>
        <w:t xml:space="preserve">reconoce y garantiza la riqueza de la </w:t>
      </w:r>
      <w:r w:rsidR="00454AC6" w:rsidRPr="001B64A0">
        <w:rPr>
          <w:rFonts w:ascii="Arial" w:hAnsi="Arial" w:cs="Arial"/>
          <w:lang w:val="es-ES"/>
        </w:rPr>
        <w:t>diversidad cultural que convive dentro de su</w:t>
      </w:r>
      <w:r w:rsidR="007D52D3" w:rsidRPr="001B64A0">
        <w:rPr>
          <w:rFonts w:ascii="Arial" w:hAnsi="Arial" w:cs="Arial"/>
          <w:lang w:val="es-ES"/>
        </w:rPr>
        <w:t xml:space="preserve"> </w:t>
      </w:r>
      <w:r w:rsidR="00454AC6" w:rsidRPr="001B64A0">
        <w:rPr>
          <w:rFonts w:ascii="Arial" w:hAnsi="Arial" w:cs="Arial"/>
          <w:lang w:val="es-ES"/>
        </w:rPr>
        <w:t>territorio.</w:t>
      </w:r>
      <w:r w:rsidR="000479B1" w:rsidRPr="001B64A0">
        <w:rPr>
          <w:rFonts w:ascii="Arial" w:hAnsi="Arial" w:cs="Arial"/>
          <w:lang w:val="es-ES"/>
        </w:rPr>
        <w:t xml:space="preserve"> L</w:t>
      </w:r>
      <w:r w:rsidR="002C049A" w:rsidRPr="001B64A0">
        <w:rPr>
          <w:rFonts w:ascii="Arial" w:hAnsi="Arial" w:cs="Arial"/>
          <w:lang w:val="es-ES"/>
        </w:rPr>
        <w:t>a plurinacionalidad</w:t>
      </w:r>
      <w:r w:rsidR="007D52D3" w:rsidRPr="001B64A0">
        <w:rPr>
          <w:rFonts w:ascii="Arial" w:hAnsi="Arial" w:cs="Arial"/>
          <w:lang w:val="es-ES"/>
        </w:rPr>
        <w:t xml:space="preserve">, como un derecho de las </w:t>
      </w:r>
      <w:r w:rsidR="00454AC6" w:rsidRPr="001B64A0">
        <w:rPr>
          <w:rFonts w:ascii="Arial" w:hAnsi="Arial" w:cs="Arial"/>
          <w:lang w:val="es-ES"/>
        </w:rPr>
        <w:t>personas a identificar su pertenencia, no solo</w:t>
      </w:r>
      <w:r w:rsidR="007D52D3" w:rsidRPr="001B64A0">
        <w:rPr>
          <w:rFonts w:ascii="Arial" w:hAnsi="Arial" w:cs="Arial"/>
          <w:lang w:val="es-ES"/>
        </w:rPr>
        <w:t xml:space="preserve"> </w:t>
      </w:r>
      <w:r w:rsidR="002C049A" w:rsidRPr="001B64A0">
        <w:rPr>
          <w:rFonts w:ascii="Arial" w:hAnsi="Arial" w:cs="Arial"/>
          <w:lang w:val="es-ES"/>
        </w:rPr>
        <w:t xml:space="preserve">desde un ámbito </w:t>
      </w:r>
      <w:r w:rsidR="00454AC6" w:rsidRPr="001B64A0">
        <w:rPr>
          <w:rFonts w:ascii="Arial" w:hAnsi="Arial" w:cs="Arial"/>
          <w:lang w:val="es-ES"/>
        </w:rPr>
        <w:t xml:space="preserve">geográfico, sino además con una cultura determinada. </w:t>
      </w:r>
      <w:r w:rsidR="002C049A" w:rsidRPr="001B64A0">
        <w:rPr>
          <w:rFonts w:ascii="Arial" w:hAnsi="Arial" w:cs="Arial"/>
          <w:lang w:val="es-ES"/>
        </w:rPr>
        <w:t xml:space="preserve">Bajo el enfoque de la </w:t>
      </w:r>
      <w:r w:rsidR="00454AC6" w:rsidRPr="001B64A0">
        <w:rPr>
          <w:rFonts w:ascii="Arial" w:hAnsi="Arial" w:cs="Arial"/>
          <w:lang w:val="es-ES"/>
        </w:rPr>
        <w:t>plurinacionalidad</w:t>
      </w:r>
      <w:r w:rsidR="002C049A" w:rsidRPr="001B64A0">
        <w:rPr>
          <w:rFonts w:ascii="Arial" w:hAnsi="Arial" w:cs="Arial"/>
          <w:lang w:val="es-ES"/>
        </w:rPr>
        <w:t>,</w:t>
      </w:r>
      <w:r w:rsidR="00454AC6" w:rsidRPr="001B64A0">
        <w:rPr>
          <w:rFonts w:ascii="Arial" w:hAnsi="Arial" w:cs="Arial"/>
          <w:lang w:val="es-ES"/>
        </w:rPr>
        <w:t xml:space="preserve"> se </w:t>
      </w:r>
      <w:r w:rsidR="002C049A" w:rsidRPr="001B64A0">
        <w:rPr>
          <w:rFonts w:ascii="Arial" w:hAnsi="Arial" w:cs="Arial"/>
          <w:lang w:val="es-ES"/>
        </w:rPr>
        <w:t xml:space="preserve">garantiza la </w:t>
      </w:r>
      <w:r w:rsidR="00454AC6" w:rsidRPr="001B64A0">
        <w:rPr>
          <w:rFonts w:ascii="Arial" w:hAnsi="Arial" w:cs="Arial"/>
          <w:lang w:val="es-ES"/>
        </w:rPr>
        <w:t>convivencia de varias</w:t>
      </w:r>
      <w:r w:rsidR="002C049A" w:rsidRPr="001B64A0">
        <w:rPr>
          <w:rFonts w:ascii="Arial" w:hAnsi="Arial" w:cs="Arial"/>
          <w:lang w:val="es-ES"/>
        </w:rPr>
        <w:t xml:space="preserve"> </w:t>
      </w:r>
      <w:r w:rsidR="00454AC6" w:rsidRPr="001B64A0">
        <w:rPr>
          <w:rFonts w:ascii="Arial" w:hAnsi="Arial" w:cs="Arial"/>
          <w:lang w:val="es-ES"/>
        </w:rPr>
        <w:t>naciones culturales o pueblos étnicamente distintos dentro de</w:t>
      </w:r>
      <w:r w:rsidR="002C049A" w:rsidRPr="001B64A0">
        <w:rPr>
          <w:rFonts w:ascii="Arial" w:hAnsi="Arial" w:cs="Arial"/>
          <w:lang w:val="es-ES"/>
        </w:rPr>
        <w:t xml:space="preserve">l territorio ecuatoriano. </w:t>
      </w:r>
    </w:p>
    <w:p w14:paraId="060527AC" w14:textId="77777777" w:rsidR="00454AC6" w:rsidRPr="001B64A0" w:rsidRDefault="00454AC6" w:rsidP="009D50C7">
      <w:pPr>
        <w:jc w:val="both"/>
        <w:rPr>
          <w:rFonts w:ascii="Arial" w:hAnsi="Arial" w:cs="Arial"/>
          <w:lang w:val="es-ES"/>
        </w:rPr>
      </w:pPr>
    </w:p>
    <w:p w14:paraId="0ECFAD21" w14:textId="77777777" w:rsidR="002C049A" w:rsidRPr="001B64A0" w:rsidRDefault="00454AC6" w:rsidP="009D50C7">
      <w:pPr>
        <w:jc w:val="both"/>
        <w:rPr>
          <w:rFonts w:ascii="Arial" w:hAnsi="Arial" w:cs="Arial"/>
          <w:lang w:val="es-ES"/>
        </w:rPr>
      </w:pPr>
      <w:r w:rsidRPr="001B64A0">
        <w:rPr>
          <w:rFonts w:ascii="Arial" w:hAnsi="Arial" w:cs="Arial"/>
          <w:lang w:val="es-ES"/>
        </w:rPr>
        <w:t>De esta forma, la</w:t>
      </w:r>
      <w:r w:rsidR="002C049A" w:rsidRPr="001B64A0">
        <w:rPr>
          <w:rFonts w:ascii="Arial" w:hAnsi="Arial" w:cs="Arial"/>
          <w:lang w:val="es-ES"/>
        </w:rPr>
        <w:t xml:space="preserve"> </w:t>
      </w:r>
      <w:r w:rsidRPr="001B64A0">
        <w:rPr>
          <w:rFonts w:ascii="Arial" w:hAnsi="Arial" w:cs="Arial"/>
          <w:lang w:val="es-ES"/>
        </w:rPr>
        <w:t>plurinacionalidad</w:t>
      </w:r>
      <w:r w:rsidR="002C049A" w:rsidRPr="001B64A0">
        <w:rPr>
          <w:rFonts w:ascii="Arial" w:hAnsi="Arial" w:cs="Arial"/>
          <w:lang w:val="es-ES"/>
        </w:rPr>
        <w:t xml:space="preserve"> se complementa con la interculturalidad, bajo el principio de unidad del Estado, dirigido por un gobierno central, con plenos poderes sobre el territorio nacional y</w:t>
      </w:r>
      <w:r w:rsidRPr="001B64A0">
        <w:rPr>
          <w:rFonts w:ascii="Arial" w:hAnsi="Arial" w:cs="Arial"/>
          <w:lang w:val="es-ES"/>
        </w:rPr>
        <w:t xml:space="preserve"> con una democracia</w:t>
      </w:r>
      <w:r w:rsidR="002C049A" w:rsidRPr="001B64A0">
        <w:rPr>
          <w:rFonts w:ascii="Arial" w:hAnsi="Arial" w:cs="Arial"/>
          <w:lang w:val="es-ES"/>
        </w:rPr>
        <w:t xml:space="preserve"> </w:t>
      </w:r>
      <w:r w:rsidRPr="001B64A0">
        <w:rPr>
          <w:rFonts w:ascii="Arial" w:hAnsi="Arial" w:cs="Arial"/>
          <w:lang w:val="es-ES"/>
        </w:rPr>
        <w:t>sustentada en la ciudadanía única, sin que aquello implique restricciones a los</w:t>
      </w:r>
      <w:r w:rsidR="002C049A" w:rsidRPr="001B64A0">
        <w:rPr>
          <w:rFonts w:ascii="Arial" w:hAnsi="Arial" w:cs="Arial"/>
          <w:lang w:val="es-ES"/>
        </w:rPr>
        <w:t xml:space="preserve"> </w:t>
      </w:r>
      <w:r w:rsidRPr="001B64A0">
        <w:rPr>
          <w:rFonts w:ascii="Arial" w:hAnsi="Arial" w:cs="Arial"/>
          <w:lang w:val="es-ES"/>
        </w:rPr>
        <w:t>derechos colectivos de cada grupo étnico y al sentimiento de pertenencia de las</w:t>
      </w:r>
      <w:r w:rsidR="002C049A" w:rsidRPr="001B64A0">
        <w:rPr>
          <w:rFonts w:ascii="Arial" w:hAnsi="Arial" w:cs="Arial"/>
          <w:lang w:val="es-ES"/>
        </w:rPr>
        <w:t xml:space="preserve"> </w:t>
      </w:r>
      <w:r w:rsidRPr="001B64A0">
        <w:rPr>
          <w:rFonts w:ascii="Arial" w:hAnsi="Arial" w:cs="Arial"/>
          <w:lang w:val="es-ES"/>
        </w:rPr>
        <w:t>personas a una comunidad étnico</w:t>
      </w:r>
      <w:r w:rsidR="002C049A" w:rsidRPr="001B64A0">
        <w:rPr>
          <w:rFonts w:ascii="Arial" w:hAnsi="Arial" w:cs="Arial"/>
          <w:lang w:val="es-ES"/>
        </w:rPr>
        <w:t>-</w:t>
      </w:r>
      <w:r w:rsidRPr="001B64A0">
        <w:rPr>
          <w:rFonts w:ascii="Arial" w:hAnsi="Arial" w:cs="Arial"/>
          <w:lang w:val="es-ES"/>
        </w:rPr>
        <w:t xml:space="preserve">cultural determinada. </w:t>
      </w:r>
    </w:p>
    <w:p w14:paraId="503194F1" w14:textId="77777777" w:rsidR="002C049A" w:rsidRPr="001B64A0" w:rsidRDefault="002C049A" w:rsidP="009D50C7">
      <w:pPr>
        <w:jc w:val="both"/>
        <w:rPr>
          <w:rFonts w:ascii="Arial" w:hAnsi="Arial" w:cs="Arial"/>
          <w:lang w:val="es-ES"/>
        </w:rPr>
      </w:pPr>
    </w:p>
    <w:p w14:paraId="192BC61B" w14:textId="77777777" w:rsidR="00AF0975" w:rsidRPr="001B64A0" w:rsidRDefault="00454AC6" w:rsidP="009D50C7">
      <w:pPr>
        <w:jc w:val="both"/>
        <w:rPr>
          <w:rFonts w:ascii="Arial" w:hAnsi="Arial" w:cs="Arial"/>
          <w:lang w:val="es-ES"/>
        </w:rPr>
      </w:pPr>
      <w:r w:rsidRPr="001B64A0">
        <w:rPr>
          <w:rFonts w:ascii="Arial" w:hAnsi="Arial" w:cs="Arial"/>
          <w:lang w:val="es-ES"/>
        </w:rPr>
        <w:t>En tal virtud, las</w:t>
      </w:r>
      <w:r w:rsidR="002C049A" w:rsidRPr="001B64A0">
        <w:rPr>
          <w:rFonts w:ascii="Arial" w:hAnsi="Arial" w:cs="Arial"/>
          <w:lang w:val="es-ES"/>
        </w:rPr>
        <w:t xml:space="preserve"> prácticas ancestrales no se encuentran penalizadas, en tanto y cuanto de su ejercicio </w:t>
      </w:r>
      <w:r w:rsidR="007000E7" w:rsidRPr="001B64A0">
        <w:rPr>
          <w:rFonts w:ascii="Arial" w:hAnsi="Arial" w:cs="Arial"/>
          <w:lang w:val="es-ES"/>
        </w:rPr>
        <w:t xml:space="preserve">no se vulneren derechos humanos o se infrinja algún delito, en cuyo caso </w:t>
      </w:r>
      <w:r w:rsidR="00212D91" w:rsidRPr="001B64A0">
        <w:rPr>
          <w:rFonts w:ascii="Arial" w:hAnsi="Arial" w:cs="Arial"/>
          <w:lang w:val="es-ES"/>
        </w:rPr>
        <w:t xml:space="preserve">se aplica la normativa establecida en el ordenamiento jurídico ecuatoriano. </w:t>
      </w:r>
      <w:r w:rsidR="00EC32FB" w:rsidRPr="001B64A0">
        <w:rPr>
          <w:rFonts w:ascii="Arial" w:hAnsi="Arial" w:cs="Arial"/>
          <w:lang w:val="es-ES"/>
        </w:rPr>
        <w:t>Con ello, se ratifica la concepción del Estado intercultural y plurinacional.</w:t>
      </w:r>
    </w:p>
    <w:p w14:paraId="3F5BCA82" w14:textId="77777777" w:rsidR="00FE2B03" w:rsidRPr="001B64A0" w:rsidRDefault="00FE2B03" w:rsidP="009D50C7">
      <w:pPr>
        <w:jc w:val="both"/>
        <w:rPr>
          <w:rFonts w:ascii="Arial" w:hAnsi="Arial" w:cs="Arial"/>
          <w:b/>
          <w:lang w:val="es-EC"/>
        </w:rPr>
      </w:pPr>
    </w:p>
    <w:p w14:paraId="3F74A8C1" w14:textId="77777777" w:rsidR="009306AE" w:rsidRDefault="000479B1" w:rsidP="009D50C7">
      <w:pPr>
        <w:jc w:val="both"/>
        <w:rPr>
          <w:rFonts w:ascii="Arial" w:hAnsi="Arial" w:cs="Arial"/>
          <w:lang w:val="es-ES"/>
        </w:rPr>
      </w:pPr>
      <w:r w:rsidRPr="001B64A0">
        <w:rPr>
          <w:rFonts w:ascii="Arial" w:hAnsi="Arial" w:cs="Arial"/>
          <w:lang w:val="es-ES"/>
        </w:rPr>
        <w:t>En relación</w:t>
      </w:r>
      <w:r w:rsidR="00FE2B03" w:rsidRPr="001B64A0">
        <w:rPr>
          <w:rFonts w:ascii="Arial" w:hAnsi="Arial" w:cs="Arial"/>
          <w:lang w:val="es-ES"/>
        </w:rPr>
        <w:t xml:space="preserve"> con los mecanismos de rendición de cuentas, el inciso segundo del artículo 297 de la Constitución de la República, establece que las instituciones y entidades que manejan recursos </w:t>
      </w:r>
      <w:r w:rsidR="009D50C7" w:rsidRPr="009D50C7">
        <w:rPr>
          <w:rFonts w:ascii="Arial" w:hAnsi="Arial" w:cs="Arial"/>
          <w:lang w:val="es-ES"/>
        </w:rPr>
        <w:t>públicos</w:t>
      </w:r>
      <w:r w:rsidR="00FE2B03" w:rsidRPr="001B64A0">
        <w:rPr>
          <w:rFonts w:ascii="Arial" w:hAnsi="Arial" w:cs="Arial"/>
          <w:lang w:val="es-ES"/>
        </w:rPr>
        <w:t xml:space="preserve"> se someterán a las normas, procedimientos de transparencia, rendición de cuentas y control público que correspondan en el ámbito de sus competencias.  </w:t>
      </w:r>
    </w:p>
    <w:p w14:paraId="797AD18C" w14:textId="77777777" w:rsidR="000A2A78" w:rsidRDefault="000A2A78" w:rsidP="009D50C7">
      <w:pPr>
        <w:jc w:val="both"/>
        <w:rPr>
          <w:rFonts w:ascii="Arial" w:hAnsi="Arial" w:cs="Arial"/>
          <w:lang w:val="es-ES"/>
        </w:rPr>
      </w:pPr>
    </w:p>
    <w:p w14:paraId="77C5D51A" w14:textId="77777777" w:rsidR="00E70C1E" w:rsidRPr="001B64A0" w:rsidRDefault="00E70C1E" w:rsidP="009D50C7">
      <w:pPr>
        <w:jc w:val="both"/>
        <w:rPr>
          <w:rFonts w:ascii="Arial" w:hAnsi="Arial" w:cs="Arial"/>
          <w:lang w:val="es-ES"/>
        </w:rPr>
      </w:pPr>
      <w:r>
        <w:rPr>
          <w:rFonts w:ascii="Arial" w:hAnsi="Arial" w:cs="Arial"/>
          <w:lang w:val="es-ES"/>
        </w:rPr>
        <w:t xml:space="preserve">Quito, </w:t>
      </w:r>
      <w:r w:rsidR="000A2A78">
        <w:rPr>
          <w:rFonts w:ascii="Arial" w:hAnsi="Arial" w:cs="Arial"/>
          <w:lang w:val="es-ES"/>
        </w:rPr>
        <w:t>septiembre de 2022</w:t>
      </w:r>
    </w:p>
    <w:sectPr w:rsidR="00E70C1E" w:rsidRPr="001B64A0" w:rsidSect="001B64A0">
      <w:headerReference w:type="even" r:id="rId11"/>
      <w:headerReference w:type="default" r:id="rId12"/>
      <w:footerReference w:type="default" r:id="rId13"/>
      <w:headerReference w:type="first" r:id="rId14"/>
      <w:pgSz w:w="11900" w:h="16840"/>
      <w:pgMar w:top="2245" w:right="1418" w:bottom="204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B530" w14:textId="77777777" w:rsidR="002606A2" w:rsidRDefault="002606A2" w:rsidP="00B247E4">
      <w:r>
        <w:separator/>
      </w:r>
    </w:p>
  </w:endnote>
  <w:endnote w:type="continuationSeparator" w:id="0">
    <w:p w14:paraId="71CDEBB3" w14:textId="77777777" w:rsidR="002606A2" w:rsidRDefault="002606A2" w:rsidP="00B2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ED24" w14:textId="77777777" w:rsidR="000654C8" w:rsidRDefault="00E92EF4">
    <w:pPr>
      <w:pStyle w:val="Footer"/>
    </w:pPr>
    <w:r>
      <w:rPr>
        <w:noProof/>
      </w:rPr>
      <w:pict w14:anchorId="7DF3AB05">
        <v:rect id="Rectángulo 7" o:spid="_x0000_s1027" style="position:absolute;margin-left:533.25pt;margin-top:700.5pt;width:25.5pt;height:29.2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" o:allowincell="f" stroked="f">
          <v:textbox>
            <w:txbxContent>
              <w:p w14:paraId="7122B403" w14:textId="77777777" w:rsidR="00B247E4" w:rsidRPr="00DF0650" w:rsidRDefault="00B247E4">
                <w:pPr>
                  <w:jc w:val="center"/>
                  <w:rPr>
                    <w:rFonts w:ascii="Times New Roman" w:hAnsi="Times New Roman"/>
                    <w:sz w:val="20"/>
                    <w:szCs w:val="20"/>
                  </w:rPr>
                </w:pPr>
                <w:r w:rsidRPr="00DF0650">
                  <w:rPr>
                    <w:rFonts w:ascii="Times New Roman" w:hAnsi="Times New Roman"/>
                    <w:sz w:val="20"/>
                    <w:szCs w:val="20"/>
                  </w:rPr>
                  <w:fldChar w:fldCharType="begin"/>
                </w:r>
                <w:r w:rsidRPr="00B247E4">
                  <w:rPr>
                    <w:rFonts w:ascii="Times New Roman" w:hAnsi="Times New Roman"/>
                    <w:sz w:val="20"/>
                    <w:szCs w:val="20"/>
                  </w:rPr>
                  <w:instrText>PAGE  \* MERGEFORMAT</w:instrText>
                </w:r>
                <w:r w:rsidRPr="00DF0650">
                  <w:rPr>
                    <w:rFonts w:ascii="Times New Roman" w:hAnsi="Times New Roman"/>
                    <w:sz w:val="20"/>
                    <w:szCs w:val="20"/>
                  </w:rPr>
                  <w:fldChar w:fldCharType="separate"/>
                </w:r>
                <w:r w:rsidR="00DF0650" w:rsidRPr="00DF0650">
                  <w:rPr>
                    <w:rFonts w:ascii="Times New Roman" w:hAnsi="Times New Roman"/>
                    <w:noProof/>
                    <w:sz w:val="20"/>
                    <w:szCs w:val="20"/>
                    <w:lang w:val="es-ES"/>
                  </w:rPr>
                  <w:t>1</w:t>
                </w:r>
                <w:r w:rsidRPr="00DF0650">
                  <w:rPr>
                    <w:rFonts w:ascii="Times New Roman" w:hAnsi="Times New Roman"/>
                    <w:sz w:val="20"/>
                    <w:szCs w:val="20"/>
                  </w:rPr>
                  <w:fldChar w:fldCharType="end"/>
                </w:r>
              </w:p>
            </w:txbxContent>
          </v:textbox>
          <w10:wrap anchorx="page" anchory="page"/>
        </v:rect>
      </w:pict>
    </w:r>
    <w:r>
      <w:rPr>
        <w:noProof/>
      </w:rPr>
      <w:pict w14:anchorId="07F4D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alt="hojas membretadas-01" style="position:absolute;margin-left:-85.5pt;margin-top:-51.2pt;width:595.5pt;height:110.45pt;z-index:-251657728;visibility:visible;mso-wrap-edited:f">
          <v:imagedata r:id="rId1" o:title="hojas membretadas-0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405A" w14:textId="77777777" w:rsidR="002606A2" w:rsidRDefault="002606A2" w:rsidP="00B247E4">
      <w:r>
        <w:separator/>
      </w:r>
    </w:p>
  </w:footnote>
  <w:footnote w:type="continuationSeparator" w:id="0">
    <w:p w14:paraId="69ABB456" w14:textId="77777777" w:rsidR="002606A2" w:rsidRDefault="002606A2" w:rsidP="00B2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2C46" w14:textId="77777777" w:rsidR="000654C8" w:rsidRDefault="00E92EF4">
    <w:pPr>
      <w:pStyle w:val="Header"/>
    </w:pPr>
    <w:r>
      <w:rPr>
        <w:noProof/>
        <w:lang w:val="es-ES"/>
      </w:rPr>
      <w:pict w14:anchorId="16F83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alt="hojamembretadaverticalvalevale" style="position:absolute;margin-left:0;margin-top:0;width:881pt;height:1240pt;z-index:-251659776;mso-wrap-edited:f;mso-position-horizontal:center;mso-position-horizontal-relative:margin;mso-position-vertical:center;mso-position-vertical-relative:margin" wrapcoords="-18 0 -18 21573 21600 21573 21600 0 -18 0">
          <v:imagedata r:id="rId1" o:title="hojamembretadaverticalvalev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14E" w14:textId="77777777" w:rsidR="000654C8" w:rsidRDefault="00E92EF4">
    <w:pPr>
      <w:pStyle w:val="Header"/>
    </w:pPr>
    <w:r>
      <w:rPr>
        <w:noProof/>
        <w:lang w:val="es-ES"/>
      </w:rPr>
      <w:pict w14:anchorId="4CA20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alt="hojamembretadaverticalvalevale" style="position:absolute;margin-left:-81pt;margin-top:-108pt;width:588.3pt;height:108pt;z-index:-251660800;mso-wrap-edited:f;mso-position-horizontal-relative:margin;mso-position-vertical-relative:margin" wrapcoords="-18 0 -18 21573 21600 21573 21600 0 -18 0">
          <v:imagedata r:id="rId1" o:title="hojamembretadaverticalvalevale" cropbottom="5698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3652" w14:textId="77777777" w:rsidR="000654C8" w:rsidRDefault="00E92EF4">
    <w:pPr>
      <w:pStyle w:val="Header"/>
    </w:pPr>
    <w:r>
      <w:rPr>
        <w:noProof/>
        <w:lang w:val="es-ES"/>
      </w:rPr>
      <w:pict w14:anchorId="582DD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membretadaverticalvalevale" style="position:absolute;margin-left:0;margin-top:0;width:881pt;height:1240pt;z-index:-251658752;mso-wrap-edited:f;mso-position-horizontal:center;mso-position-horizontal-relative:margin;mso-position-vertical:center;mso-position-vertical-relative:margin" wrapcoords="-18 0 -18 21573 21600 21573 21600 0 -18 0">
          <v:imagedata r:id="rId1" o:title="hojamembretadaverticalvaleva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873"/>
    <w:multiLevelType w:val="hybridMultilevel"/>
    <w:tmpl w:val="55784358"/>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1" w15:restartNumberingAfterBreak="0">
    <w:nsid w:val="25462063"/>
    <w:multiLevelType w:val="hybridMultilevel"/>
    <w:tmpl w:val="763A1A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2ED795D"/>
    <w:multiLevelType w:val="hybridMultilevel"/>
    <w:tmpl w:val="56126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41F1"/>
    <w:rsid w:val="000479B1"/>
    <w:rsid w:val="000561B0"/>
    <w:rsid w:val="000654C8"/>
    <w:rsid w:val="00070F11"/>
    <w:rsid w:val="000A2A78"/>
    <w:rsid w:val="000B5F34"/>
    <w:rsid w:val="0013351C"/>
    <w:rsid w:val="001B64A0"/>
    <w:rsid w:val="00212D91"/>
    <w:rsid w:val="00232B8E"/>
    <w:rsid w:val="002606A2"/>
    <w:rsid w:val="002912FB"/>
    <w:rsid w:val="002A3C42"/>
    <w:rsid w:val="002A4BA7"/>
    <w:rsid w:val="002C049A"/>
    <w:rsid w:val="002C2B47"/>
    <w:rsid w:val="00300FCF"/>
    <w:rsid w:val="00320ADB"/>
    <w:rsid w:val="003246D7"/>
    <w:rsid w:val="0032679B"/>
    <w:rsid w:val="00393D66"/>
    <w:rsid w:val="003B18E3"/>
    <w:rsid w:val="003D6549"/>
    <w:rsid w:val="00410D53"/>
    <w:rsid w:val="00440C06"/>
    <w:rsid w:val="00454AC6"/>
    <w:rsid w:val="00495A82"/>
    <w:rsid w:val="004B0DA2"/>
    <w:rsid w:val="004D2AA8"/>
    <w:rsid w:val="005653E6"/>
    <w:rsid w:val="005668D3"/>
    <w:rsid w:val="005D653E"/>
    <w:rsid w:val="00675F3F"/>
    <w:rsid w:val="006916EB"/>
    <w:rsid w:val="006D1870"/>
    <w:rsid w:val="006F08C0"/>
    <w:rsid w:val="007000E7"/>
    <w:rsid w:val="00701B97"/>
    <w:rsid w:val="00712E27"/>
    <w:rsid w:val="007274C5"/>
    <w:rsid w:val="007573D0"/>
    <w:rsid w:val="007700AC"/>
    <w:rsid w:val="00774D1C"/>
    <w:rsid w:val="007D52D3"/>
    <w:rsid w:val="00805521"/>
    <w:rsid w:val="008055B2"/>
    <w:rsid w:val="008141F1"/>
    <w:rsid w:val="008A58D2"/>
    <w:rsid w:val="008E4607"/>
    <w:rsid w:val="009306AE"/>
    <w:rsid w:val="00940638"/>
    <w:rsid w:val="009D50C7"/>
    <w:rsid w:val="00A57140"/>
    <w:rsid w:val="00A61ED2"/>
    <w:rsid w:val="00A713B5"/>
    <w:rsid w:val="00AF0975"/>
    <w:rsid w:val="00B247E4"/>
    <w:rsid w:val="00B46A55"/>
    <w:rsid w:val="00C301BF"/>
    <w:rsid w:val="00C760AB"/>
    <w:rsid w:val="00C86FA5"/>
    <w:rsid w:val="00CA4AD8"/>
    <w:rsid w:val="00CA4DD5"/>
    <w:rsid w:val="00D26E7B"/>
    <w:rsid w:val="00D53955"/>
    <w:rsid w:val="00DE124C"/>
    <w:rsid w:val="00DF0650"/>
    <w:rsid w:val="00E70C1E"/>
    <w:rsid w:val="00E81E41"/>
    <w:rsid w:val="00E92EF4"/>
    <w:rsid w:val="00EC32FB"/>
    <w:rsid w:val="00EC4323"/>
    <w:rsid w:val="00EC6564"/>
    <w:rsid w:val="00F41B41"/>
    <w:rsid w:val="00F449C5"/>
    <w:rsid w:val="00FA01D6"/>
    <w:rsid w:val="00FE2B03"/>
    <w:rsid w:val="00FE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AB30D75"/>
  <w15:chartTrackingRefBased/>
  <w15:docId w15:val="{81CB26D2-DD01-45B1-9946-6D710F01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F1"/>
    <w:rPr>
      <w:rFonts w:eastAsia="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F1"/>
    <w:pPr>
      <w:tabs>
        <w:tab w:val="center" w:pos="4252"/>
        <w:tab w:val="right" w:pos="8504"/>
      </w:tabs>
    </w:pPr>
  </w:style>
  <w:style w:type="character" w:customStyle="1" w:styleId="HeaderChar">
    <w:name w:val="Header Char"/>
    <w:link w:val="Header"/>
    <w:uiPriority w:val="99"/>
    <w:rsid w:val="008141F1"/>
    <w:rPr>
      <w:rFonts w:eastAsia="Times New Roman"/>
      <w:sz w:val="24"/>
      <w:szCs w:val="24"/>
      <w:lang w:val="es-ES_tradnl" w:eastAsia="es-ES"/>
    </w:rPr>
  </w:style>
  <w:style w:type="paragraph" w:styleId="Footer">
    <w:name w:val="footer"/>
    <w:basedOn w:val="Normal"/>
    <w:link w:val="FooterChar"/>
    <w:uiPriority w:val="99"/>
    <w:unhideWhenUsed/>
    <w:rsid w:val="008141F1"/>
    <w:pPr>
      <w:tabs>
        <w:tab w:val="center" w:pos="4252"/>
        <w:tab w:val="right" w:pos="8504"/>
      </w:tabs>
    </w:pPr>
  </w:style>
  <w:style w:type="character" w:customStyle="1" w:styleId="FooterChar">
    <w:name w:val="Footer Char"/>
    <w:link w:val="Footer"/>
    <w:uiPriority w:val="99"/>
    <w:rsid w:val="008141F1"/>
    <w:rPr>
      <w:rFonts w:eastAsia="Times New Roman"/>
      <w:sz w:val="24"/>
      <w:szCs w:val="24"/>
      <w:lang w:val="es-ES_tradnl" w:eastAsia="es-ES"/>
    </w:rPr>
  </w:style>
  <w:style w:type="paragraph" w:styleId="ListParagraph">
    <w:name w:val="List Paragraph"/>
    <w:basedOn w:val="Normal"/>
    <w:uiPriority w:val="34"/>
    <w:qFormat/>
    <w:rsid w:val="008141F1"/>
    <w:pPr>
      <w:ind w:left="720"/>
      <w:contextualSpacing/>
    </w:pPr>
  </w:style>
  <w:style w:type="table" w:customStyle="1" w:styleId="12">
    <w:name w:val="12"/>
    <w:basedOn w:val="TableNormal"/>
    <w:rsid w:val="008141F1"/>
    <w:pPr>
      <w:tabs>
        <w:tab w:val="left" w:pos="6096"/>
      </w:tabs>
    </w:pPr>
    <w:rPr>
      <w:rFonts w:cs="Calibri"/>
      <w:sz w:val="24"/>
      <w:szCs w:val="24"/>
      <w:lang w:val="es-ES_tradnl" w:eastAsia="es-EC"/>
    </w:rPr>
    <w:tblPr>
      <w:tblStyleRowBandSize w:val="1"/>
      <w:tblStyleColBandSize w:val="1"/>
      <w:tblCellMar>
        <w:left w:w="115" w:type="dxa"/>
        <w:right w:w="115" w:type="dxa"/>
      </w:tblCellMar>
    </w:tblPr>
    <w:tcPr>
      <w:shd w:val="clear" w:color="auto" w:fill="DEEBF6"/>
    </w:tcPr>
  </w:style>
  <w:style w:type="table" w:customStyle="1" w:styleId="11">
    <w:name w:val="11"/>
    <w:basedOn w:val="TableNormal"/>
    <w:rsid w:val="008141F1"/>
    <w:pPr>
      <w:tabs>
        <w:tab w:val="left" w:pos="6096"/>
      </w:tabs>
    </w:pPr>
    <w:rPr>
      <w:rFonts w:cs="Calibri"/>
      <w:sz w:val="24"/>
      <w:szCs w:val="24"/>
      <w:lang w:val="es-ES_tradnl" w:eastAsia="es-EC"/>
    </w:rPr>
    <w:tblPr>
      <w:tblStyleRowBandSize w:val="1"/>
      <w:tblStyleColBandSize w:val="1"/>
      <w:tblCellMar>
        <w:left w:w="115" w:type="dxa"/>
        <w:right w:w="115" w:type="dxa"/>
      </w:tblCellMar>
    </w:tblPr>
    <w:tcPr>
      <w:shd w:val="clear" w:color="auto" w:fill="DEEBF6"/>
    </w:tcPr>
  </w:style>
  <w:style w:type="table" w:customStyle="1" w:styleId="10">
    <w:name w:val="10"/>
    <w:basedOn w:val="TableNormal"/>
    <w:rsid w:val="008141F1"/>
    <w:pPr>
      <w:tabs>
        <w:tab w:val="left" w:pos="6096"/>
      </w:tabs>
    </w:pPr>
    <w:rPr>
      <w:rFonts w:cs="Calibri"/>
      <w:sz w:val="24"/>
      <w:szCs w:val="24"/>
      <w:lang w:val="es-ES_tradnl" w:eastAsia="es-EC"/>
    </w:rPr>
    <w:tblPr>
      <w:tblStyleRowBandSize w:val="1"/>
      <w:tblStyleColBandSize w:val="1"/>
      <w:tblCellMar>
        <w:left w:w="115" w:type="dxa"/>
        <w:right w:w="115" w:type="dxa"/>
      </w:tblCellMar>
    </w:tblPr>
    <w:tcPr>
      <w:shd w:val="clear" w:color="auto" w:fill="DEEBF6"/>
    </w:tcPr>
  </w:style>
  <w:style w:type="table" w:customStyle="1" w:styleId="9">
    <w:name w:val="9"/>
    <w:basedOn w:val="TableNormal"/>
    <w:rsid w:val="008141F1"/>
    <w:pPr>
      <w:tabs>
        <w:tab w:val="left" w:pos="6096"/>
      </w:tabs>
    </w:pPr>
    <w:rPr>
      <w:rFonts w:cs="Calibri"/>
      <w:sz w:val="24"/>
      <w:szCs w:val="24"/>
      <w:lang w:val="es-ES_tradnl" w:eastAsia="es-EC"/>
    </w:rPr>
    <w:tblPr>
      <w:tblStyleRowBandSize w:val="1"/>
      <w:tblStyleColBandSize w:val="1"/>
      <w:tblCellMar>
        <w:left w:w="115" w:type="dxa"/>
        <w:right w:w="115" w:type="dxa"/>
      </w:tblCellMar>
    </w:tblPr>
    <w:tcPr>
      <w:shd w:val="clear" w:color="auto" w:fill="DEEBF6"/>
    </w:tcPr>
  </w:style>
  <w:style w:type="character" w:styleId="PageNumber">
    <w:name w:val="page number"/>
    <w:basedOn w:val="DefaultParagraphFont"/>
    <w:uiPriority w:val="99"/>
    <w:unhideWhenUsed/>
    <w:rsid w:val="00B247E4"/>
  </w:style>
  <w:style w:type="table" w:styleId="TableGrid">
    <w:name w:val="Table Grid"/>
    <w:basedOn w:val="TableNormal"/>
    <w:uiPriority w:val="39"/>
    <w:rsid w:val="00AF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C06"/>
    <w:rPr>
      <w:rFonts w:eastAsia="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50937">
      <w:bodyDiv w:val="1"/>
      <w:marLeft w:val="0"/>
      <w:marRight w:val="0"/>
      <w:marTop w:val="0"/>
      <w:marBottom w:val="0"/>
      <w:divBdr>
        <w:top w:val="none" w:sz="0" w:space="0" w:color="auto"/>
        <w:left w:val="none" w:sz="0" w:space="0" w:color="auto"/>
        <w:bottom w:val="none" w:sz="0" w:space="0" w:color="auto"/>
        <w:right w:val="none" w:sz="0" w:space="0" w:color="auto"/>
      </w:divBdr>
    </w:div>
    <w:div w:id="17507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A2228-CD90-40EF-B6F2-BF8C97B6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8BF63D-6E18-49E3-8248-44B4DA748C3B}">
  <ds:schemaRefs>
    <ds:schemaRef ds:uri="http://schemas.openxmlformats.org/officeDocument/2006/bibliography"/>
  </ds:schemaRefs>
</ds:datastoreItem>
</file>

<file path=customXml/itemProps3.xml><?xml version="1.0" encoding="utf-8"?>
<ds:datastoreItem xmlns:ds="http://schemas.openxmlformats.org/officeDocument/2006/customXml" ds:itemID="{C62022E6-001B-4021-ACFB-2789E4262129}">
  <ds:schemaRefs>
    <ds:schemaRef ds:uri="http://schemas.microsoft.com/sharepoint/v3/contenttype/forms"/>
  </ds:schemaRefs>
</ds:datastoreItem>
</file>

<file path=customXml/itemProps4.xml><?xml version="1.0" encoding="utf-8"?>
<ds:datastoreItem xmlns:ds="http://schemas.openxmlformats.org/officeDocument/2006/customXml" ds:itemID="{6069F5F6-C8C4-430B-8A75-F27C0CF4C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6189</Characters>
  <Application>Microsoft Office Word</Application>
  <DocSecurity>0</DocSecurity>
  <Lines>51</Lines>
  <Paragraphs>14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Elizabeth Pazmiño Corral</dc:creator>
  <cp:keywords/>
  <dc:description/>
  <cp:lastModifiedBy>OHCHR_TN</cp:lastModifiedBy>
  <cp:revision>2</cp:revision>
  <dcterms:created xsi:type="dcterms:W3CDTF">2022-10-03T08:10:00Z</dcterms:created>
  <dcterms:modified xsi:type="dcterms:W3CDTF">2022-10-03T08:10:00Z</dcterms:modified>
</cp:coreProperties>
</file>