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9BDA" w14:textId="1A9EF8D4" w:rsidR="00C427A9" w:rsidRDefault="007E1D76" w:rsidP="007E1D76">
      <w:pPr>
        <w:jc w:val="center"/>
        <w:rPr>
          <w:b/>
          <w:bCs/>
        </w:rPr>
      </w:pPr>
      <w:r>
        <w:rPr>
          <w:b/>
          <w:bCs/>
        </w:rPr>
        <w:t>Comments from Meghan Campbell</w:t>
      </w:r>
    </w:p>
    <w:p w14:paraId="5FBCA120" w14:textId="627E26BC" w:rsidR="007E1D76" w:rsidRDefault="007E1D76" w:rsidP="007E1D76">
      <w:pPr>
        <w:rPr>
          <w:b/>
          <w:bCs/>
        </w:rPr>
      </w:pPr>
    </w:p>
    <w:p w14:paraId="0D2D245D" w14:textId="311A1A52" w:rsidR="007E1D76" w:rsidRDefault="007E1D76" w:rsidP="007E1D76">
      <w:pPr>
        <w:rPr>
          <w:rFonts w:eastAsia="Times New Roman"/>
          <w:color w:val="000000"/>
          <w:sz w:val="24"/>
          <w:szCs w:val="24"/>
        </w:rPr>
      </w:pPr>
      <w:r>
        <w:rPr>
          <w:rFonts w:eastAsia="Times New Roman"/>
          <w:b/>
          <w:bCs/>
          <w:color w:val="000000"/>
          <w:sz w:val="24"/>
          <w:szCs w:val="24"/>
          <w:u w:val="single"/>
        </w:rPr>
        <w:t>Social Protection in the UK </w:t>
      </w:r>
    </w:p>
    <w:p w14:paraId="72513C1C" w14:textId="53925D82" w:rsidR="007E1D76" w:rsidRDefault="007E1D76" w:rsidP="007E1D76">
      <w:pPr>
        <w:rPr>
          <w:rFonts w:eastAsia="Times New Roman"/>
          <w:color w:val="000000"/>
          <w:sz w:val="24"/>
          <w:szCs w:val="24"/>
        </w:rPr>
      </w:pPr>
      <w:r>
        <w:rPr>
          <w:rFonts w:eastAsia="Times New Roman"/>
          <w:color w:val="000000"/>
          <w:sz w:val="24"/>
          <w:szCs w:val="24"/>
        </w:rPr>
        <w:t>Attached are two articles I have written that critique the UK's approach to social protection. The Oxford Journal of Legal Studies paper marks out how the UK Supreme Court fails to address the gender dimensions of social care and only sees the reduction in benefits in terms of income poverty. It makes the case that this a problem as it activates concerns on judicial legitimacy in redistribution and results in the Court subjecting the government's rationale to minimal scrutiny. The second piece is coming out early next year in an edited collection that examines how political narratives demonizing welfare dependency are legitimatised by courts. </w:t>
      </w:r>
    </w:p>
    <w:p w14:paraId="7ACF5228" w14:textId="1F6728BB" w:rsidR="007E1D76" w:rsidRDefault="007E1D76" w:rsidP="007E1D76">
      <w:pPr>
        <w:rPr>
          <w:rFonts w:eastAsia="Times New Roman"/>
          <w:color w:val="000000"/>
          <w:sz w:val="24"/>
          <w:szCs w:val="24"/>
        </w:rPr>
      </w:pPr>
      <w:r>
        <w:rPr>
          <w:rFonts w:eastAsia="Times New Roman"/>
          <w:color w:val="000000"/>
          <w:sz w:val="24"/>
          <w:szCs w:val="24"/>
        </w:rPr>
        <w:t>I also address Melissa's question on how to design social protection in the OJLS paper, stressing that it should facilitate women's agency to make meaningful choices on whether to stay-at-home and care for their own children or to find decent work in the paid labour force. </w:t>
      </w:r>
    </w:p>
    <w:p w14:paraId="7E8FBE04" w14:textId="77777777" w:rsidR="007E1D76" w:rsidRDefault="007E1D76" w:rsidP="007E1D76">
      <w:pPr>
        <w:rPr>
          <w:rFonts w:eastAsia="Times New Roman"/>
          <w:color w:val="000000"/>
          <w:sz w:val="24"/>
          <w:szCs w:val="24"/>
        </w:rPr>
      </w:pPr>
      <w:proofErr w:type="spellStart"/>
      <w:r>
        <w:rPr>
          <w:rFonts w:eastAsia="Times New Roman"/>
          <w:color w:val="000000"/>
          <w:sz w:val="24"/>
          <w:szCs w:val="24"/>
        </w:rPr>
        <w:t>Virgina</w:t>
      </w:r>
      <w:proofErr w:type="spellEnd"/>
      <w:r>
        <w:rPr>
          <w:rFonts w:eastAsia="Times New Roman"/>
          <w:color w:val="000000"/>
          <w:sz w:val="24"/>
          <w:szCs w:val="24"/>
        </w:rPr>
        <w:t xml:space="preserve"> M's paper is also attached, she outlines how work conditionalities to social protection have pushed recipients in the UK into exploitative work. </w:t>
      </w:r>
    </w:p>
    <w:p w14:paraId="6B799876" w14:textId="77777777" w:rsidR="007E1D76" w:rsidRDefault="007E1D76" w:rsidP="007E1D76">
      <w:pPr>
        <w:rPr>
          <w:rFonts w:eastAsia="Times New Roman"/>
          <w:color w:val="000000"/>
          <w:sz w:val="24"/>
          <w:szCs w:val="24"/>
        </w:rPr>
      </w:pPr>
    </w:p>
    <w:p w14:paraId="0F251A3A" w14:textId="0A55FA12" w:rsidR="007E1D76" w:rsidRDefault="007E1D76" w:rsidP="007E1D76">
      <w:pPr>
        <w:rPr>
          <w:rFonts w:eastAsia="Times New Roman"/>
          <w:color w:val="000000"/>
          <w:sz w:val="24"/>
          <w:szCs w:val="24"/>
        </w:rPr>
      </w:pPr>
      <w:r>
        <w:rPr>
          <w:rFonts w:eastAsia="Times New Roman"/>
          <w:b/>
          <w:bCs/>
          <w:color w:val="000000"/>
          <w:sz w:val="24"/>
          <w:szCs w:val="24"/>
          <w:u w:val="single"/>
        </w:rPr>
        <w:t>Dignity</w:t>
      </w:r>
    </w:p>
    <w:p w14:paraId="1D6BD02E" w14:textId="77777777" w:rsidR="007E1D76" w:rsidRDefault="007E1D76" w:rsidP="007E1D76">
      <w:pPr>
        <w:rPr>
          <w:rFonts w:eastAsia="Times New Roman"/>
          <w:color w:val="000000"/>
          <w:sz w:val="24"/>
          <w:szCs w:val="24"/>
        </w:rPr>
      </w:pPr>
      <w:r>
        <w:rPr>
          <w:rFonts w:eastAsia="Times New Roman"/>
          <w:color w:val="000000"/>
          <w:sz w:val="24"/>
          <w:szCs w:val="24"/>
        </w:rPr>
        <w:t xml:space="preserve">These are two cases on dignity in social protection. The Canadian Supreme Court in </w:t>
      </w:r>
      <w:hyperlink r:id="rId4" w:tooltip="https://scc-csc.lexum.com/scc-csc/scc-csc/en/item/2027/index.do" w:history="1">
        <w:r>
          <w:rPr>
            <w:rStyle w:val="Hyperlink"/>
            <w:rFonts w:eastAsia="Times New Roman"/>
            <w:sz w:val="24"/>
            <w:szCs w:val="24"/>
          </w:rPr>
          <w:t>Gosselin</w:t>
        </w:r>
      </w:hyperlink>
      <w:r>
        <w:rPr>
          <w:rFonts w:eastAsia="Times New Roman"/>
          <w:color w:val="000000"/>
          <w:sz w:val="24"/>
          <w:szCs w:val="24"/>
        </w:rPr>
        <w:t xml:space="preserve"> used dignity to say the reduction in benefits was not a violation of the equality guarantee in the constitution. The majority held there was nothing undignified in cutting benefits to young people as the reduction only recognised that young people were better able to find jobs. The South African Constitutional Court, however, in </w:t>
      </w:r>
      <w:hyperlink r:id="rId5" w:tooltip="http://www.saflii.org/za/cases/ZACC/2004/11.html" w:history="1">
        <w:proofErr w:type="spellStart"/>
        <w:r>
          <w:rPr>
            <w:rStyle w:val="Hyperlink"/>
            <w:rFonts w:eastAsia="Times New Roman"/>
            <w:sz w:val="24"/>
            <w:szCs w:val="24"/>
          </w:rPr>
          <w:t>Khosa</w:t>
        </w:r>
        <w:proofErr w:type="spellEnd"/>
      </w:hyperlink>
      <w:r>
        <w:rPr>
          <w:rFonts w:eastAsia="Times New Roman"/>
          <w:color w:val="000000"/>
          <w:sz w:val="24"/>
          <w:szCs w:val="24"/>
        </w:rPr>
        <w:t xml:space="preserve"> used dignity to expand social protection to include permanent residents. These decisions are </w:t>
      </w:r>
      <w:proofErr w:type="gramStart"/>
      <w:r>
        <w:rPr>
          <w:rFonts w:eastAsia="Times New Roman"/>
          <w:color w:val="000000"/>
          <w:sz w:val="24"/>
          <w:szCs w:val="24"/>
        </w:rPr>
        <w:t>older</w:t>
      </w:r>
      <w:proofErr w:type="gramEnd"/>
      <w:r>
        <w:rPr>
          <w:rFonts w:eastAsia="Times New Roman"/>
          <w:color w:val="000000"/>
          <w:sz w:val="24"/>
          <w:szCs w:val="24"/>
        </w:rPr>
        <w:t xml:space="preserve"> but they highlight the malleability of dignity and how important it is to reclaim a substantive and thick conception of it. </w:t>
      </w:r>
    </w:p>
    <w:p w14:paraId="4C1E3586" w14:textId="77777777" w:rsidR="007E1D76" w:rsidRDefault="007E1D76" w:rsidP="007E1D76">
      <w:pPr>
        <w:rPr>
          <w:rFonts w:eastAsia="Times New Roman"/>
          <w:color w:val="000000"/>
          <w:sz w:val="24"/>
          <w:szCs w:val="24"/>
        </w:rPr>
      </w:pPr>
    </w:p>
    <w:p w14:paraId="75F32B19" w14:textId="363780D3" w:rsidR="007E1D76" w:rsidRDefault="007E1D76" w:rsidP="007E1D76">
      <w:pPr>
        <w:rPr>
          <w:rFonts w:eastAsia="Times New Roman"/>
          <w:color w:val="000000"/>
          <w:sz w:val="24"/>
          <w:szCs w:val="24"/>
        </w:rPr>
      </w:pPr>
      <w:r>
        <w:rPr>
          <w:rFonts w:eastAsia="Times New Roman"/>
          <w:b/>
          <w:bCs/>
          <w:color w:val="000000"/>
          <w:sz w:val="24"/>
          <w:szCs w:val="24"/>
          <w:u w:val="single"/>
        </w:rPr>
        <w:t>Pensions </w:t>
      </w:r>
    </w:p>
    <w:p w14:paraId="0CC948A2" w14:textId="77777777" w:rsidR="007E1D76" w:rsidRDefault="007E1D76" w:rsidP="007E1D76">
      <w:pPr>
        <w:rPr>
          <w:rFonts w:eastAsia="Times New Roman"/>
          <w:color w:val="000000"/>
          <w:sz w:val="24"/>
          <w:szCs w:val="24"/>
        </w:rPr>
      </w:pPr>
      <w:r>
        <w:rPr>
          <w:rFonts w:eastAsia="Times New Roman"/>
          <w:color w:val="000000"/>
          <w:sz w:val="24"/>
          <w:szCs w:val="24"/>
        </w:rPr>
        <w:t xml:space="preserve">These are two good gender decisions on pensions. The Canadian Supreme Court in </w:t>
      </w:r>
      <w:hyperlink r:id="rId6" w:tooltip="https://scc-csc.lexum.com/scc-csc/scc-csc/en/item/18510/index.do" w:history="1">
        <w:r>
          <w:rPr>
            <w:rStyle w:val="Hyperlink"/>
            <w:rFonts w:eastAsia="Times New Roman"/>
            <w:sz w:val="24"/>
            <w:szCs w:val="24"/>
          </w:rPr>
          <w:t>Fraser</w:t>
        </w:r>
      </w:hyperlink>
      <w:r>
        <w:rPr>
          <w:rFonts w:eastAsia="Times New Roman"/>
          <w:color w:val="000000"/>
          <w:sz w:val="24"/>
          <w:szCs w:val="24"/>
        </w:rPr>
        <w:t xml:space="preserve"> said the pension scheme was discriminatory when it did not let job-sharers (who were mostly women) buy-back full pension credits. Basically, calling out how the design of the pension system did not account for women's caring roles. The other is </w:t>
      </w:r>
      <w:hyperlink r:id="rId7" w:tooltip="https://juris.ohchr.org/Search/Details/2409" w:history="1">
        <w:r>
          <w:rPr>
            <w:rStyle w:val="Hyperlink"/>
            <w:rFonts w:eastAsia="Times New Roman"/>
            <w:sz w:val="24"/>
            <w:szCs w:val="24"/>
          </w:rPr>
          <w:t>Trujillo Calero</w:t>
        </w:r>
      </w:hyperlink>
      <w:r>
        <w:rPr>
          <w:rFonts w:eastAsia="Times New Roman"/>
          <w:color w:val="000000"/>
          <w:sz w:val="24"/>
          <w:szCs w:val="24"/>
        </w:rPr>
        <w:t xml:space="preserve"> from CESCR which applied a strong gender lens to non-contributory pensions </w:t>
      </w:r>
    </w:p>
    <w:p w14:paraId="20F42DB8" w14:textId="77777777" w:rsidR="007E1D76" w:rsidRDefault="007E1D76" w:rsidP="007E1D76">
      <w:pPr>
        <w:rPr>
          <w:rFonts w:eastAsia="Times New Roman"/>
          <w:color w:val="000000"/>
          <w:sz w:val="24"/>
          <w:szCs w:val="24"/>
        </w:rPr>
      </w:pPr>
    </w:p>
    <w:p w14:paraId="2D566436" w14:textId="24C1B488" w:rsidR="007E1D76" w:rsidRDefault="007E1D76" w:rsidP="007E1D76">
      <w:pPr>
        <w:rPr>
          <w:rFonts w:eastAsia="Times New Roman"/>
          <w:color w:val="000000"/>
          <w:sz w:val="24"/>
          <w:szCs w:val="24"/>
        </w:rPr>
      </w:pPr>
      <w:r>
        <w:rPr>
          <w:rFonts w:eastAsia="Times New Roman"/>
          <w:b/>
          <w:bCs/>
          <w:color w:val="000000"/>
          <w:sz w:val="24"/>
          <w:szCs w:val="24"/>
          <w:u w:val="single"/>
        </w:rPr>
        <w:t>ETOs</w:t>
      </w:r>
    </w:p>
    <w:p w14:paraId="664F260F" w14:textId="77777777" w:rsidR="007E1D76" w:rsidRDefault="007E1D76" w:rsidP="007E1D76">
      <w:pPr>
        <w:rPr>
          <w:rFonts w:eastAsia="Times New Roman"/>
          <w:color w:val="000000"/>
          <w:sz w:val="24"/>
          <w:szCs w:val="24"/>
        </w:rPr>
      </w:pPr>
      <w:r>
        <w:rPr>
          <w:rFonts w:eastAsia="Times New Roman"/>
          <w:color w:val="000000"/>
          <w:sz w:val="24"/>
          <w:szCs w:val="24"/>
        </w:rPr>
        <w:lastRenderedPageBreak/>
        <w:t>I have also attached a chapter I wrote looking at the duty to cooperate in ICESCR. I went through all the Concluding Observations for the last 5 years are so, and you can find reference to CESCR urging states like Germany to use their power and influence in international financial institutions to ensure fiscal policies are compliant with human rights. France and the UK are criticized for aid policies that violate human rights overseas.  </w:t>
      </w:r>
    </w:p>
    <w:p w14:paraId="1CA0D989" w14:textId="77777777" w:rsidR="007E1D76" w:rsidRPr="007E1D76" w:rsidRDefault="007E1D76" w:rsidP="007E1D76"/>
    <w:sectPr w:rsidR="007E1D76" w:rsidRPr="007E1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76"/>
    <w:rsid w:val="007E1D76"/>
    <w:rsid w:val="00C42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3A61"/>
  <w15:chartTrackingRefBased/>
  <w15:docId w15:val="{2B102D3E-B466-4EF4-8EB1-943F97E8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1D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2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uris.ohchr.org/Search/Details/24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2.safelinks.protection.outlook.com/?url=https%3A%2F%2Fscc-csc.lexum.com%2Fscc-csc%2Fscc-csc%2Fen%2Fitem%2F18510%2Findex.do&amp;data=05%7C01%7Csamhitha.reddy%40un.org%7Ce1e625c62c62486421c908daacf4e0b9%7C0f9e35db544f4f60bdcc5ea416e6dc70%7C0%7C0%7C638012465888903955%7CUnknown%7CTWFpbGZsb3d8eyJWIjoiMC4wLjAwMDAiLCJQIjoiV2luMzIiLCJBTiI6Ik1haWwiLCJXVCI6Mn0%3D%7C2000%7C%7C%7C&amp;sdata=9xBqRn9iMWl89Jg%2B3bbwt%2BWrnd2KnFXB9bKej7X7W5E%3D&amp;reserved=0" TargetMode="External"/><Relationship Id="rId5" Type="http://schemas.openxmlformats.org/officeDocument/2006/relationships/hyperlink" Target="https://eur02.safelinks.protection.outlook.com/?url=http%3A%2F%2Fwww.saflii.org%2Fza%2Fcases%2FZACC%2F2004%2F11.html&amp;data=05%7C01%7Csamhitha.reddy%40un.org%7Ce1e625c62c62486421c908daacf4e0b9%7C0f9e35db544f4f60bdcc5ea416e6dc70%7C0%7C0%7C638012465888903955%7CUnknown%7CTWFpbGZsb3d8eyJWIjoiMC4wLjAwMDAiLCJQIjoiV2luMzIiLCJBTiI6Ik1haWwiLCJXVCI6Mn0%3D%7C2000%7C%7C%7C&amp;sdata=XMq1YoGapGjssOcRhDo3lR9%2Fo9fKdHN3bh4ZIDOzFx8%3D&amp;reserved=0" TargetMode="External"/><Relationship Id="rId4" Type="http://schemas.openxmlformats.org/officeDocument/2006/relationships/hyperlink" Target="https://eur02.safelinks.protection.outlook.com/?url=https%3A%2F%2Fscc-csc.lexum.com%2Fscc-csc%2Fscc-csc%2Fen%2Fitem%2F2027%2Findex.do&amp;data=05%7C01%7Csamhitha.reddy%40un.org%7Ce1e625c62c62486421c908daacf4e0b9%7C0f9e35db544f4f60bdcc5ea416e6dc70%7C0%7C0%7C638012465888903955%7CUnknown%7CTWFpbGZsb3d8eyJWIjoiMC4wLjAwMDAiLCJQIjoiV2luMzIiLCJBTiI6Ik1haWwiLCJXVCI6Mn0%3D%7C2000%7C%7C%7C&amp;sdata=N4srxLqbJD3JAzCMN9fdwcf64ZnSrhhJIvQ4Zus9w7c%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3705</Characters>
  <Application>Microsoft Office Word</Application>
  <DocSecurity>0</DocSecurity>
  <Lines>30</Lines>
  <Paragraphs>8</Paragraphs>
  <ScaleCrop>false</ScaleCrop>
  <Company>OHCHR</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Samhitha Reddy</dc:creator>
  <cp:keywords/>
  <dc:description/>
  <cp:lastModifiedBy>Samhitha Reddy</cp:lastModifiedBy>
  <cp:revision>1</cp:revision>
  <dcterms:created xsi:type="dcterms:W3CDTF">2022-10-18T12:25:00Z</dcterms:created>
  <dcterms:modified xsi:type="dcterms:W3CDTF">2022-10-18T12:26:00Z</dcterms:modified>
</cp:coreProperties>
</file>