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9D8EC" w14:textId="04A58459" w:rsidR="006D7213" w:rsidRDefault="006D7213" w:rsidP="006D7213">
      <w:pPr>
        <w:spacing w:before="240" w:after="240"/>
        <w:jc w:val="center"/>
        <w:rPr>
          <w:b/>
          <w:bCs/>
          <w:i/>
          <w:iCs/>
        </w:rPr>
      </w:pPr>
      <w:r>
        <w:rPr>
          <w:rFonts w:ascii="Cambria" w:hAnsi="Cambria" w:cs="Times New Roman"/>
          <w:b/>
          <w:bCs/>
          <w:iCs/>
          <w:noProof/>
          <w:lang w:val="es-MX" w:eastAsia="es-MX"/>
        </w:rPr>
        <w:drawing>
          <wp:anchor distT="0" distB="0" distL="114300" distR="114300" simplePos="0" relativeHeight="251659264" behindDoc="0" locked="0" layoutInCell="1" allowOverlap="1" wp14:anchorId="49152057" wp14:editId="00DB4E0D">
            <wp:simplePos x="0" y="0"/>
            <wp:positionH relativeFrom="column">
              <wp:posOffset>-571500</wp:posOffset>
            </wp:positionH>
            <wp:positionV relativeFrom="paragraph">
              <wp:posOffset>-790575</wp:posOffset>
            </wp:positionV>
            <wp:extent cx="867198" cy="1200736"/>
            <wp:effectExtent l="0" t="0" r="0" b="0"/>
            <wp:wrapNone/>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GA logo.png"/>
                    <pic:cNvPicPr/>
                  </pic:nvPicPr>
                  <pic:blipFill>
                    <a:blip r:embed="rId8">
                      <a:extLst>
                        <a:ext uri="{28A0092B-C50C-407E-A947-70E740481C1C}">
                          <a14:useLocalDpi xmlns:a14="http://schemas.microsoft.com/office/drawing/2010/main" val="0"/>
                        </a:ext>
                      </a:extLst>
                    </a:blip>
                    <a:stretch>
                      <a:fillRect/>
                    </a:stretch>
                  </pic:blipFill>
                  <pic:spPr>
                    <a:xfrm>
                      <a:off x="0" y="0"/>
                      <a:ext cx="867198" cy="1200736"/>
                    </a:xfrm>
                    <a:prstGeom prst="rect">
                      <a:avLst/>
                    </a:prstGeom>
                  </pic:spPr>
                </pic:pic>
              </a:graphicData>
            </a:graphic>
            <wp14:sizeRelH relativeFrom="page">
              <wp14:pctWidth>0</wp14:pctWidth>
            </wp14:sizeRelH>
            <wp14:sizeRelV relativeFrom="page">
              <wp14:pctHeight>0</wp14:pctHeight>
            </wp14:sizeRelV>
          </wp:anchor>
        </w:drawing>
      </w:r>
    </w:p>
    <w:p w14:paraId="6B93A47B" w14:textId="77777777" w:rsidR="006D7213" w:rsidRDefault="006D7213" w:rsidP="006D7213">
      <w:pPr>
        <w:spacing w:before="240" w:after="240"/>
        <w:jc w:val="center"/>
        <w:rPr>
          <w:b/>
          <w:bCs/>
          <w:i/>
          <w:iCs/>
        </w:rPr>
      </w:pPr>
    </w:p>
    <w:p w14:paraId="1A19FF38" w14:textId="01C62535" w:rsidR="006D7213" w:rsidRPr="00A30DDF" w:rsidRDefault="006D7213" w:rsidP="006D7213">
      <w:pPr>
        <w:spacing w:before="240" w:after="240"/>
        <w:jc w:val="center"/>
        <w:rPr>
          <w:b/>
          <w:bCs/>
          <w:iCs/>
          <w:sz w:val="32"/>
          <w:szCs w:val="32"/>
        </w:rPr>
      </w:pPr>
      <w:r w:rsidRPr="00A30DDF">
        <w:rPr>
          <w:b/>
          <w:bCs/>
          <w:iCs/>
          <w:sz w:val="32"/>
          <w:szCs w:val="32"/>
        </w:rPr>
        <w:t>Submission to the UN Working Group on discrimination against women and girls</w:t>
      </w:r>
    </w:p>
    <w:p w14:paraId="1AD5635D" w14:textId="42B8C880" w:rsidR="00F25EBA" w:rsidRPr="00A30DDF" w:rsidRDefault="00F25EBA" w:rsidP="00F25EBA">
      <w:pPr>
        <w:spacing w:before="240" w:after="240"/>
        <w:jc w:val="center"/>
        <w:rPr>
          <w:sz w:val="24"/>
          <w:szCs w:val="24"/>
        </w:rPr>
      </w:pPr>
      <w:r w:rsidRPr="3B475A52">
        <w:rPr>
          <w:sz w:val="24"/>
          <w:szCs w:val="24"/>
        </w:rPr>
        <w:t xml:space="preserve"> October </w:t>
      </w:r>
      <w:r w:rsidR="4577C5CF" w:rsidRPr="3B475A52">
        <w:rPr>
          <w:sz w:val="24"/>
          <w:szCs w:val="24"/>
        </w:rPr>
        <w:t>20</w:t>
      </w:r>
      <w:r w:rsidRPr="3B475A52">
        <w:rPr>
          <w:sz w:val="24"/>
          <w:szCs w:val="24"/>
        </w:rPr>
        <w:t>, 2022</w:t>
      </w:r>
    </w:p>
    <w:p w14:paraId="36191CC9"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b/>
          <w:color w:val="000000"/>
          <w:sz w:val="24"/>
          <w:szCs w:val="24"/>
        </w:rPr>
        <w:t>Report submitted by:</w:t>
      </w:r>
      <w:r w:rsidRPr="00A30DDF">
        <w:rPr>
          <w:rFonts w:eastAsia="Quattrocento Sans" w:cstheme="minorHAnsi"/>
          <w:color w:val="000000"/>
          <w:sz w:val="24"/>
          <w:szCs w:val="24"/>
        </w:rPr>
        <w:t> </w:t>
      </w:r>
    </w:p>
    <w:p w14:paraId="7C721B57"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408FCE05"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color w:val="000000"/>
          <w:sz w:val="24"/>
          <w:szCs w:val="24"/>
        </w:rPr>
        <w:t>International Lesbian, Gay, Bisexual, Trans and Intersex Association (ILGA World)</w:t>
      </w:r>
    </w:p>
    <w:p w14:paraId="7CA8281B" w14:textId="5A1791FD" w:rsidR="00A30DDF" w:rsidRPr="00A30DDF" w:rsidRDefault="00F25EBA" w:rsidP="00A30DDF">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color w:val="000000"/>
          <w:sz w:val="24"/>
          <w:szCs w:val="24"/>
        </w:rPr>
        <w:t xml:space="preserve"> and </w:t>
      </w:r>
    </w:p>
    <w:p w14:paraId="3A2E03CA" w14:textId="16E95E82" w:rsidR="00A30DDF" w:rsidRPr="00A30DDF" w:rsidRDefault="00A30DDF" w:rsidP="00F25EBA">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color w:val="000000"/>
          <w:sz w:val="24"/>
          <w:szCs w:val="24"/>
        </w:rPr>
        <w:t>EQUAL GROUND</w:t>
      </w:r>
    </w:p>
    <w:p w14:paraId="74547C55"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6832C3D6"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7E8FC56D"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b/>
          <w:color w:val="000000"/>
          <w:sz w:val="24"/>
          <w:szCs w:val="24"/>
        </w:rPr>
        <w:t>With the support of:</w:t>
      </w:r>
      <w:r w:rsidRPr="00A30DDF">
        <w:rPr>
          <w:rFonts w:eastAsia="Quattrocento Sans" w:cstheme="minorHAnsi"/>
          <w:color w:val="000000"/>
          <w:sz w:val="24"/>
          <w:szCs w:val="24"/>
        </w:rPr>
        <w:t> </w:t>
      </w:r>
    </w:p>
    <w:p w14:paraId="71C5AE9B" w14:textId="77777777" w:rsidR="00F25EBA" w:rsidRPr="00A30DDF"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5F12DD6E" w14:textId="77777777" w:rsidR="00F25EBA" w:rsidRDefault="00F25EBA" w:rsidP="00F25EBA">
      <w:pPr>
        <w:pBdr>
          <w:top w:val="nil"/>
          <w:left w:val="nil"/>
          <w:bottom w:val="nil"/>
          <w:right w:val="nil"/>
          <w:between w:val="nil"/>
        </w:pBdr>
        <w:spacing w:after="0" w:line="240" w:lineRule="auto"/>
        <w:jc w:val="center"/>
        <w:rPr>
          <w:rFonts w:eastAsia="Quattrocento Sans" w:cstheme="minorHAnsi"/>
          <w:color w:val="000000"/>
          <w:sz w:val="24"/>
          <w:szCs w:val="24"/>
        </w:rPr>
      </w:pPr>
      <w:r w:rsidRPr="00A30DDF">
        <w:rPr>
          <w:rFonts w:eastAsia="Quattrocento Sans" w:cstheme="minorHAnsi"/>
          <w:color w:val="000000"/>
          <w:sz w:val="24"/>
          <w:szCs w:val="24"/>
        </w:rPr>
        <w:t>Asian Region of the Int'l Lesbian, Gay, Bisexual, Trans and Intersex Association (ILGA-Asia)</w:t>
      </w:r>
    </w:p>
    <w:p w14:paraId="350DF420" w14:textId="77777777" w:rsidR="00A30DDF" w:rsidRDefault="00A30DDF"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735B2F03" w14:textId="77777777" w:rsidR="00A30DDF" w:rsidRPr="00A30DDF" w:rsidRDefault="00A30DDF" w:rsidP="00F25EBA">
      <w:pPr>
        <w:pBdr>
          <w:top w:val="nil"/>
          <w:left w:val="nil"/>
          <w:bottom w:val="nil"/>
          <w:right w:val="nil"/>
          <w:between w:val="nil"/>
        </w:pBdr>
        <w:spacing w:after="0" w:line="240" w:lineRule="auto"/>
        <w:jc w:val="center"/>
        <w:rPr>
          <w:rFonts w:eastAsia="Quattrocento Sans" w:cstheme="minorHAnsi"/>
          <w:color w:val="000000"/>
          <w:sz w:val="24"/>
          <w:szCs w:val="24"/>
        </w:rPr>
      </w:pPr>
    </w:p>
    <w:p w14:paraId="11DB5E12" w14:textId="77777777" w:rsidR="00A30DDF" w:rsidRDefault="00A30DDF" w:rsidP="00F25EBA">
      <w:pPr>
        <w:pBdr>
          <w:top w:val="nil"/>
          <w:left w:val="nil"/>
          <w:bottom w:val="nil"/>
          <w:right w:val="nil"/>
          <w:between w:val="nil"/>
        </w:pBdr>
        <w:spacing w:after="0" w:line="240" w:lineRule="auto"/>
        <w:jc w:val="center"/>
        <w:rPr>
          <w:rFonts w:ascii="Quattrocento Sans" w:eastAsia="Quattrocento Sans" w:hAnsi="Quattrocento Sans" w:cs="Quattrocento Sans"/>
          <w:color w:val="000000"/>
          <w:sz w:val="26"/>
          <w:szCs w:val="26"/>
        </w:rPr>
      </w:pPr>
    </w:p>
    <w:p w14:paraId="034AE335" w14:textId="77777777" w:rsidR="006D7213" w:rsidRPr="009238D2" w:rsidRDefault="006D7213" w:rsidP="00B02FF1">
      <w:pPr>
        <w:jc w:val="both"/>
        <w:rPr>
          <w:rFonts w:cstheme="minorHAnsi"/>
          <w:b/>
          <w:sz w:val="28"/>
          <w:szCs w:val="28"/>
        </w:rPr>
      </w:pPr>
      <w:r w:rsidRPr="009238D2">
        <w:rPr>
          <w:rFonts w:cstheme="minorHAnsi"/>
          <w:b/>
          <w:sz w:val="28"/>
          <w:szCs w:val="28"/>
        </w:rPr>
        <w:t>Executive summary</w:t>
      </w:r>
    </w:p>
    <w:p w14:paraId="6AFB1C07" w14:textId="00820AC8" w:rsidR="006D7213" w:rsidRPr="00B02FF1" w:rsidRDefault="006D7213" w:rsidP="271EFB30">
      <w:pPr>
        <w:spacing w:before="120" w:after="240"/>
        <w:jc w:val="both"/>
        <w:rPr>
          <w:b/>
          <w:bCs/>
          <w:sz w:val="24"/>
          <w:szCs w:val="24"/>
        </w:rPr>
      </w:pPr>
      <w:r w:rsidRPr="271EFB30">
        <w:rPr>
          <w:sz w:val="24"/>
          <w:szCs w:val="24"/>
        </w:rPr>
        <w:t xml:space="preserve">This submission has been prepared by the International Lesbian, Gay, Bisexual, Trans, and Intersex Association (ILGA World) </w:t>
      </w:r>
      <w:r w:rsidR="00A30DDF" w:rsidRPr="271EFB30">
        <w:rPr>
          <w:sz w:val="24"/>
          <w:szCs w:val="24"/>
        </w:rPr>
        <w:t xml:space="preserve">and EQUAL GROUND </w:t>
      </w:r>
      <w:r w:rsidRPr="271EFB30">
        <w:rPr>
          <w:sz w:val="24"/>
          <w:szCs w:val="24"/>
        </w:rPr>
        <w:t>as a response to the</w:t>
      </w:r>
      <w:hyperlink r:id="rId9">
        <w:r w:rsidRPr="271EFB30">
          <w:rPr>
            <w:sz w:val="24"/>
            <w:szCs w:val="24"/>
          </w:rPr>
          <w:t xml:space="preserve"> </w:t>
        </w:r>
      </w:hyperlink>
      <w:hyperlink r:id="rId10">
        <w:r w:rsidRPr="271EFB30">
          <w:rPr>
            <w:rStyle w:val="Hipervnculo"/>
            <w:sz w:val="24"/>
            <w:szCs w:val="24"/>
          </w:rPr>
          <w:t>call</w:t>
        </w:r>
      </w:hyperlink>
      <w:r w:rsidRPr="271EFB30">
        <w:rPr>
          <w:sz w:val="24"/>
          <w:szCs w:val="24"/>
        </w:rPr>
        <w:t xml:space="preserve"> published by UN Working Group on discrimination against women and girls</w:t>
      </w:r>
      <w:r w:rsidRPr="271EFB30">
        <w:rPr>
          <w:rFonts w:eastAsia="Times New Roman"/>
          <w:b/>
          <w:bCs/>
          <w:sz w:val="24"/>
          <w:szCs w:val="24"/>
          <w:lang w:eastAsia="es-MX"/>
        </w:rPr>
        <w:t xml:space="preserve"> </w:t>
      </w:r>
      <w:r w:rsidRPr="271EFB30">
        <w:rPr>
          <w:sz w:val="24"/>
          <w:szCs w:val="24"/>
        </w:rPr>
        <w:t>for its upcoming report “Human Security of Women and Girls in the Context of Poverty and Inequality”.</w:t>
      </w:r>
    </w:p>
    <w:p w14:paraId="501512A9" w14:textId="7ED1F34B" w:rsidR="00192176" w:rsidRPr="00B02FF1" w:rsidRDefault="3612547F" w:rsidP="271EFB30">
      <w:pPr>
        <w:spacing w:before="120" w:after="240"/>
        <w:jc w:val="both"/>
        <w:rPr>
          <w:sz w:val="24"/>
          <w:szCs w:val="24"/>
        </w:rPr>
      </w:pPr>
      <w:r w:rsidRPr="00DD023D">
        <w:rPr>
          <w:sz w:val="24"/>
          <w:szCs w:val="24"/>
        </w:rPr>
        <w:t>The present submission overviews the</w:t>
      </w:r>
      <w:r w:rsidR="26744CFE" w:rsidRPr="00DD023D">
        <w:rPr>
          <w:sz w:val="24"/>
          <w:szCs w:val="24"/>
        </w:rPr>
        <w:t xml:space="preserve"> </w:t>
      </w:r>
      <w:r w:rsidRPr="00DD023D">
        <w:rPr>
          <w:sz w:val="24"/>
          <w:szCs w:val="24"/>
        </w:rPr>
        <w:t xml:space="preserve">situation of </w:t>
      </w:r>
      <w:r w:rsidR="78A5ACCF" w:rsidRPr="00DD023D">
        <w:rPr>
          <w:sz w:val="24"/>
          <w:szCs w:val="24"/>
        </w:rPr>
        <w:t>lesbian, bisexual, trans</w:t>
      </w:r>
      <w:r w:rsidR="7136AA47" w:rsidRPr="00DD023D">
        <w:rPr>
          <w:sz w:val="24"/>
          <w:szCs w:val="24"/>
        </w:rPr>
        <w:t xml:space="preserve">, </w:t>
      </w:r>
      <w:r w:rsidR="78A5ACCF" w:rsidRPr="00DD023D">
        <w:rPr>
          <w:sz w:val="24"/>
          <w:szCs w:val="24"/>
        </w:rPr>
        <w:t>and queer (</w:t>
      </w:r>
      <w:r w:rsidRPr="00DD023D">
        <w:rPr>
          <w:sz w:val="24"/>
          <w:szCs w:val="24"/>
        </w:rPr>
        <w:t>LBTQ</w:t>
      </w:r>
      <w:r w:rsidR="46BD1101" w:rsidRPr="00DD023D">
        <w:rPr>
          <w:sz w:val="24"/>
          <w:szCs w:val="24"/>
        </w:rPr>
        <w:t>)</w:t>
      </w:r>
      <w:r w:rsidRPr="00DD023D">
        <w:rPr>
          <w:sz w:val="24"/>
          <w:szCs w:val="24"/>
        </w:rPr>
        <w:t xml:space="preserve"> women in </w:t>
      </w:r>
      <w:r w:rsidR="614C7B05" w:rsidRPr="00DD023D">
        <w:rPr>
          <w:sz w:val="24"/>
          <w:szCs w:val="24"/>
        </w:rPr>
        <w:t>regard to</w:t>
      </w:r>
      <w:r w:rsidRPr="00DD023D">
        <w:rPr>
          <w:sz w:val="24"/>
          <w:szCs w:val="24"/>
        </w:rPr>
        <w:t xml:space="preserve"> economic inequalities</w:t>
      </w:r>
      <w:r w:rsidR="331B611D" w:rsidRPr="00DD023D">
        <w:rPr>
          <w:sz w:val="24"/>
          <w:szCs w:val="24"/>
        </w:rPr>
        <w:t xml:space="preserve"> in multiple countries</w:t>
      </w:r>
      <w:r w:rsidRPr="00DD023D">
        <w:rPr>
          <w:sz w:val="24"/>
          <w:szCs w:val="24"/>
        </w:rPr>
        <w:t>, with a focus on examples</w:t>
      </w:r>
      <w:r w:rsidR="3D22D83A" w:rsidRPr="00DD023D">
        <w:rPr>
          <w:sz w:val="24"/>
          <w:szCs w:val="24"/>
        </w:rPr>
        <w:t xml:space="preserve"> in Sri Lanka</w:t>
      </w:r>
      <w:r w:rsidRPr="00DD023D">
        <w:rPr>
          <w:sz w:val="24"/>
          <w:szCs w:val="24"/>
        </w:rPr>
        <w:t xml:space="preserve">. It also </w:t>
      </w:r>
      <w:r w:rsidR="5E79F515" w:rsidRPr="00DD023D">
        <w:rPr>
          <w:sz w:val="24"/>
          <w:szCs w:val="24"/>
        </w:rPr>
        <w:t xml:space="preserve">explores the </w:t>
      </w:r>
      <w:r w:rsidR="3D22D83A" w:rsidRPr="00DD023D">
        <w:rPr>
          <w:sz w:val="24"/>
          <w:szCs w:val="24"/>
        </w:rPr>
        <w:t>circumstances of</w:t>
      </w:r>
      <w:r w:rsidR="5E79F515" w:rsidRPr="00DD023D">
        <w:rPr>
          <w:sz w:val="24"/>
          <w:szCs w:val="24"/>
        </w:rPr>
        <w:t xml:space="preserve"> access to employment and social benefits, housing</w:t>
      </w:r>
      <w:r w:rsidR="1288526C" w:rsidRPr="00DD023D">
        <w:rPr>
          <w:sz w:val="24"/>
          <w:szCs w:val="24"/>
        </w:rPr>
        <w:t>,</w:t>
      </w:r>
      <w:r w:rsidR="5E79F515" w:rsidRPr="00DD023D">
        <w:rPr>
          <w:sz w:val="24"/>
          <w:szCs w:val="24"/>
        </w:rPr>
        <w:t xml:space="preserve"> and healthcare for LBTQ women, and </w:t>
      </w:r>
      <w:r w:rsidRPr="00DD023D">
        <w:rPr>
          <w:sz w:val="24"/>
          <w:szCs w:val="24"/>
        </w:rPr>
        <w:t xml:space="preserve">underpins </w:t>
      </w:r>
      <w:r w:rsidR="5E79F515" w:rsidRPr="00DD023D">
        <w:rPr>
          <w:sz w:val="24"/>
          <w:szCs w:val="24"/>
        </w:rPr>
        <w:t>the issues of labor market discrimination for LBQ women, trans women</w:t>
      </w:r>
      <w:r w:rsidR="307FA0F4" w:rsidRPr="00DD023D">
        <w:rPr>
          <w:sz w:val="24"/>
          <w:szCs w:val="24"/>
        </w:rPr>
        <w:t>’s</w:t>
      </w:r>
      <w:r w:rsidR="5E79F515" w:rsidRPr="00DD023D">
        <w:rPr>
          <w:sz w:val="24"/>
          <w:szCs w:val="24"/>
        </w:rPr>
        <w:t xml:space="preserve"> exclusion</w:t>
      </w:r>
      <w:r w:rsidR="3D22D83A" w:rsidRPr="00DD023D">
        <w:rPr>
          <w:sz w:val="24"/>
          <w:szCs w:val="24"/>
        </w:rPr>
        <w:t xml:space="preserve"> from employment, poverty risks</w:t>
      </w:r>
      <w:r w:rsidR="0DF7159A" w:rsidRPr="00DD023D">
        <w:rPr>
          <w:sz w:val="24"/>
          <w:szCs w:val="24"/>
        </w:rPr>
        <w:t xml:space="preserve">, </w:t>
      </w:r>
      <w:r w:rsidR="3756D5B6" w:rsidRPr="00DD023D">
        <w:rPr>
          <w:sz w:val="24"/>
          <w:szCs w:val="24"/>
        </w:rPr>
        <w:t>a</w:t>
      </w:r>
      <w:r w:rsidR="5E79F515" w:rsidRPr="00DD023D">
        <w:rPr>
          <w:sz w:val="24"/>
          <w:szCs w:val="24"/>
        </w:rPr>
        <w:t xml:space="preserve">nd structural barriers for women due to </w:t>
      </w:r>
      <w:r w:rsidRPr="00DD023D">
        <w:rPr>
          <w:sz w:val="24"/>
          <w:szCs w:val="24"/>
        </w:rPr>
        <w:t>their sexual orientation, gender identity/expression, and sex characteristics [SOGIESC]</w:t>
      </w:r>
      <w:r w:rsidR="015E3A9F" w:rsidRPr="00DD023D">
        <w:rPr>
          <w:sz w:val="24"/>
          <w:szCs w:val="24"/>
        </w:rPr>
        <w:t>.</w:t>
      </w:r>
      <w:r w:rsidR="0A55E2B8" w:rsidRPr="00DD023D">
        <w:rPr>
          <w:sz w:val="24"/>
          <w:szCs w:val="24"/>
        </w:rPr>
        <w:t xml:space="preserve"> In addition, this submission addresses</w:t>
      </w:r>
      <w:r w:rsidRPr="00DD023D">
        <w:rPr>
          <w:sz w:val="24"/>
          <w:szCs w:val="24"/>
        </w:rPr>
        <w:t xml:space="preserve"> the factors that perpetuate th</w:t>
      </w:r>
      <w:r w:rsidR="4B2431ED" w:rsidRPr="00DD023D">
        <w:rPr>
          <w:sz w:val="24"/>
          <w:szCs w:val="24"/>
        </w:rPr>
        <w:t>ese</w:t>
      </w:r>
      <w:r w:rsidRPr="00DD023D">
        <w:rPr>
          <w:sz w:val="24"/>
          <w:szCs w:val="24"/>
        </w:rPr>
        <w:t xml:space="preserve"> phenomen</w:t>
      </w:r>
      <w:r w:rsidR="3041ABD7" w:rsidRPr="00DD023D">
        <w:rPr>
          <w:sz w:val="24"/>
          <w:szCs w:val="24"/>
        </w:rPr>
        <w:t>a,</w:t>
      </w:r>
      <w:r w:rsidR="3D22D83A" w:rsidRPr="00DD023D">
        <w:rPr>
          <w:sz w:val="24"/>
          <w:szCs w:val="24"/>
        </w:rPr>
        <w:t xml:space="preserve"> such as </w:t>
      </w:r>
      <w:r w:rsidR="74B0287B" w:rsidRPr="00DD023D">
        <w:rPr>
          <w:sz w:val="24"/>
          <w:szCs w:val="24"/>
        </w:rPr>
        <w:t>the criminalization of same-sex relations.</w:t>
      </w:r>
      <w:r w:rsidR="6DBDFBDA" w:rsidRPr="00DD023D">
        <w:rPr>
          <w:sz w:val="24"/>
          <w:szCs w:val="24"/>
        </w:rPr>
        <w:t xml:space="preserve"> Lastly</w:t>
      </w:r>
      <w:r w:rsidRPr="00DD023D">
        <w:rPr>
          <w:sz w:val="24"/>
          <w:szCs w:val="24"/>
        </w:rPr>
        <w:t xml:space="preserve">, </w:t>
      </w:r>
      <w:r w:rsidR="78A32FBC" w:rsidRPr="00DD023D">
        <w:rPr>
          <w:sz w:val="24"/>
          <w:szCs w:val="24"/>
        </w:rPr>
        <w:t xml:space="preserve">it </w:t>
      </w:r>
      <w:r w:rsidR="5E79F515" w:rsidRPr="00DD023D">
        <w:rPr>
          <w:sz w:val="24"/>
          <w:szCs w:val="24"/>
        </w:rPr>
        <w:t xml:space="preserve">provides a list of recommendations </w:t>
      </w:r>
      <w:r w:rsidRPr="00DD023D">
        <w:rPr>
          <w:sz w:val="24"/>
          <w:szCs w:val="24"/>
        </w:rPr>
        <w:t xml:space="preserve">to document, </w:t>
      </w:r>
      <w:r w:rsidR="5E79F515" w:rsidRPr="00DD023D">
        <w:rPr>
          <w:sz w:val="24"/>
          <w:szCs w:val="24"/>
        </w:rPr>
        <w:t xml:space="preserve">eradicate and prevent the economic and social marginalization faced by LBTQ women. </w:t>
      </w:r>
    </w:p>
    <w:p w14:paraId="738D4763" w14:textId="0FA3AC31" w:rsidR="271EFB30" w:rsidRDefault="271EFB30" w:rsidP="271EFB30">
      <w:pPr>
        <w:spacing w:before="120" w:after="240"/>
        <w:jc w:val="both"/>
        <w:rPr>
          <w:sz w:val="24"/>
          <w:szCs w:val="24"/>
        </w:rPr>
      </w:pPr>
    </w:p>
    <w:p w14:paraId="3CD511EC" w14:textId="421FDA05" w:rsidR="60CA311B" w:rsidRPr="009238D2" w:rsidRDefault="60CA311B" w:rsidP="00B02FF1">
      <w:pPr>
        <w:jc w:val="both"/>
        <w:rPr>
          <w:rFonts w:eastAsia="Times New Roman" w:cstheme="minorHAnsi"/>
          <w:b/>
          <w:bCs/>
          <w:sz w:val="28"/>
          <w:szCs w:val="28"/>
        </w:rPr>
      </w:pPr>
      <w:r w:rsidRPr="009238D2">
        <w:rPr>
          <w:rFonts w:eastAsia="Times New Roman" w:cstheme="minorHAnsi"/>
          <w:b/>
          <w:bCs/>
          <w:sz w:val="28"/>
          <w:szCs w:val="28"/>
        </w:rPr>
        <w:lastRenderedPageBreak/>
        <w:t xml:space="preserve">Poverty: </w:t>
      </w:r>
    </w:p>
    <w:p w14:paraId="48158D82" w14:textId="289BAD36" w:rsidR="5158DEB1" w:rsidRPr="005607BA" w:rsidRDefault="5C33A975" w:rsidP="00B02FF1">
      <w:pPr>
        <w:jc w:val="both"/>
        <w:rPr>
          <w:rFonts w:eastAsia="Times New Roman"/>
          <w:sz w:val="24"/>
          <w:szCs w:val="24"/>
        </w:rPr>
      </w:pPr>
      <w:r w:rsidRPr="00DD023D">
        <w:rPr>
          <w:rFonts w:eastAsia="Times New Roman"/>
          <w:sz w:val="24"/>
          <w:szCs w:val="24"/>
        </w:rPr>
        <w:t xml:space="preserve">LBTQ women are </w:t>
      </w:r>
      <w:r w:rsidR="7F07EC78" w:rsidRPr="00DD023D">
        <w:rPr>
          <w:rFonts w:eastAsia="Times New Roman"/>
          <w:sz w:val="24"/>
          <w:szCs w:val="24"/>
        </w:rPr>
        <w:t>heavily</w:t>
      </w:r>
      <w:r w:rsidRPr="00DD023D">
        <w:rPr>
          <w:rFonts w:eastAsia="Times New Roman"/>
          <w:sz w:val="24"/>
          <w:szCs w:val="24"/>
        </w:rPr>
        <w:t xml:space="preserve"> impacted by </w:t>
      </w:r>
      <w:r w:rsidR="42F07591" w:rsidRPr="00DD023D">
        <w:rPr>
          <w:rFonts w:eastAsia="Times New Roman"/>
          <w:sz w:val="24"/>
          <w:szCs w:val="24"/>
        </w:rPr>
        <w:t xml:space="preserve">economic inequality and face </w:t>
      </w:r>
      <w:r w:rsidR="6235AEA4" w:rsidRPr="00DD023D">
        <w:rPr>
          <w:rFonts w:eastAsia="Times New Roman"/>
          <w:sz w:val="24"/>
          <w:szCs w:val="24"/>
        </w:rPr>
        <w:t>heightened</w:t>
      </w:r>
      <w:r w:rsidR="42F07591" w:rsidRPr="00DD023D">
        <w:rPr>
          <w:rFonts w:eastAsia="Times New Roman"/>
          <w:sz w:val="24"/>
          <w:szCs w:val="24"/>
        </w:rPr>
        <w:t xml:space="preserve"> levels of </w:t>
      </w:r>
      <w:r w:rsidR="28CFA43F" w:rsidRPr="00DD023D">
        <w:rPr>
          <w:rFonts w:eastAsia="Times New Roman"/>
          <w:sz w:val="24"/>
          <w:szCs w:val="24"/>
        </w:rPr>
        <w:t xml:space="preserve">poverty. </w:t>
      </w:r>
      <w:r w:rsidR="09A22ADE" w:rsidRPr="00DD023D">
        <w:rPr>
          <w:rFonts w:eastAsia="Times New Roman"/>
          <w:sz w:val="24"/>
          <w:szCs w:val="24"/>
        </w:rPr>
        <w:t>In United States, t</w:t>
      </w:r>
      <w:r w:rsidR="261E91B7" w:rsidRPr="00DD023D">
        <w:rPr>
          <w:rFonts w:eastAsia="Times New Roman"/>
          <w:sz w:val="24"/>
          <w:szCs w:val="24"/>
        </w:rPr>
        <w:t xml:space="preserve">he burden of poverty falls </w:t>
      </w:r>
      <w:r w:rsidR="26EF0496" w:rsidRPr="00DD023D">
        <w:rPr>
          <w:rFonts w:eastAsia="Times New Roman"/>
          <w:sz w:val="24"/>
          <w:szCs w:val="24"/>
        </w:rPr>
        <w:t xml:space="preserve">in particular </w:t>
      </w:r>
      <w:r w:rsidR="261E91B7" w:rsidRPr="00DD023D">
        <w:rPr>
          <w:rFonts w:eastAsia="Times New Roman"/>
          <w:sz w:val="24"/>
          <w:szCs w:val="24"/>
        </w:rPr>
        <w:t xml:space="preserve">on bisexual and trans women. Research indicates that </w:t>
      </w:r>
      <w:r w:rsidR="540EC8D7" w:rsidRPr="00DD023D">
        <w:rPr>
          <w:rFonts w:eastAsia="Times New Roman"/>
          <w:sz w:val="24"/>
          <w:szCs w:val="24"/>
        </w:rPr>
        <w:t xml:space="preserve">while </w:t>
      </w:r>
      <w:r w:rsidR="6B4C4258" w:rsidRPr="00DD023D">
        <w:rPr>
          <w:rFonts w:eastAsia="Times New Roman"/>
          <w:sz w:val="24"/>
          <w:szCs w:val="24"/>
        </w:rPr>
        <w:t xml:space="preserve">the difference in </w:t>
      </w:r>
      <w:r w:rsidR="261E91B7" w:rsidRPr="00DD023D">
        <w:rPr>
          <w:rFonts w:eastAsia="Times New Roman"/>
          <w:sz w:val="24"/>
          <w:szCs w:val="24"/>
        </w:rPr>
        <w:t xml:space="preserve">poverty rates </w:t>
      </w:r>
      <w:r w:rsidR="59626DED" w:rsidRPr="00DD023D">
        <w:rPr>
          <w:rFonts w:eastAsia="Times New Roman"/>
          <w:sz w:val="24"/>
          <w:szCs w:val="24"/>
        </w:rPr>
        <w:t xml:space="preserve">between </w:t>
      </w:r>
      <w:r w:rsidR="261E91B7" w:rsidRPr="00DD023D">
        <w:rPr>
          <w:rFonts w:eastAsia="Times New Roman"/>
          <w:sz w:val="24"/>
          <w:szCs w:val="24"/>
        </w:rPr>
        <w:t xml:space="preserve">lesbians (17.9%) </w:t>
      </w:r>
      <w:r w:rsidR="06EF50EF" w:rsidRPr="00DD023D">
        <w:rPr>
          <w:rFonts w:eastAsia="Times New Roman"/>
          <w:sz w:val="24"/>
          <w:szCs w:val="24"/>
        </w:rPr>
        <w:t>and straight women (17.8%) is not statistically significant, bisexual women face</w:t>
      </w:r>
      <w:r w:rsidR="566402E5" w:rsidRPr="00DD023D">
        <w:rPr>
          <w:rFonts w:eastAsia="Times New Roman"/>
          <w:sz w:val="24"/>
          <w:szCs w:val="24"/>
        </w:rPr>
        <w:t xml:space="preserve"> </w:t>
      </w:r>
      <w:r w:rsidR="303278CC" w:rsidRPr="00DD023D">
        <w:rPr>
          <w:rFonts w:eastAsia="Times New Roman"/>
          <w:sz w:val="24"/>
          <w:szCs w:val="24"/>
        </w:rPr>
        <w:t xml:space="preserve">poverty rates of 29.4%, </w:t>
      </w:r>
      <w:r w:rsidR="432D2223" w:rsidRPr="00DD023D">
        <w:rPr>
          <w:rFonts w:eastAsia="Times New Roman"/>
          <w:sz w:val="24"/>
          <w:szCs w:val="24"/>
        </w:rPr>
        <w:t>considerably</w:t>
      </w:r>
      <w:r w:rsidR="303278CC" w:rsidRPr="00DD023D">
        <w:rPr>
          <w:rFonts w:eastAsia="Times New Roman"/>
          <w:sz w:val="24"/>
          <w:szCs w:val="24"/>
        </w:rPr>
        <w:t xml:space="preserve"> higher than women or men of any other sexual orientation</w:t>
      </w:r>
      <w:r w:rsidR="230B3180" w:rsidRPr="00DD023D">
        <w:rPr>
          <w:rStyle w:val="Refdenotaalpie"/>
          <w:rFonts w:eastAsia="Times New Roman"/>
          <w:sz w:val="24"/>
          <w:szCs w:val="24"/>
        </w:rPr>
        <w:footnoteReference w:id="1"/>
      </w:r>
      <w:r w:rsidR="303278CC" w:rsidRPr="00DD023D">
        <w:rPr>
          <w:rFonts w:eastAsia="Times New Roman"/>
          <w:sz w:val="24"/>
          <w:szCs w:val="24"/>
        </w:rPr>
        <w:t xml:space="preserve">. </w:t>
      </w:r>
      <w:r w:rsidR="7815FBF0" w:rsidRPr="00DD023D">
        <w:rPr>
          <w:rFonts w:eastAsia="Times New Roman"/>
          <w:sz w:val="24"/>
          <w:szCs w:val="24"/>
        </w:rPr>
        <w:t>Significant disparities also exist</w:t>
      </w:r>
      <w:r w:rsidR="16D77D4E" w:rsidRPr="00DD023D">
        <w:rPr>
          <w:rFonts w:eastAsia="Times New Roman"/>
          <w:sz w:val="24"/>
          <w:szCs w:val="24"/>
        </w:rPr>
        <w:t xml:space="preserve"> between</w:t>
      </w:r>
      <w:r w:rsidR="7815FBF0" w:rsidRPr="00DD023D">
        <w:rPr>
          <w:rFonts w:eastAsia="Times New Roman"/>
          <w:sz w:val="24"/>
          <w:szCs w:val="24"/>
        </w:rPr>
        <w:t xml:space="preserve"> families. 15% of female same-sex couple raising children live in poverty in the US, compared to 9% of marri</w:t>
      </w:r>
      <w:r w:rsidR="4E567998" w:rsidRPr="00DD023D">
        <w:rPr>
          <w:rFonts w:eastAsia="Times New Roman"/>
          <w:sz w:val="24"/>
          <w:szCs w:val="24"/>
        </w:rPr>
        <w:t xml:space="preserve">ed opposite-sex couples with children. </w:t>
      </w:r>
      <w:r w:rsidR="43112ACF" w:rsidRPr="00DD023D">
        <w:rPr>
          <w:rFonts w:eastAsia="Times New Roman"/>
          <w:sz w:val="24"/>
          <w:szCs w:val="24"/>
        </w:rPr>
        <w:t>Furthermore, trans women face 3.8 times higher poverty rates than the general population</w:t>
      </w:r>
      <w:r w:rsidR="230B3180" w:rsidRPr="00DD023D">
        <w:rPr>
          <w:rStyle w:val="Refdenotaalpie"/>
          <w:rFonts w:eastAsia="Times New Roman"/>
          <w:sz w:val="24"/>
          <w:szCs w:val="24"/>
        </w:rPr>
        <w:footnoteReference w:id="2"/>
      </w:r>
      <w:r w:rsidR="43112ACF" w:rsidRPr="00DD023D">
        <w:rPr>
          <w:rFonts w:eastAsia="Times New Roman"/>
          <w:sz w:val="24"/>
          <w:szCs w:val="24"/>
        </w:rPr>
        <w:t xml:space="preserve">. </w:t>
      </w:r>
      <w:r w:rsidR="74AE1E3E" w:rsidRPr="00DD023D">
        <w:rPr>
          <w:rFonts w:eastAsia="Times New Roman"/>
          <w:sz w:val="24"/>
          <w:szCs w:val="24"/>
        </w:rPr>
        <w:t>This</w:t>
      </w:r>
      <w:r w:rsidR="1DD002C5" w:rsidRPr="00DD023D">
        <w:rPr>
          <w:rFonts w:eastAsia="Times New Roman"/>
          <w:sz w:val="24"/>
          <w:szCs w:val="24"/>
        </w:rPr>
        <w:t xml:space="preserve"> heightened exposure to poverty</w:t>
      </w:r>
      <w:r w:rsidR="74AE1E3E" w:rsidRPr="00DD023D">
        <w:rPr>
          <w:rFonts w:eastAsia="Times New Roman"/>
          <w:sz w:val="24"/>
          <w:szCs w:val="24"/>
        </w:rPr>
        <w:t xml:space="preserve">, in combination with widespread social stigmatization and discrimination, creates significant barriers for LBTQ women in accessing employment, social benefits, secure housing and </w:t>
      </w:r>
      <w:r w:rsidR="1512E66A" w:rsidRPr="00DD023D">
        <w:rPr>
          <w:rFonts w:eastAsia="Times New Roman"/>
          <w:sz w:val="24"/>
          <w:szCs w:val="24"/>
        </w:rPr>
        <w:t xml:space="preserve">adequate healthcare. </w:t>
      </w:r>
      <w:r w:rsidR="3C57C438" w:rsidRPr="00DD023D">
        <w:rPr>
          <w:rFonts w:eastAsia="Times New Roman"/>
          <w:sz w:val="24"/>
          <w:szCs w:val="24"/>
        </w:rPr>
        <w:t xml:space="preserve"> </w:t>
      </w:r>
    </w:p>
    <w:p w14:paraId="6D9C048C" w14:textId="775284F5" w:rsidR="4469A2D2" w:rsidRPr="009238D2" w:rsidRDefault="24C13E77" w:rsidP="00B02FF1">
      <w:pPr>
        <w:jc w:val="both"/>
        <w:rPr>
          <w:rFonts w:eastAsia="Times New Roman" w:cstheme="minorHAnsi"/>
          <w:b/>
          <w:bCs/>
          <w:sz w:val="28"/>
          <w:szCs w:val="28"/>
        </w:rPr>
      </w:pPr>
      <w:r w:rsidRPr="009238D2">
        <w:rPr>
          <w:rFonts w:eastAsia="Times New Roman" w:cstheme="minorHAnsi"/>
          <w:b/>
          <w:bCs/>
          <w:sz w:val="28"/>
          <w:szCs w:val="28"/>
        </w:rPr>
        <w:t xml:space="preserve">Employment and social benefits: </w:t>
      </w:r>
    </w:p>
    <w:p w14:paraId="611DE8CF" w14:textId="250F0A03" w:rsidR="580D1481" w:rsidRPr="00B02FF1" w:rsidRDefault="558BE196" w:rsidP="00DD023D">
      <w:pPr>
        <w:jc w:val="both"/>
        <w:rPr>
          <w:rFonts w:eastAsia="Times New Roman"/>
          <w:sz w:val="24"/>
          <w:szCs w:val="24"/>
        </w:rPr>
      </w:pPr>
      <w:r w:rsidRPr="00DD023D">
        <w:rPr>
          <w:rFonts w:eastAsia="Times New Roman"/>
          <w:sz w:val="24"/>
          <w:szCs w:val="24"/>
        </w:rPr>
        <w:t xml:space="preserve">The experience of social and economic inequity for LBTQ women is often shaped by </w:t>
      </w:r>
      <w:r w:rsidR="44D3D88D" w:rsidRPr="00DD023D">
        <w:rPr>
          <w:rFonts w:eastAsia="Times New Roman"/>
          <w:sz w:val="24"/>
          <w:szCs w:val="24"/>
        </w:rPr>
        <w:t>labor market discrimination. LBTQ women are discriminated against in seeking employment, in wages and in career progression</w:t>
      </w:r>
      <w:r w:rsidR="580D1481" w:rsidRPr="00DD023D">
        <w:rPr>
          <w:rStyle w:val="Refdenotaalpie"/>
          <w:rFonts w:eastAsia="Times New Roman"/>
          <w:sz w:val="24"/>
          <w:szCs w:val="24"/>
        </w:rPr>
        <w:footnoteReference w:id="3"/>
      </w:r>
      <w:r w:rsidR="24795453" w:rsidRPr="00DD023D">
        <w:rPr>
          <w:rFonts w:eastAsia="Times New Roman"/>
          <w:sz w:val="24"/>
          <w:szCs w:val="24"/>
        </w:rPr>
        <w:t xml:space="preserve">. In the United States, women perceived as </w:t>
      </w:r>
      <w:r w:rsidR="0CDD7633" w:rsidRPr="00DD023D">
        <w:rPr>
          <w:rFonts w:eastAsia="Times New Roman"/>
          <w:sz w:val="24"/>
          <w:szCs w:val="24"/>
        </w:rPr>
        <w:t>q</w:t>
      </w:r>
      <w:r w:rsidR="24795453" w:rsidRPr="00DD023D">
        <w:rPr>
          <w:rFonts w:eastAsia="Times New Roman"/>
          <w:sz w:val="24"/>
          <w:szCs w:val="24"/>
        </w:rPr>
        <w:t>ueer were 29% less likely to receive a call back from a résum</w:t>
      </w:r>
      <w:r w:rsidR="20555684" w:rsidRPr="00DD023D">
        <w:rPr>
          <w:rFonts w:eastAsia="Times New Roman"/>
          <w:sz w:val="24"/>
          <w:szCs w:val="24"/>
        </w:rPr>
        <w:t>é</w:t>
      </w:r>
      <w:r w:rsidR="24795453" w:rsidRPr="00DD023D">
        <w:rPr>
          <w:rFonts w:eastAsia="Times New Roman"/>
          <w:sz w:val="24"/>
          <w:szCs w:val="24"/>
        </w:rPr>
        <w:t xml:space="preserve"> than women </w:t>
      </w:r>
      <w:r w:rsidR="369532EA" w:rsidRPr="00DD023D">
        <w:rPr>
          <w:rFonts w:eastAsia="Times New Roman"/>
          <w:sz w:val="24"/>
          <w:szCs w:val="24"/>
        </w:rPr>
        <w:t>perceived</w:t>
      </w:r>
      <w:r w:rsidR="24795453" w:rsidRPr="00DD023D">
        <w:rPr>
          <w:rFonts w:eastAsia="Times New Roman"/>
          <w:sz w:val="24"/>
          <w:szCs w:val="24"/>
        </w:rPr>
        <w:t xml:space="preserve"> as straight</w:t>
      </w:r>
      <w:r w:rsidR="580D1481" w:rsidRPr="00DD023D">
        <w:rPr>
          <w:rStyle w:val="Refdenotaalpie"/>
          <w:rFonts w:eastAsia="Times New Roman"/>
          <w:sz w:val="24"/>
          <w:szCs w:val="24"/>
        </w:rPr>
        <w:footnoteReference w:id="4"/>
      </w:r>
      <w:r w:rsidR="37592517" w:rsidRPr="00DD023D">
        <w:rPr>
          <w:rFonts w:eastAsia="Times New Roman"/>
          <w:sz w:val="24"/>
          <w:szCs w:val="24"/>
        </w:rPr>
        <w:t xml:space="preserve">. Furthermore, the wage gap in the US is more severe for LBTQ women, who earn </w:t>
      </w:r>
      <w:r w:rsidR="527E3341" w:rsidRPr="00DD023D">
        <w:rPr>
          <w:rFonts w:eastAsia="Times New Roman"/>
          <w:sz w:val="24"/>
          <w:szCs w:val="24"/>
        </w:rPr>
        <w:t>79c for every dollar earned by a man, compared to 83c on the dollar for women overall</w:t>
      </w:r>
      <w:r w:rsidR="580D1481" w:rsidRPr="00DD023D">
        <w:rPr>
          <w:rStyle w:val="Refdenotaalpie"/>
          <w:rFonts w:eastAsia="Times New Roman"/>
          <w:sz w:val="24"/>
          <w:szCs w:val="24"/>
        </w:rPr>
        <w:footnoteReference w:id="5"/>
      </w:r>
      <w:r w:rsidR="527E3341" w:rsidRPr="00DD023D">
        <w:rPr>
          <w:rFonts w:eastAsia="Times New Roman"/>
          <w:sz w:val="24"/>
          <w:szCs w:val="24"/>
        </w:rPr>
        <w:t xml:space="preserve">. </w:t>
      </w:r>
      <w:r w:rsidR="19E47CC1" w:rsidRPr="00DD023D">
        <w:rPr>
          <w:rFonts w:eastAsia="Times New Roman"/>
          <w:sz w:val="24"/>
          <w:szCs w:val="24"/>
        </w:rPr>
        <w:t xml:space="preserve">The effect of discrimination in the labor market is particularly </w:t>
      </w:r>
      <w:r w:rsidR="5A2E7A7C" w:rsidRPr="00DD023D">
        <w:rPr>
          <w:rFonts w:eastAsia="Times New Roman"/>
          <w:sz w:val="24"/>
          <w:szCs w:val="24"/>
        </w:rPr>
        <w:t>acute</w:t>
      </w:r>
      <w:r w:rsidR="19E47CC1" w:rsidRPr="00DD023D">
        <w:rPr>
          <w:rFonts w:eastAsia="Times New Roman"/>
          <w:sz w:val="24"/>
          <w:szCs w:val="24"/>
        </w:rPr>
        <w:t xml:space="preserve"> for bisexual women</w:t>
      </w:r>
      <w:r w:rsidR="15A925FE" w:rsidRPr="00DD023D">
        <w:rPr>
          <w:rFonts w:eastAsia="Times New Roman"/>
          <w:sz w:val="24"/>
          <w:szCs w:val="24"/>
        </w:rPr>
        <w:t xml:space="preserve">. In Canada, single bisexual women earned 16% less than single heterosexual men. In comparison, single heterosexual women earned 9% less than heterosexual men. </w:t>
      </w:r>
      <w:r w:rsidR="087A2ED3" w:rsidRPr="00DD023D">
        <w:rPr>
          <w:rFonts w:eastAsia="Times New Roman"/>
          <w:sz w:val="24"/>
          <w:szCs w:val="24"/>
        </w:rPr>
        <w:t>Bisexual women were also significantly less likely to be employed or work full time than either heterosexual or lesbian women</w:t>
      </w:r>
      <w:r w:rsidR="580D1481" w:rsidRPr="00DD023D">
        <w:rPr>
          <w:rStyle w:val="Refdenotaalpie"/>
          <w:rFonts w:eastAsia="Times New Roman"/>
          <w:sz w:val="24"/>
          <w:szCs w:val="24"/>
        </w:rPr>
        <w:footnoteReference w:id="6"/>
      </w:r>
      <w:r w:rsidR="087A2ED3" w:rsidRPr="00DD023D">
        <w:rPr>
          <w:rFonts w:eastAsia="Times New Roman"/>
          <w:sz w:val="24"/>
          <w:szCs w:val="24"/>
        </w:rPr>
        <w:t xml:space="preserve">. </w:t>
      </w:r>
    </w:p>
    <w:p w14:paraId="07D6B049" w14:textId="11CEB4CD" w:rsidR="06B9E2FC" w:rsidRPr="00B02FF1" w:rsidRDefault="06B9E2FC" w:rsidP="00B02FF1">
      <w:pPr>
        <w:jc w:val="both"/>
        <w:rPr>
          <w:rFonts w:eastAsia="Times New Roman" w:cstheme="minorHAnsi"/>
          <w:sz w:val="24"/>
          <w:szCs w:val="24"/>
        </w:rPr>
      </w:pPr>
      <w:r w:rsidRPr="00B02FF1">
        <w:rPr>
          <w:rFonts w:eastAsia="Times New Roman" w:cstheme="minorHAnsi"/>
          <w:sz w:val="24"/>
          <w:szCs w:val="24"/>
        </w:rPr>
        <w:t xml:space="preserve">Unlike bisexual women, lesbian women tend to have a wage premium above heterosexual women, which is often explained </w:t>
      </w:r>
      <w:r w:rsidR="24B51655" w:rsidRPr="00B02FF1">
        <w:rPr>
          <w:rFonts w:eastAsia="Times New Roman" w:cstheme="minorHAnsi"/>
          <w:sz w:val="24"/>
          <w:szCs w:val="24"/>
        </w:rPr>
        <w:t>by the</w:t>
      </w:r>
      <w:r w:rsidRPr="00B02FF1">
        <w:rPr>
          <w:rFonts w:eastAsia="Times New Roman" w:cstheme="minorHAnsi"/>
          <w:sz w:val="24"/>
          <w:szCs w:val="24"/>
        </w:rPr>
        <w:t xml:space="preserve"> more equitable division of labour in same sex relationsh</w:t>
      </w:r>
      <w:r w:rsidR="1201A9BC" w:rsidRPr="00B02FF1">
        <w:rPr>
          <w:rFonts w:eastAsia="Times New Roman" w:cstheme="minorHAnsi"/>
          <w:sz w:val="24"/>
          <w:szCs w:val="24"/>
        </w:rPr>
        <w:t>ips</w:t>
      </w:r>
      <w:r w:rsidRPr="00B02FF1">
        <w:rPr>
          <w:rStyle w:val="Refdenotaalpie"/>
          <w:rFonts w:eastAsia="Times New Roman" w:cstheme="minorHAnsi"/>
          <w:sz w:val="24"/>
          <w:szCs w:val="24"/>
        </w:rPr>
        <w:footnoteReference w:id="7"/>
      </w:r>
      <w:r w:rsidR="1201A9BC" w:rsidRPr="00B02FF1">
        <w:rPr>
          <w:rFonts w:eastAsia="Times New Roman" w:cstheme="minorHAnsi"/>
          <w:sz w:val="24"/>
          <w:szCs w:val="24"/>
        </w:rPr>
        <w:t xml:space="preserve">. However, lesbians nonetheless earn less than heterosexual men and lesbian </w:t>
      </w:r>
      <w:r w:rsidR="1F44CF8C" w:rsidRPr="00B02FF1">
        <w:rPr>
          <w:rFonts w:eastAsia="Times New Roman" w:cstheme="minorHAnsi"/>
          <w:sz w:val="24"/>
          <w:szCs w:val="24"/>
        </w:rPr>
        <w:lastRenderedPageBreak/>
        <w:t>households</w:t>
      </w:r>
      <w:r w:rsidR="1201A9BC" w:rsidRPr="00B02FF1">
        <w:rPr>
          <w:rFonts w:eastAsia="Times New Roman" w:cstheme="minorHAnsi"/>
          <w:sz w:val="24"/>
          <w:szCs w:val="24"/>
        </w:rPr>
        <w:t xml:space="preserve"> are </w:t>
      </w:r>
      <w:r w:rsidR="570D2551" w:rsidRPr="00B02FF1">
        <w:rPr>
          <w:rFonts w:eastAsia="Times New Roman" w:cstheme="minorHAnsi"/>
          <w:sz w:val="24"/>
          <w:szCs w:val="24"/>
        </w:rPr>
        <w:t xml:space="preserve">therefore </w:t>
      </w:r>
      <w:r w:rsidR="60F33A68" w:rsidRPr="00B02FF1">
        <w:rPr>
          <w:rFonts w:eastAsia="Times New Roman" w:cstheme="minorHAnsi"/>
          <w:sz w:val="24"/>
          <w:szCs w:val="24"/>
        </w:rPr>
        <w:t xml:space="preserve">very </w:t>
      </w:r>
      <w:r w:rsidR="1201A9BC" w:rsidRPr="00B02FF1">
        <w:rPr>
          <w:rFonts w:eastAsia="Times New Roman" w:cstheme="minorHAnsi"/>
          <w:sz w:val="24"/>
          <w:szCs w:val="24"/>
        </w:rPr>
        <w:t xml:space="preserve">significantly impacted by the gender pay gap. </w:t>
      </w:r>
      <w:r w:rsidR="53956682" w:rsidRPr="00B02FF1">
        <w:rPr>
          <w:rFonts w:eastAsia="Times New Roman" w:cstheme="minorHAnsi"/>
          <w:sz w:val="24"/>
          <w:szCs w:val="24"/>
        </w:rPr>
        <w:t>In the United States, w</w:t>
      </w:r>
      <w:r w:rsidR="53D2BD92" w:rsidRPr="00B02FF1">
        <w:rPr>
          <w:rFonts w:eastAsia="Times New Roman" w:cstheme="minorHAnsi"/>
          <w:sz w:val="24"/>
          <w:szCs w:val="24"/>
        </w:rPr>
        <w:t xml:space="preserve">omen in same-sex couples are more likely to be “working poor” than men in same-sex couples or men or women in opposite-sex married couples. This disadvantage is compounded for Black and Latina </w:t>
      </w:r>
      <w:r w:rsidR="75047D1B" w:rsidRPr="00B02FF1">
        <w:rPr>
          <w:rFonts w:eastAsia="Times New Roman" w:cstheme="minorHAnsi"/>
          <w:sz w:val="24"/>
          <w:szCs w:val="24"/>
        </w:rPr>
        <w:t>women in same sex couples</w:t>
      </w:r>
      <w:r w:rsidR="53D2BD92" w:rsidRPr="00B02FF1">
        <w:rPr>
          <w:rFonts w:eastAsia="Times New Roman" w:cstheme="minorHAnsi"/>
          <w:sz w:val="24"/>
          <w:szCs w:val="24"/>
        </w:rPr>
        <w:t xml:space="preserve"> who are three and two times more likely, respectively, to</w:t>
      </w:r>
      <w:r w:rsidR="1EC09D6A" w:rsidRPr="00B02FF1">
        <w:rPr>
          <w:rFonts w:eastAsia="Times New Roman" w:cstheme="minorHAnsi"/>
          <w:sz w:val="24"/>
          <w:szCs w:val="24"/>
        </w:rPr>
        <w:t xml:space="preserve"> experience poverty than White women in same sex couples</w:t>
      </w:r>
      <w:r w:rsidRPr="00B02FF1">
        <w:rPr>
          <w:rStyle w:val="Refdenotaalpie"/>
          <w:rFonts w:eastAsia="Times New Roman" w:cstheme="minorHAnsi"/>
          <w:sz w:val="24"/>
          <w:szCs w:val="24"/>
        </w:rPr>
        <w:footnoteReference w:id="8"/>
      </w:r>
      <w:r w:rsidR="1EC09D6A" w:rsidRPr="00B02FF1">
        <w:rPr>
          <w:rFonts w:eastAsia="Times New Roman" w:cstheme="minorHAnsi"/>
          <w:sz w:val="24"/>
          <w:szCs w:val="24"/>
        </w:rPr>
        <w:t xml:space="preserve">. </w:t>
      </w:r>
    </w:p>
    <w:p w14:paraId="0CA609E8" w14:textId="441CECE9" w:rsidR="2DDCE53C" w:rsidRPr="00B02FF1" w:rsidRDefault="34C6D4CB" w:rsidP="6B5A0467">
      <w:pPr>
        <w:spacing w:line="257" w:lineRule="auto"/>
        <w:jc w:val="both"/>
        <w:rPr>
          <w:rFonts w:ascii="Calibri" w:eastAsia="Calibri" w:hAnsi="Calibri" w:cs="Calibri"/>
        </w:rPr>
      </w:pPr>
      <w:r w:rsidRPr="29D9FD85">
        <w:rPr>
          <w:rFonts w:eastAsia="Times New Roman"/>
          <w:sz w:val="24"/>
          <w:szCs w:val="24"/>
        </w:rPr>
        <w:t xml:space="preserve">Employment discrimination </w:t>
      </w:r>
      <w:r w:rsidR="0416F681" w:rsidRPr="29D9FD85">
        <w:rPr>
          <w:rFonts w:eastAsia="Times New Roman"/>
          <w:sz w:val="24"/>
          <w:szCs w:val="24"/>
        </w:rPr>
        <w:t xml:space="preserve">also </w:t>
      </w:r>
      <w:r w:rsidRPr="29D9FD85">
        <w:rPr>
          <w:rFonts w:eastAsia="Times New Roman"/>
          <w:sz w:val="24"/>
          <w:szCs w:val="24"/>
        </w:rPr>
        <w:t xml:space="preserve">places a particularly heavy burden on trans women. </w:t>
      </w:r>
      <w:r w:rsidR="65B35351" w:rsidRPr="29D9FD85">
        <w:rPr>
          <w:rFonts w:eastAsia="Times New Roman"/>
          <w:sz w:val="24"/>
          <w:szCs w:val="24"/>
        </w:rPr>
        <w:t xml:space="preserve">The ILO has highlighted </w:t>
      </w:r>
      <w:r w:rsidR="5F48E062" w:rsidRPr="29D9FD85">
        <w:rPr>
          <w:rFonts w:eastAsia="Times New Roman"/>
          <w:sz w:val="24"/>
          <w:szCs w:val="24"/>
        </w:rPr>
        <w:t>th</w:t>
      </w:r>
      <w:r w:rsidR="17FCC934" w:rsidRPr="29D9FD85">
        <w:rPr>
          <w:rFonts w:eastAsia="Times New Roman"/>
          <w:sz w:val="24"/>
          <w:szCs w:val="24"/>
        </w:rPr>
        <w:t xml:space="preserve">at due to discrimination, </w:t>
      </w:r>
      <w:r w:rsidR="49CA7444" w:rsidRPr="29D9FD85">
        <w:rPr>
          <w:rFonts w:eastAsia="Times New Roman"/>
          <w:sz w:val="24"/>
          <w:szCs w:val="24"/>
        </w:rPr>
        <w:t xml:space="preserve">trans women </w:t>
      </w:r>
      <w:r w:rsidR="118C1CA9" w:rsidRPr="29D9FD85">
        <w:rPr>
          <w:rFonts w:eastAsia="Times New Roman"/>
          <w:sz w:val="24"/>
          <w:szCs w:val="24"/>
        </w:rPr>
        <w:t xml:space="preserve">are </w:t>
      </w:r>
      <w:r w:rsidR="49CA7444" w:rsidRPr="29D9FD85">
        <w:rPr>
          <w:rFonts w:eastAsia="Times New Roman"/>
          <w:sz w:val="24"/>
          <w:szCs w:val="24"/>
        </w:rPr>
        <w:t>sometimes</w:t>
      </w:r>
      <w:r w:rsidR="5F48E062" w:rsidRPr="29D9FD85">
        <w:rPr>
          <w:rFonts w:eastAsia="Times New Roman"/>
          <w:sz w:val="24"/>
          <w:szCs w:val="24"/>
        </w:rPr>
        <w:t xml:space="preserve"> excluded entirely from formal employment</w:t>
      </w:r>
      <w:r w:rsidR="1D3E0E9D" w:rsidRPr="29D9FD85">
        <w:rPr>
          <w:rFonts w:eastAsia="Times New Roman"/>
          <w:sz w:val="24"/>
          <w:szCs w:val="24"/>
        </w:rPr>
        <w:t xml:space="preserve"> and pushed </w:t>
      </w:r>
      <w:r w:rsidR="5F48E062" w:rsidRPr="29D9FD85">
        <w:rPr>
          <w:rFonts w:eastAsia="Times New Roman"/>
          <w:sz w:val="24"/>
          <w:szCs w:val="24"/>
        </w:rPr>
        <w:t xml:space="preserve">into </w:t>
      </w:r>
      <w:r w:rsidR="09EED2E2" w:rsidRPr="29D9FD85">
        <w:rPr>
          <w:rFonts w:eastAsia="Times New Roman"/>
          <w:sz w:val="24"/>
          <w:szCs w:val="24"/>
        </w:rPr>
        <w:t>survival sex work, including in dangerous conditions</w:t>
      </w:r>
      <w:r w:rsidR="1358DDD7" w:rsidRPr="29D9FD85">
        <w:rPr>
          <w:rFonts w:eastAsia="Times New Roman"/>
          <w:sz w:val="24"/>
          <w:szCs w:val="24"/>
        </w:rPr>
        <w:t>.</w:t>
      </w:r>
      <w:r w:rsidR="2DDCE53C" w:rsidRPr="29D9FD85">
        <w:rPr>
          <w:rStyle w:val="Refdenotaalpie"/>
          <w:rFonts w:eastAsia="Times New Roman"/>
          <w:sz w:val="24"/>
          <w:szCs w:val="24"/>
        </w:rPr>
        <w:footnoteReference w:id="9"/>
      </w:r>
      <w:r w:rsidR="70AAA633" w:rsidRPr="29D9FD85">
        <w:rPr>
          <w:rFonts w:eastAsia="Times New Roman"/>
          <w:sz w:val="24"/>
          <w:szCs w:val="24"/>
        </w:rPr>
        <w:t xml:space="preserve"> </w:t>
      </w:r>
      <w:r w:rsidR="7D8C9494" w:rsidRPr="29D9FD85">
        <w:rPr>
          <w:rFonts w:eastAsia="Times New Roman"/>
          <w:sz w:val="24"/>
          <w:szCs w:val="24"/>
        </w:rPr>
        <w:t>This issue can be seen across countries. Research from Cambodia found that 3</w:t>
      </w:r>
      <w:r w:rsidR="5DCF0571" w:rsidRPr="29D9FD85">
        <w:rPr>
          <w:rFonts w:eastAsia="Times New Roman"/>
          <w:sz w:val="24"/>
          <w:szCs w:val="24"/>
        </w:rPr>
        <w:t>1</w:t>
      </w:r>
      <w:r w:rsidR="7D8C9494" w:rsidRPr="29D9FD85">
        <w:rPr>
          <w:rFonts w:eastAsia="Times New Roman"/>
          <w:sz w:val="24"/>
          <w:szCs w:val="24"/>
        </w:rPr>
        <w:t xml:space="preserve">% of trans women reported experiencing problems getting a job, while 24% reported having lost a job </w:t>
      </w:r>
      <w:r w:rsidR="1FE01A2E" w:rsidRPr="29D9FD85">
        <w:rPr>
          <w:rFonts w:eastAsia="Times New Roman"/>
          <w:sz w:val="24"/>
          <w:szCs w:val="24"/>
        </w:rPr>
        <w:t xml:space="preserve">believing the reason was </w:t>
      </w:r>
      <w:r w:rsidR="7D8C9494" w:rsidRPr="29D9FD85">
        <w:rPr>
          <w:rFonts w:eastAsia="Times New Roman"/>
          <w:sz w:val="24"/>
          <w:szCs w:val="24"/>
        </w:rPr>
        <w:t>their trans identity</w:t>
      </w:r>
      <w:r w:rsidR="2DDCE53C" w:rsidRPr="29D9FD85">
        <w:rPr>
          <w:rStyle w:val="Refdenotaalpie"/>
          <w:rFonts w:eastAsia="Times New Roman"/>
          <w:sz w:val="24"/>
          <w:szCs w:val="24"/>
        </w:rPr>
        <w:footnoteReference w:id="10"/>
      </w:r>
      <w:r w:rsidR="7D8C9494" w:rsidRPr="29D9FD85">
        <w:rPr>
          <w:rFonts w:eastAsia="Times New Roman"/>
          <w:sz w:val="24"/>
          <w:szCs w:val="24"/>
        </w:rPr>
        <w:t>.</w:t>
      </w:r>
      <w:r w:rsidR="5EFFF9C2" w:rsidRPr="29D9FD85">
        <w:rPr>
          <w:rFonts w:eastAsia="Times New Roman"/>
          <w:sz w:val="24"/>
          <w:szCs w:val="24"/>
        </w:rPr>
        <w:t xml:space="preserve"> A study from Rio de Janeiro found that stigmatization decreased job opportunities for trans women and pushed this group out of the formal economy. 80% of the women in th</w:t>
      </w:r>
      <w:r w:rsidR="3B3879FE" w:rsidRPr="29D9FD85">
        <w:rPr>
          <w:rFonts w:eastAsia="Times New Roman"/>
          <w:sz w:val="24"/>
          <w:szCs w:val="24"/>
        </w:rPr>
        <w:t>is study had engaged in sex work</w:t>
      </w:r>
      <w:r w:rsidR="7EA5325E" w:rsidRPr="29D9FD85">
        <w:rPr>
          <w:rFonts w:eastAsia="Times New Roman"/>
          <w:sz w:val="24"/>
          <w:szCs w:val="24"/>
        </w:rPr>
        <w:t>,</w:t>
      </w:r>
      <w:r w:rsidR="3B3879FE" w:rsidRPr="29D9FD85">
        <w:rPr>
          <w:rFonts w:eastAsia="Times New Roman"/>
          <w:sz w:val="24"/>
          <w:szCs w:val="24"/>
        </w:rPr>
        <w:t xml:space="preserve"> and many relied on sex work as their sole source of income</w:t>
      </w:r>
      <w:r w:rsidR="2DDCE53C" w:rsidRPr="29D9FD85">
        <w:rPr>
          <w:rStyle w:val="Refdenotaalpie"/>
          <w:rFonts w:eastAsia="Times New Roman"/>
          <w:sz w:val="24"/>
          <w:szCs w:val="24"/>
        </w:rPr>
        <w:footnoteReference w:id="11"/>
      </w:r>
      <w:r w:rsidR="3B3879FE" w:rsidRPr="29D9FD85">
        <w:rPr>
          <w:rFonts w:eastAsia="Times New Roman"/>
          <w:sz w:val="24"/>
          <w:szCs w:val="24"/>
        </w:rPr>
        <w:t xml:space="preserve">. Similarly, </w:t>
      </w:r>
      <w:r w:rsidR="554A1DA8" w:rsidRPr="29D9FD85">
        <w:rPr>
          <w:rFonts w:eastAsia="Times New Roman"/>
          <w:sz w:val="24"/>
          <w:szCs w:val="24"/>
        </w:rPr>
        <w:t xml:space="preserve">in the Dominican Republic, </w:t>
      </w:r>
      <w:r w:rsidR="5FF957BE" w:rsidRPr="29D9FD85">
        <w:rPr>
          <w:rFonts w:eastAsia="Times New Roman"/>
          <w:sz w:val="24"/>
          <w:szCs w:val="24"/>
        </w:rPr>
        <w:t>sex work among trans women was associated with a lack of support in employment and education, as well as being denied or fired from a job</w:t>
      </w:r>
      <w:r w:rsidR="2DDCE53C" w:rsidRPr="29D9FD85">
        <w:rPr>
          <w:rStyle w:val="Refdenotaalpie"/>
          <w:rFonts w:eastAsia="Times New Roman"/>
          <w:sz w:val="24"/>
          <w:szCs w:val="24"/>
        </w:rPr>
        <w:footnoteReference w:id="12"/>
      </w:r>
      <w:r w:rsidR="5FF957BE" w:rsidRPr="29D9FD85">
        <w:rPr>
          <w:rFonts w:eastAsia="Times New Roman"/>
          <w:sz w:val="24"/>
          <w:szCs w:val="24"/>
        </w:rPr>
        <w:t xml:space="preserve">. </w:t>
      </w:r>
      <w:r w:rsidR="4612059A" w:rsidRPr="29D9FD85">
        <w:rPr>
          <w:rFonts w:eastAsia="Times New Roman"/>
          <w:sz w:val="24"/>
          <w:szCs w:val="24"/>
        </w:rPr>
        <w:t xml:space="preserve">Trans women who engage in survival sex work often face additional levels of stigma and exposure to violence and health risks. </w:t>
      </w:r>
      <w:r w:rsidR="176A46E1" w:rsidRPr="00DD023D">
        <w:rPr>
          <w:rFonts w:ascii="Calibri" w:eastAsia="Calibri" w:hAnsi="Calibri" w:cs="Calibri"/>
        </w:rPr>
        <w:t>According to Transgender Europe, 96% of the trans people who were murdered</w:t>
      </w:r>
      <w:r w:rsidR="7B2B9F67" w:rsidRPr="00DD023D">
        <w:rPr>
          <w:rFonts w:ascii="Calibri" w:eastAsia="Calibri" w:hAnsi="Calibri" w:cs="Calibri"/>
        </w:rPr>
        <w:t xml:space="preserve"> worldwide</w:t>
      </w:r>
      <w:r w:rsidR="176A46E1" w:rsidRPr="6B5A0467">
        <w:rPr>
          <w:rFonts w:ascii="Calibri" w:eastAsia="Calibri" w:hAnsi="Calibri" w:cs="Calibri"/>
        </w:rPr>
        <w:t xml:space="preserve"> in 2021 were trans women or transfeminine people and 58% of murdered trans people whose occupation was known were sex workers.</w:t>
      </w:r>
      <w:r w:rsidR="2DDCE53C" w:rsidRPr="6B5A0467">
        <w:rPr>
          <w:rStyle w:val="Refdenotaalpie"/>
          <w:rFonts w:ascii="Calibri" w:eastAsia="Calibri" w:hAnsi="Calibri" w:cs="Calibri"/>
        </w:rPr>
        <w:footnoteReference w:id="13"/>
      </w:r>
    </w:p>
    <w:p w14:paraId="1FDD4B4B" w14:textId="5C11ED6E" w:rsidR="007A13D4" w:rsidRPr="005607BA" w:rsidRDefault="7A9C94F1" w:rsidP="00B02FF1">
      <w:pPr>
        <w:jc w:val="both"/>
        <w:rPr>
          <w:rFonts w:eastAsia="Times New Roman"/>
          <w:sz w:val="24"/>
          <w:szCs w:val="24"/>
        </w:rPr>
      </w:pPr>
      <w:r w:rsidRPr="29D9FD85">
        <w:rPr>
          <w:rFonts w:eastAsia="Times New Roman"/>
          <w:sz w:val="24"/>
          <w:szCs w:val="24"/>
        </w:rPr>
        <w:t>In addition to increase</w:t>
      </w:r>
      <w:r w:rsidR="4565BC7A" w:rsidRPr="29D9FD85">
        <w:rPr>
          <w:rFonts w:eastAsia="Times New Roman"/>
          <w:sz w:val="24"/>
          <w:szCs w:val="24"/>
        </w:rPr>
        <w:t>d</w:t>
      </w:r>
      <w:r w:rsidRPr="29D9FD85">
        <w:rPr>
          <w:rFonts w:eastAsia="Times New Roman"/>
          <w:sz w:val="24"/>
          <w:szCs w:val="24"/>
        </w:rPr>
        <w:t xml:space="preserve"> rates of poverty and labour market disadvantage, LBTQ women often have reduced access to social and employment benefits. </w:t>
      </w:r>
      <w:r w:rsidR="40C8C562" w:rsidRPr="29D9FD85">
        <w:rPr>
          <w:rFonts w:eastAsia="Times New Roman"/>
          <w:sz w:val="24"/>
          <w:szCs w:val="24"/>
        </w:rPr>
        <w:t xml:space="preserve">In the workplace, lesbian couples can be denied access to health insurance for their partner and leaves of absence to provide care. In the event that one partner dies, a lack of legal recognition for lesbian couples can mean exclusions from benefits </w:t>
      </w:r>
      <w:r w:rsidR="2A23D93E" w:rsidRPr="29D9FD85">
        <w:rPr>
          <w:rFonts w:eastAsia="Times New Roman"/>
          <w:sz w:val="24"/>
          <w:szCs w:val="24"/>
        </w:rPr>
        <w:t>for the surviving partner, such as access to the deceased’s pension and death benefit</w:t>
      </w:r>
      <w:r w:rsidR="6240EE72" w:rsidRPr="29D9FD85">
        <w:rPr>
          <w:rStyle w:val="Refdenotaalpie"/>
          <w:rFonts w:eastAsia="Times New Roman"/>
          <w:sz w:val="24"/>
          <w:szCs w:val="24"/>
        </w:rPr>
        <w:footnoteReference w:id="14"/>
      </w:r>
      <w:r w:rsidR="2A23D93E" w:rsidRPr="29D9FD85">
        <w:rPr>
          <w:rFonts w:eastAsia="Times New Roman"/>
          <w:sz w:val="24"/>
          <w:szCs w:val="24"/>
        </w:rPr>
        <w:t xml:space="preserve">. </w:t>
      </w:r>
      <w:r w:rsidR="566814E2" w:rsidRPr="29D9FD85">
        <w:rPr>
          <w:rFonts w:eastAsia="Times New Roman"/>
          <w:sz w:val="24"/>
          <w:szCs w:val="24"/>
        </w:rPr>
        <w:t>LBTQ women</w:t>
      </w:r>
      <w:r w:rsidR="6665A883" w:rsidRPr="29D9FD85">
        <w:rPr>
          <w:rFonts w:eastAsia="Times New Roman"/>
          <w:sz w:val="24"/>
          <w:szCs w:val="24"/>
        </w:rPr>
        <w:t xml:space="preserve">, </w:t>
      </w:r>
      <w:r w:rsidR="566814E2" w:rsidRPr="29D9FD85">
        <w:rPr>
          <w:rFonts w:eastAsia="Times New Roman"/>
          <w:sz w:val="24"/>
          <w:szCs w:val="24"/>
        </w:rPr>
        <w:t xml:space="preserve">and especially trans women, who are forced into survival sex work may be excluded from </w:t>
      </w:r>
      <w:r w:rsidR="013034BB" w:rsidRPr="29D9FD85">
        <w:rPr>
          <w:rFonts w:eastAsia="Times New Roman"/>
          <w:sz w:val="24"/>
          <w:szCs w:val="24"/>
        </w:rPr>
        <w:t>employment</w:t>
      </w:r>
      <w:r w:rsidR="636BCB7C" w:rsidRPr="29D9FD85">
        <w:rPr>
          <w:rFonts w:eastAsia="Times New Roman"/>
          <w:sz w:val="24"/>
          <w:szCs w:val="24"/>
        </w:rPr>
        <w:t>-</w:t>
      </w:r>
      <w:r w:rsidR="013034BB" w:rsidRPr="29D9FD85">
        <w:rPr>
          <w:rFonts w:eastAsia="Times New Roman"/>
          <w:sz w:val="24"/>
          <w:szCs w:val="24"/>
        </w:rPr>
        <w:t xml:space="preserve">related social protections due to the </w:t>
      </w:r>
      <w:r w:rsidR="4FC5C622" w:rsidRPr="29D9FD85">
        <w:rPr>
          <w:rFonts w:eastAsia="Times New Roman"/>
          <w:sz w:val="24"/>
          <w:szCs w:val="24"/>
        </w:rPr>
        <w:t>criminalization</w:t>
      </w:r>
      <w:r w:rsidR="013034BB" w:rsidRPr="29D9FD85">
        <w:rPr>
          <w:rFonts w:eastAsia="Times New Roman"/>
          <w:sz w:val="24"/>
          <w:szCs w:val="24"/>
        </w:rPr>
        <w:t xml:space="preserve"> of this work. </w:t>
      </w:r>
      <w:r w:rsidR="1F4C187C" w:rsidRPr="29D9FD85">
        <w:rPr>
          <w:rFonts w:eastAsia="Times New Roman"/>
          <w:sz w:val="24"/>
          <w:szCs w:val="24"/>
        </w:rPr>
        <w:t xml:space="preserve">In addition, trans women may avoid seeking social benefits due to fear of discrimination. </w:t>
      </w:r>
      <w:r w:rsidR="1F4C187C" w:rsidRPr="29D9FD85">
        <w:rPr>
          <w:rFonts w:eastAsia="Times New Roman"/>
          <w:sz w:val="24"/>
          <w:szCs w:val="24"/>
        </w:rPr>
        <w:lastRenderedPageBreak/>
        <w:t>Research from the United States found that</w:t>
      </w:r>
      <w:r w:rsidR="386D5AA9" w:rsidRPr="29D9FD85">
        <w:rPr>
          <w:rFonts w:eastAsia="Times New Roman"/>
          <w:sz w:val="24"/>
          <w:szCs w:val="24"/>
        </w:rPr>
        <w:t xml:space="preserve"> 1 in 20 trans women avoided public assistance offices due to fear of being discriminated</w:t>
      </w:r>
      <w:r w:rsidR="1BCFD94D" w:rsidRPr="29D9FD85">
        <w:rPr>
          <w:rFonts w:eastAsia="Times New Roman"/>
          <w:sz w:val="24"/>
          <w:szCs w:val="24"/>
        </w:rPr>
        <w:t xml:space="preserve"> again</w:t>
      </w:r>
      <w:r w:rsidR="630BD38B" w:rsidRPr="29D9FD85">
        <w:rPr>
          <w:rFonts w:eastAsia="Times New Roman"/>
          <w:sz w:val="24"/>
          <w:szCs w:val="24"/>
        </w:rPr>
        <w:t xml:space="preserve">st, an issue exacerbated for trans women of colour with the rate of </w:t>
      </w:r>
      <w:r w:rsidR="630BD38B" w:rsidRPr="00DD023D">
        <w:rPr>
          <w:rFonts w:eastAsia="Times New Roman"/>
          <w:sz w:val="24"/>
          <w:szCs w:val="24"/>
        </w:rPr>
        <w:t>1 in 12</w:t>
      </w:r>
      <w:r w:rsidR="6240EE72" w:rsidRPr="29D9FD85">
        <w:rPr>
          <w:rStyle w:val="Refdenotaalpie"/>
          <w:rFonts w:eastAsia="Times New Roman"/>
          <w:sz w:val="24"/>
          <w:szCs w:val="24"/>
        </w:rPr>
        <w:footnoteReference w:id="15"/>
      </w:r>
      <w:r w:rsidR="1BCFD94D" w:rsidRPr="29D9FD85">
        <w:rPr>
          <w:rFonts w:eastAsia="Times New Roman"/>
          <w:sz w:val="24"/>
          <w:szCs w:val="24"/>
        </w:rPr>
        <w:t>. Overall</w:t>
      </w:r>
      <w:r w:rsidR="03A01A28" w:rsidRPr="29D9FD85">
        <w:rPr>
          <w:rFonts w:eastAsia="Times New Roman"/>
          <w:sz w:val="24"/>
          <w:szCs w:val="24"/>
        </w:rPr>
        <w:t xml:space="preserve">, </w:t>
      </w:r>
      <w:r w:rsidR="02F57B97" w:rsidRPr="29D9FD85">
        <w:rPr>
          <w:rFonts w:eastAsia="Times New Roman"/>
          <w:sz w:val="24"/>
          <w:szCs w:val="24"/>
        </w:rPr>
        <w:t xml:space="preserve">unequal access to both employment and social protections contributes to poverty and social inequity for LBTQ women. </w:t>
      </w:r>
    </w:p>
    <w:p w14:paraId="2C078E63" w14:textId="5C46BABA" w:rsidR="00DB0514" w:rsidRPr="009238D2" w:rsidRDefault="412A6919" w:rsidP="00B02FF1">
      <w:pPr>
        <w:jc w:val="both"/>
        <w:rPr>
          <w:rFonts w:eastAsia="Times New Roman" w:cstheme="minorHAnsi"/>
          <w:b/>
          <w:bCs/>
          <w:sz w:val="28"/>
          <w:szCs w:val="28"/>
        </w:rPr>
      </w:pPr>
      <w:r w:rsidRPr="009238D2">
        <w:rPr>
          <w:rFonts w:eastAsia="Times New Roman" w:cstheme="minorHAnsi"/>
          <w:b/>
          <w:bCs/>
          <w:sz w:val="28"/>
          <w:szCs w:val="28"/>
        </w:rPr>
        <w:t>Housing:</w:t>
      </w:r>
    </w:p>
    <w:p w14:paraId="132E88D2" w14:textId="4EBCC369" w:rsidR="0304E799" w:rsidRPr="00B02FF1" w:rsidRDefault="0304E799" w:rsidP="29D9FD85">
      <w:pPr>
        <w:jc w:val="both"/>
        <w:rPr>
          <w:rFonts w:eastAsia="Times New Roman"/>
          <w:sz w:val="24"/>
          <w:szCs w:val="24"/>
        </w:rPr>
      </w:pPr>
      <w:r w:rsidRPr="29D9FD85">
        <w:rPr>
          <w:rFonts w:eastAsia="Times New Roman"/>
          <w:sz w:val="24"/>
          <w:szCs w:val="24"/>
        </w:rPr>
        <w:t>Access to safe and stable housing for all persons is an essential component of human security</w:t>
      </w:r>
      <w:r w:rsidRPr="29D9FD85">
        <w:rPr>
          <w:rStyle w:val="Refdenotaalpie"/>
          <w:rFonts w:eastAsia="Times New Roman"/>
          <w:sz w:val="24"/>
          <w:szCs w:val="24"/>
        </w:rPr>
        <w:footnoteReference w:id="16"/>
      </w:r>
      <w:r w:rsidR="1A95A8FF" w:rsidRPr="29D9FD85">
        <w:rPr>
          <w:rFonts w:eastAsia="Times New Roman"/>
          <w:sz w:val="24"/>
          <w:szCs w:val="24"/>
        </w:rPr>
        <w:t xml:space="preserve">. Due to intersecting forms of marginalization, LBTQ women face additional barriers to securing housing and shelter. </w:t>
      </w:r>
      <w:r w:rsidR="62E6BEC8" w:rsidRPr="29D9FD85">
        <w:rPr>
          <w:rFonts w:eastAsia="Times New Roman"/>
          <w:sz w:val="24"/>
          <w:szCs w:val="24"/>
        </w:rPr>
        <w:t>There is significant evidence to suggest that sexual and gender</w:t>
      </w:r>
      <w:r w:rsidR="4C849D96" w:rsidRPr="29D9FD85">
        <w:rPr>
          <w:rFonts w:eastAsia="Times New Roman"/>
          <w:sz w:val="24"/>
          <w:szCs w:val="24"/>
        </w:rPr>
        <w:t>-</w:t>
      </w:r>
      <w:r w:rsidR="62E6BEC8" w:rsidRPr="29D9FD85">
        <w:rPr>
          <w:rFonts w:eastAsia="Times New Roman"/>
          <w:sz w:val="24"/>
          <w:szCs w:val="24"/>
        </w:rPr>
        <w:t xml:space="preserve">diverse persons </w:t>
      </w:r>
      <w:r w:rsidR="615CA3A8" w:rsidRPr="29D9FD85">
        <w:rPr>
          <w:rFonts w:eastAsia="Times New Roman"/>
          <w:sz w:val="24"/>
          <w:szCs w:val="24"/>
        </w:rPr>
        <w:t xml:space="preserve">in general </w:t>
      </w:r>
      <w:r w:rsidR="62E6BEC8" w:rsidRPr="29D9FD85">
        <w:rPr>
          <w:rFonts w:eastAsia="Times New Roman"/>
          <w:sz w:val="24"/>
          <w:szCs w:val="24"/>
        </w:rPr>
        <w:t>are at greater risk of experiencing homelessness</w:t>
      </w:r>
      <w:r w:rsidR="7F28D93E" w:rsidRPr="29D9FD85">
        <w:rPr>
          <w:rFonts w:eastAsia="Times New Roman"/>
          <w:sz w:val="24"/>
          <w:szCs w:val="24"/>
        </w:rPr>
        <w:t xml:space="preserve"> in many countries. In the United States,</w:t>
      </w:r>
      <w:r w:rsidR="3DCDBE70" w:rsidRPr="29D9FD85">
        <w:rPr>
          <w:rFonts w:eastAsia="Times New Roman"/>
          <w:sz w:val="24"/>
          <w:szCs w:val="24"/>
        </w:rPr>
        <w:t xml:space="preserve"> studies have found that</w:t>
      </w:r>
      <w:r w:rsidR="29ED5DD1" w:rsidRPr="29D9FD85">
        <w:rPr>
          <w:rFonts w:eastAsia="Times New Roman"/>
          <w:sz w:val="24"/>
          <w:szCs w:val="24"/>
        </w:rPr>
        <w:t xml:space="preserve"> LGBTQ persons make up</w:t>
      </w:r>
      <w:r w:rsidR="3DCDBE70" w:rsidRPr="29D9FD85">
        <w:rPr>
          <w:rFonts w:eastAsia="Times New Roman"/>
          <w:sz w:val="24"/>
          <w:szCs w:val="24"/>
        </w:rPr>
        <w:t xml:space="preserve"> between 20% and 45% of you</w:t>
      </w:r>
      <w:r w:rsidR="55E2B1F8" w:rsidRPr="29D9FD85">
        <w:rPr>
          <w:rFonts w:eastAsia="Times New Roman"/>
          <w:sz w:val="24"/>
          <w:szCs w:val="24"/>
        </w:rPr>
        <w:t>th homelessness, despite representing approximately 10% of the gen</w:t>
      </w:r>
      <w:r w:rsidR="1D6FF794" w:rsidRPr="29D9FD85">
        <w:rPr>
          <w:rFonts w:eastAsia="Times New Roman"/>
          <w:sz w:val="24"/>
          <w:szCs w:val="24"/>
        </w:rPr>
        <w:t>eral</w:t>
      </w:r>
      <w:r w:rsidR="55E2B1F8" w:rsidRPr="29D9FD85">
        <w:rPr>
          <w:rFonts w:eastAsia="Times New Roman"/>
          <w:sz w:val="24"/>
          <w:szCs w:val="24"/>
        </w:rPr>
        <w:t xml:space="preserve"> population. </w:t>
      </w:r>
      <w:r w:rsidR="68924302" w:rsidRPr="29D9FD85">
        <w:rPr>
          <w:rFonts w:eastAsia="Times New Roman"/>
          <w:sz w:val="24"/>
          <w:szCs w:val="24"/>
        </w:rPr>
        <w:t xml:space="preserve">At the same time, </w:t>
      </w:r>
      <w:r w:rsidR="55E2B1F8" w:rsidRPr="29D9FD85">
        <w:rPr>
          <w:rFonts w:eastAsia="Times New Roman"/>
          <w:sz w:val="24"/>
          <w:szCs w:val="24"/>
        </w:rPr>
        <w:t>LGBTQ young adults are over twice as likely to experience</w:t>
      </w:r>
      <w:r w:rsidR="3D005ED4" w:rsidRPr="29D9FD85">
        <w:rPr>
          <w:rFonts w:eastAsia="Times New Roman"/>
          <w:sz w:val="24"/>
          <w:szCs w:val="24"/>
        </w:rPr>
        <w:t xml:space="preserve"> homelessness</w:t>
      </w:r>
      <w:r w:rsidR="55E2B1F8" w:rsidRPr="29D9FD85">
        <w:rPr>
          <w:rFonts w:eastAsia="Times New Roman"/>
          <w:sz w:val="24"/>
          <w:szCs w:val="24"/>
        </w:rPr>
        <w:t xml:space="preserve"> </w:t>
      </w:r>
      <w:r w:rsidR="79BC6E04" w:rsidRPr="29D9FD85">
        <w:rPr>
          <w:rFonts w:eastAsia="Times New Roman"/>
          <w:sz w:val="24"/>
          <w:szCs w:val="24"/>
        </w:rPr>
        <w:t>than their non-LGBTQ peers</w:t>
      </w:r>
      <w:r w:rsidRPr="29D9FD85">
        <w:rPr>
          <w:rStyle w:val="Refdenotaalpie"/>
          <w:rFonts w:eastAsia="Times New Roman"/>
          <w:sz w:val="24"/>
          <w:szCs w:val="24"/>
        </w:rPr>
        <w:footnoteReference w:id="17"/>
      </w:r>
      <w:r w:rsidR="79BC6E04" w:rsidRPr="29D9FD85">
        <w:rPr>
          <w:rFonts w:eastAsia="Times New Roman"/>
          <w:sz w:val="24"/>
          <w:szCs w:val="24"/>
        </w:rPr>
        <w:t xml:space="preserve">. </w:t>
      </w:r>
      <w:r w:rsidR="5D3C4328" w:rsidRPr="29D9FD85">
        <w:rPr>
          <w:rFonts w:eastAsia="Times New Roman"/>
          <w:sz w:val="24"/>
          <w:szCs w:val="24"/>
        </w:rPr>
        <w:t xml:space="preserve">In the EU, it is estimated that </w:t>
      </w:r>
      <w:r w:rsidR="2A6356D9" w:rsidRPr="29D9FD85">
        <w:rPr>
          <w:rFonts w:eastAsia="Times New Roman"/>
          <w:sz w:val="24"/>
          <w:szCs w:val="24"/>
        </w:rPr>
        <w:t>1 in 5 LGBTI people have experienced homelessness</w:t>
      </w:r>
      <w:r w:rsidR="7C64DF8F" w:rsidRPr="29D9FD85">
        <w:rPr>
          <w:rFonts w:eastAsia="Times New Roman"/>
          <w:sz w:val="24"/>
          <w:szCs w:val="24"/>
        </w:rPr>
        <w:t xml:space="preserve">, </w:t>
      </w:r>
      <w:r w:rsidR="2A6356D9" w:rsidRPr="29D9FD85">
        <w:rPr>
          <w:rFonts w:eastAsia="Times New Roman"/>
          <w:sz w:val="24"/>
          <w:szCs w:val="24"/>
        </w:rPr>
        <w:t>and in the UK, 25% of homeless people identify as LGBTI.</w:t>
      </w:r>
      <w:r w:rsidRPr="29D9FD85">
        <w:rPr>
          <w:rStyle w:val="Refdenotaalpie"/>
          <w:rFonts w:eastAsia="Times New Roman"/>
          <w:sz w:val="24"/>
          <w:szCs w:val="24"/>
        </w:rPr>
        <w:footnoteReference w:id="18"/>
      </w:r>
      <w:r w:rsidR="2A6356D9" w:rsidRPr="29D9FD85">
        <w:rPr>
          <w:rFonts w:eastAsia="Times New Roman"/>
          <w:sz w:val="24"/>
          <w:szCs w:val="24"/>
        </w:rPr>
        <w:t xml:space="preserve"> </w:t>
      </w:r>
    </w:p>
    <w:p w14:paraId="73491E05" w14:textId="355650D9" w:rsidR="69083C0A" w:rsidRPr="00B02FF1" w:rsidRDefault="608672E8" w:rsidP="29D9FD85">
      <w:pPr>
        <w:jc w:val="both"/>
        <w:rPr>
          <w:rFonts w:eastAsia="Times New Roman"/>
          <w:sz w:val="24"/>
          <w:szCs w:val="24"/>
        </w:rPr>
      </w:pPr>
      <w:r w:rsidRPr="29D9FD85">
        <w:rPr>
          <w:rFonts w:eastAsia="Times New Roman"/>
          <w:sz w:val="24"/>
          <w:szCs w:val="24"/>
        </w:rPr>
        <w:t>This h</w:t>
      </w:r>
      <w:r w:rsidR="0AAA937B" w:rsidRPr="29D9FD85">
        <w:rPr>
          <w:rFonts w:eastAsia="Times New Roman"/>
          <w:sz w:val="24"/>
          <w:szCs w:val="24"/>
        </w:rPr>
        <w:t>ei</w:t>
      </w:r>
      <w:r w:rsidRPr="29D9FD85">
        <w:rPr>
          <w:rFonts w:eastAsia="Times New Roman"/>
          <w:sz w:val="24"/>
          <w:szCs w:val="24"/>
        </w:rPr>
        <w:t xml:space="preserve">ghtened risk of homelessness for LGBTQ persons is </w:t>
      </w:r>
      <w:r w:rsidR="542C587C" w:rsidRPr="29D9FD85">
        <w:rPr>
          <w:rFonts w:eastAsia="Times New Roman"/>
          <w:sz w:val="24"/>
          <w:szCs w:val="24"/>
        </w:rPr>
        <w:t>driven by a number of factors</w:t>
      </w:r>
      <w:r w:rsidR="64593414" w:rsidRPr="29D9FD85">
        <w:rPr>
          <w:rFonts w:eastAsia="Times New Roman"/>
          <w:sz w:val="24"/>
          <w:szCs w:val="24"/>
        </w:rPr>
        <w:t>,</w:t>
      </w:r>
      <w:r w:rsidR="542C587C" w:rsidRPr="29D9FD85">
        <w:rPr>
          <w:rFonts w:eastAsia="Times New Roman"/>
          <w:sz w:val="24"/>
          <w:szCs w:val="24"/>
        </w:rPr>
        <w:t xml:space="preserve"> including higher poverty rates, </w:t>
      </w:r>
      <w:r w:rsidR="2667BA7D" w:rsidRPr="29D9FD85">
        <w:rPr>
          <w:rFonts w:eastAsia="Times New Roman"/>
          <w:sz w:val="24"/>
          <w:szCs w:val="24"/>
        </w:rPr>
        <w:t>rejection from family and community</w:t>
      </w:r>
      <w:r w:rsidR="2AB7481B" w:rsidRPr="29D9FD85">
        <w:rPr>
          <w:rFonts w:eastAsia="Times New Roman"/>
          <w:sz w:val="24"/>
          <w:szCs w:val="24"/>
        </w:rPr>
        <w:t xml:space="preserve">, </w:t>
      </w:r>
      <w:r w:rsidR="2667BA7D" w:rsidRPr="29D9FD85">
        <w:rPr>
          <w:rFonts w:eastAsia="Times New Roman"/>
          <w:sz w:val="24"/>
          <w:szCs w:val="24"/>
        </w:rPr>
        <w:t xml:space="preserve">and </w:t>
      </w:r>
      <w:r w:rsidR="542C587C" w:rsidRPr="29D9FD85">
        <w:rPr>
          <w:rFonts w:eastAsia="Times New Roman"/>
          <w:sz w:val="24"/>
          <w:szCs w:val="24"/>
        </w:rPr>
        <w:t>direct discrimination in accessing housing</w:t>
      </w:r>
      <w:r w:rsidR="7BC23C05" w:rsidRPr="29D9FD85">
        <w:rPr>
          <w:rFonts w:eastAsia="Times New Roman"/>
          <w:sz w:val="24"/>
          <w:szCs w:val="24"/>
        </w:rPr>
        <w:t>.</w:t>
      </w:r>
      <w:r w:rsidR="69083C0A" w:rsidRPr="29D9FD85">
        <w:rPr>
          <w:rStyle w:val="Refdenotaalpie"/>
          <w:rFonts w:eastAsia="Times New Roman"/>
          <w:sz w:val="24"/>
          <w:szCs w:val="24"/>
        </w:rPr>
        <w:footnoteReference w:id="19"/>
      </w:r>
      <w:r w:rsidR="6AA4A4F8" w:rsidRPr="29D9FD85">
        <w:rPr>
          <w:rFonts w:eastAsia="Times New Roman"/>
          <w:sz w:val="24"/>
          <w:szCs w:val="24"/>
        </w:rPr>
        <w:t xml:space="preserve"> </w:t>
      </w:r>
      <w:r w:rsidR="44957854" w:rsidRPr="29D9FD85">
        <w:rPr>
          <w:rFonts w:eastAsia="Times New Roman"/>
          <w:sz w:val="24"/>
          <w:szCs w:val="24"/>
        </w:rPr>
        <w:t xml:space="preserve"> </w:t>
      </w:r>
      <w:r w:rsidR="3859D7EF" w:rsidRPr="29D9FD85">
        <w:rPr>
          <w:rFonts w:eastAsia="Times New Roman"/>
          <w:sz w:val="24"/>
          <w:szCs w:val="24"/>
        </w:rPr>
        <w:t xml:space="preserve">These </w:t>
      </w:r>
      <w:r w:rsidR="1AD67AF6" w:rsidRPr="29D9FD85">
        <w:rPr>
          <w:rFonts w:eastAsia="Times New Roman"/>
          <w:sz w:val="24"/>
          <w:szCs w:val="24"/>
        </w:rPr>
        <w:t>issues</w:t>
      </w:r>
      <w:r w:rsidR="3859D7EF" w:rsidRPr="29D9FD85">
        <w:rPr>
          <w:rFonts w:eastAsia="Times New Roman"/>
          <w:sz w:val="24"/>
          <w:szCs w:val="24"/>
        </w:rPr>
        <w:t xml:space="preserve"> </w:t>
      </w:r>
      <w:r w:rsidR="057CE6C7" w:rsidRPr="29D9FD85">
        <w:rPr>
          <w:rFonts w:eastAsia="Times New Roman"/>
          <w:sz w:val="24"/>
          <w:szCs w:val="24"/>
        </w:rPr>
        <w:t xml:space="preserve">often </w:t>
      </w:r>
      <w:r w:rsidR="3859D7EF" w:rsidRPr="29D9FD85">
        <w:rPr>
          <w:rFonts w:eastAsia="Times New Roman"/>
          <w:sz w:val="24"/>
          <w:szCs w:val="24"/>
        </w:rPr>
        <w:t xml:space="preserve">disproportionately </w:t>
      </w:r>
      <w:r w:rsidR="029000EB" w:rsidRPr="29D9FD85">
        <w:rPr>
          <w:rFonts w:eastAsia="Times New Roman"/>
          <w:sz w:val="24"/>
          <w:szCs w:val="24"/>
        </w:rPr>
        <w:t>a</w:t>
      </w:r>
      <w:r w:rsidR="3859D7EF" w:rsidRPr="29D9FD85">
        <w:rPr>
          <w:rFonts w:eastAsia="Times New Roman"/>
          <w:sz w:val="24"/>
          <w:szCs w:val="24"/>
        </w:rPr>
        <w:t>ffect LBTQ women</w:t>
      </w:r>
      <w:r w:rsidR="7D47441D" w:rsidRPr="29D9FD85">
        <w:rPr>
          <w:rFonts w:eastAsia="Times New Roman"/>
          <w:sz w:val="24"/>
          <w:szCs w:val="24"/>
        </w:rPr>
        <w:t xml:space="preserve"> and </w:t>
      </w:r>
      <w:r w:rsidR="24A28F66" w:rsidRPr="29D9FD85">
        <w:rPr>
          <w:rFonts w:eastAsia="Times New Roman"/>
          <w:sz w:val="24"/>
          <w:szCs w:val="24"/>
        </w:rPr>
        <w:t xml:space="preserve">may </w:t>
      </w:r>
      <w:r w:rsidR="6BDB518A" w:rsidRPr="29D9FD85">
        <w:rPr>
          <w:rFonts w:eastAsia="Times New Roman"/>
          <w:sz w:val="24"/>
          <w:szCs w:val="24"/>
        </w:rPr>
        <w:t>be</w:t>
      </w:r>
      <w:r w:rsidR="3859D7EF" w:rsidRPr="29D9FD85">
        <w:rPr>
          <w:rFonts w:eastAsia="Times New Roman"/>
          <w:sz w:val="24"/>
          <w:szCs w:val="24"/>
        </w:rPr>
        <w:t xml:space="preserve"> compound</w:t>
      </w:r>
      <w:r w:rsidR="1844E2A3" w:rsidRPr="29D9FD85">
        <w:rPr>
          <w:rFonts w:eastAsia="Times New Roman"/>
          <w:sz w:val="24"/>
          <w:szCs w:val="24"/>
        </w:rPr>
        <w:t>ed</w:t>
      </w:r>
      <w:r w:rsidR="2AE5B437" w:rsidRPr="29D9FD85">
        <w:rPr>
          <w:rFonts w:eastAsia="Times New Roman"/>
          <w:sz w:val="24"/>
          <w:szCs w:val="24"/>
        </w:rPr>
        <w:t xml:space="preserve"> by</w:t>
      </w:r>
      <w:r w:rsidR="5C31DF31" w:rsidRPr="29D9FD85">
        <w:rPr>
          <w:rFonts w:eastAsia="Times New Roman"/>
          <w:sz w:val="24"/>
          <w:szCs w:val="24"/>
        </w:rPr>
        <w:t xml:space="preserve"> </w:t>
      </w:r>
      <w:r w:rsidR="5B65211F" w:rsidRPr="29D9FD85">
        <w:rPr>
          <w:rFonts w:eastAsia="Times New Roman"/>
          <w:sz w:val="24"/>
          <w:szCs w:val="24"/>
        </w:rPr>
        <w:t>gendered risk f</w:t>
      </w:r>
      <w:r w:rsidR="0DDB9977" w:rsidRPr="29D9FD85">
        <w:rPr>
          <w:rFonts w:eastAsia="Times New Roman"/>
          <w:sz w:val="24"/>
          <w:szCs w:val="24"/>
        </w:rPr>
        <w:t xml:space="preserve">actors. </w:t>
      </w:r>
      <w:r w:rsidR="423303BF" w:rsidRPr="29D9FD85">
        <w:rPr>
          <w:rFonts w:eastAsia="Times New Roman"/>
          <w:sz w:val="24"/>
          <w:szCs w:val="24"/>
        </w:rPr>
        <w:t>For instance, i</w:t>
      </w:r>
      <w:r w:rsidR="0DDB9977" w:rsidRPr="29D9FD85">
        <w:rPr>
          <w:rFonts w:eastAsia="Times New Roman"/>
          <w:sz w:val="24"/>
          <w:szCs w:val="24"/>
        </w:rPr>
        <w:t xml:space="preserve">ntimate partner violence is a significant cause of </w:t>
      </w:r>
      <w:r w:rsidR="54293259" w:rsidRPr="29D9FD85">
        <w:rPr>
          <w:rFonts w:eastAsia="Times New Roman"/>
          <w:sz w:val="24"/>
          <w:szCs w:val="24"/>
        </w:rPr>
        <w:t xml:space="preserve">women’s </w:t>
      </w:r>
      <w:r w:rsidR="0DDB9977" w:rsidRPr="29D9FD85">
        <w:rPr>
          <w:rFonts w:eastAsia="Times New Roman"/>
          <w:sz w:val="24"/>
          <w:szCs w:val="24"/>
        </w:rPr>
        <w:t>homelessness</w:t>
      </w:r>
      <w:r w:rsidR="26ECBFBE" w:rsidRPr="29D9FD85">
        <w:rPr>
          <w:rFonts w:eastAsia="Times New Roman"/>
          <w:sz w:val="24"/>
          <w:szCs w:val="24"/>
        </w:rPr>
        <w:t>,</w:t>
      </w:r>
      <w:r w:rsidR="0DDB9977" w:rsidRPr="29D9FD85">
        <w:rPr>
          <w:rFonts w:eastAsia="Times New Roman"/>
          <w:sz w:val="24"/>
          <w:szCs w:val="24"/>
        </w:rPr>
        <w:t xml:space="preserve"> and </w:t>
      </w:r>
      <w:r w:rsidR="2F0E70C1" w:rsidRPr="29D9FD85">
        <w:rPr>
          <w:rFonts w:eastAsia="Times New Roman"/>
          <w:sz w:val="24"/>
          <w:szCs w:val="24"/>
        </w:rPr>
        <w:t>LB</w:t>
      </w:r>
      <w:r w:rsidR="00753C56" w:rsidRPr="29D9FD85">
        <w:rPr>
          <w:rFonts w:eastAsia="Times New Roman"/>
          <w:sz w:val="24"/>
          <w:szCs w:val="24"/>
        </w:rPr>
        <w:t xml:space="preserve"> women </w:t>
      </w:r>
      <w:r w:rsidR="57953927" w:rsidRPr="29D9FD85">
        <w:rPr>
          <w:rFonts w:eastAsia="Times New Roman"/>
          <w:sz w:val="24"/>
          <w:szCs w:val="24"/>
        </w:rPr>
        <w:t xml:space="preserve">face </w:t>
      </w:r>
      <w:r w:rsidR="7C20AB18" w:rsidRPr="29D9FD85">
        <w:rPr>
          <w:rFonts w:eastAsia="Times New Roman"/>
          <w:sz w:val="24"/>
          <w:szCs w:val="24"/>
        </w:rPr>
        <w:t>a</w:t>
      </w:r>
      <w:r w:rsidR="57953927" w:rsidRPr="29D9FD85">
        <w:rPr>
          <w:rFonts w:eastAsia="Times New Roman"/>
          <w:sz w:val="24"/>
          <w:szCs w:val="24"/>
        </w:rPr>
        <w:t xml:space="preserve"> </w:t>
      </w:r>
      <w:r w:rsidR="00753C56" w:rsidRPr="29D9FD85">
        <w:rPr>
          <w:rFonts w:eastAsia="Times New Roman"/>
          <w:sz w:val="24"/>
          <w:szCs w:val="24"/>
        </w:rPr>
        <w:t xml:space="preserve">higher risk of </w:t>
      </w:r>
      <w:r w:rsidR="53D900E2" w:rsidRPr="29D9FD85">
        <w:rPr>
          <w:rFonts w:eastAsia="Times New Roman"/>
          <w:sz w:val="24"/>
          <w:szCs w:val="24"/>
        </w:rPr>
        <w:t xml:space="preserve">intimate partner violence than heterosexual women or </w:t>
      </w:r>
      <w:r w:rsidR="449A5F18" w:rsidRPr="29D9FD85">
        <w:rPr>
          <w:rFonts w:eastAsia="Times New Roman"/>
          <w:sz w:val="24"/>
          <w:szCs w:val="24"/>
        </w:rPr>
        <w:t>gay and bisexual</w:t>
      </w:r>
      <w:r w:rsidR="53D900E2" w:rsidRPr="29D9FD85">
        <w:rPr>
          <w:rFonts w:eastAsia="Times New Roman"/>
          <w:sz w:val="24"/>
          <w:szCs w:val="24"/>
        </w:rPr>
        <w:t xml:space="preserve"> men</w:t>
      </w:r>
      <w:r w:rsidR="69083C0A" w:rsidRPr="29D9FD85">
        <w:rPr>
          <w:rStyle w:val="Refdenotaalpie"/>
          <w:rFonts w:eastAsia="Times New Roman"/>
          <w:sz w:val="24"/>
          <w:szCs w:val="24"/>
        </w:rPr>
        <w:footnoteReference w:id="20"/>
      </w:r>
      <w:r w:rsidR="7A3522BD" w:rsidRPr="29D9FD85">
        <w:rPr>
          <w:rFonts w:eastAsia="Times New Roman"/>
          <w:sz w:val="24"/>
          <w:szCs w:val="24"/>
        </w:rPr>
        <w:t>.</w:t>
      </w:r>
      <w:r w:rsidR="4F972063" w:rsidRPr="29D9FD85">
        <w:rPr>
          <w:rFonts w:eastAsia="Times New Roman"/>
          <w:sz w:val="24"/>
          <w:szCs w:val="24"/>
        </w:rPr>
        <w:t xml:space="preserve"> LBTQ women’s experiences of housing discrimination may also be </w:t>
      </w:r>
      <w:r w:rsidR="710FE7F1" w:rsidRPr="29D9FD85">
        <w:rPr>
          <w:rFonts w:eastAsia="Times New Roman"/>
          <w:sz w:val="24"/>
          <w:szCs w:val="24"/>
        </w:rPr>
        <w:t xml:space="preserve">aggravated by gender-based violence. For instance, </w:t>
      </w:r>
      <w:r w:rsidR="399B3563" w:rsidRPr="29D9FD85">
        <w:rPr>
          <w:rFonts w:eastAsia="Times New Roman"/>
          <w:sz w:val="24"/>
          <w:szCs w:val="24"/>
        </w:rPr>
        <w:t xml:space="preserve">in 2020, </w:t>
      </w:r>
      <w:r w:rsidR="23908398" w:rsidRPr="29D9FD85">
        <w:rPr>
          <w:rFonts w:eastAsia="Times New Roman"/>
          <w:sz w:val="24"/>
          <w:szCs w:val="24"/>
        </w:rPr>
        <w:t>the</w:t>
      </w:r>
      <w:r w:rsidR="5B08BFD6" w:rsidRPr="29D9FD85">
        <w:rPr>
          <w:rFonts w:eastAsia="Times New Roman"/>
          <w:sz w:val="24"/>
          <w:szCs w:val="24"/>
        </w:rPr>
        <w:t xml:space="preserve"> </w:t>
      </w:r>
      <w:r w:rsidR="0B1C87E6" w:rsidRPr="29D9FD85">
        <w:rPr>
          <w:rFonts w:eastAsia="Times New Roman"/>
          <w:sz w:val="24"/>
          <w:szCs w:val="24"/>
        </w:rPr>
        <w:t xml:space="preserve">Special </w:t>
      </w:r>
      <w:r w:rsidR="33A3951F" w:rsidRPr="29D9FD85">
        <w:rPr>
          <w:rFonts w:eastAsia="Times New Roman"/>
          <w:sz w:val="24"/>
          <w:szCs w:val="24"/>
        </w:rPr>
        <w:t>Rapporteur</w:t>
      </w:r>
      <w:r w:rsidR="0B1C87E6" w:rsidRPr="29D9FD85">
        <w:rPr>
          <w:rFonts w:eastAsia="Times New Roman"/>
          <w:sz w:val="24"/>
          <w:szCs w:val="24"/>
        </w:rPr>
        <w:t xml:space="preserve"> for housing </w:t>
      </w:r>
      <w:r w:rsidR="2362B9C7" w:rsidRPr="29D9FD85">
        <w:rPr>
          <w:rFonts w:eastAsia="Times New Roman"/>
          <w:sz w:val="24"/>
          <w:szCs w:val="24"/>
        </w:rPr>
        <w:t>highlighted</w:t>
      </w:r>
      <w:r w:rsidR="66D4D48D" w:rsidRPr="29D9FD85">
        <w:rPr>
          <w:rFonts w:eastAsia="Times New Roman"/>
          <w:sz w:val="24"/>
          <w:szCs w:val="24"/>
        </w:rPr>
        <w:t xml:space="preserve"> a case in Nigeria wherein a landlord recruited a group of men to repeatedly rape his tenant</w:t>
      </w:r>
      <w:r w:rsidR="217BD297" w:rsidRPr="29D9FD85">
        <w:rPr>
          <w:rFonts w:eastAsia="Times New Roman"/>
          <w:sz w:val="24"/>
          <w:szCs w:val="24"/>
        </w:rPr>
        <w:t xml:space="preserve">s, a lesbian couple. </w:t>
      </w:r>
      <w:r w:rsidR="1F4A2DE9" w:rsidRPr="29D9FD85">
        <w:rPr>
          <w:rFonts w:eastAsia="Times New Roman"/>
          <w:sz w:val="24"/>
          <w:szCs w:val="24"/>
        </w:rPr>
        <w:t>Furthermore, t</w:t>
      </w:r>
      <w:r w:rsidR="4EC36582" w:rsidRPr="29D9FD85">
        <w:rPr>
          <w:rFonts w:eastAsia="Times New Roman"/>
          <w:sz w:val="24"/>
          <w:szCs w:val="24"/>
        </w:rPr>
        <w:t xml:space="preserve">he intersection of misogyny and transphobia </w:t>
      </w:r>
      <w:r w:rsidR="3850CE44" w:rsidRPr="29D9FD85">
        <w:rPr>
          <w:rFonts w:eastAsia="Times New Roman"/>
          <w:sz w:val="24"/>
          <w:szCs w:val="24"/>
        </w:rPr>
        <w:t>creates</w:t>
      </w:r>
      <w:r w:rsidR="4EC36582" w:rsidRPr="29D9FD85">
        <w:rPr>
          <w:rFonts w:eastAsia="Times New Roman"/>
          <w:sz w:val="24"/>
          <w:szCs w:val="24"/>
        </w:rPr>
        <w:t xml:space="preserve"> specific risks for tran</w:t>
      </w:r>
      <w:r w:rsidR="4FDC835B" w:rsidRPr="29D9FD85">
        <w:rPr>
          <w:rFonts w:eastAsia="Times New Roman"/>
          <w:sz w:val="24"/>
          <w:szCs w:val="24"/>
        </w:rPr>
        <w:t>s</w:t>
      </w:r>
      <w:r w:rsidR="4EC36582" w:rsidRPr="29D9FD85">
        <w:rPr>
          <w:rFonts w:eastAsia="Times New Roman"/>
          <w:sz w:val="24"/>
          <w:szCs w:val="24"/>
        </w:rPr>
        <w:t xml:space="preserve"> women in relation to housing</w:t>
      </w:r>
      <w:r w:rsidR="62B6199E" w:rsidRPr="29D9FD85">
        <w:rPr>
          <w:rFonts w:eastAsia="Times New Roman"/>
          <w:sz w:val="24"/>
          <w:szCs w:val="24"/>
        </w:rPr>
        <w:t>.</w:t>
      </w:r>
      <w:r w:rsidR="69083C0A" w:rsidRPr="29D9FD85">
        <w:rPr>
          <w:rStyle w:val="Refdenotaalpie"/>
          <w:rFonts w:eastAsia="Times New Roman"/>
          <w:sz w:val="24"/>
          <w:szCs w:val="24"/>
        </w:rPr>
        <w:footnoteReference w:id="21"/>
      </w:r>
      <w:r w:rsidR="58521EAA" w:rsidRPr="29D9FD85">
        <w:rPr>
          <w:rFonts w:eastAsia="Times New Roman"/>
          <w:sz w:val="24"/>
          <w:szCs w:val="24"/>
        </w:rPr>
        <w:t xml:space="preserve"> Research from the United States found that while trans people as a whole were twice as likely to experience homelessness tha</w:t>
      </w:r>
      <w:r w:rsidR="1D501943" w:rsidRPr="29D9FD85">
        <w:rPr>
          <w:rFonts w:eastAsia="Times New Roman"/>
          <w:sz w:val="24"/>
          <w:szCs w:val="24"/>
        </w:rPr>
        <w:t>n</w:t>
      </w:r>
      <w:r w:rsidR="58521EAA" w:rsidRPr="29D9FD85">
        <w:rPr>
          <w:rFonts w:eastAsia="Times New Roman"/>
          <w:sz w:val="24"/>
          <w:szCs w:val="24"/>
        </w:rPr>
        <w:t xml:space="preserve"> cisgender people, trans women</w:t>
      </w:r>
      <w:r w:rsidR="61B8B5A4" w:rsidRPr="29D9FD85">
        <w:rPr>
          <w:rFonts w:eastAsia="Times New Roman"/>
          <w:sz w:val="24"/>
          <w:szCs w:val="24"/>
        </w:rPr>
        <w:t xml:space="preserve"> were more likely than trans men </w:t>
      </w:r>
      <w:r w:rsidR="61B8B5A4" w:rsidRPr="29D9FD85">
        <w:rPr>
          <w:rFonts w:eastAsia="Times New Roman"/>
          <w:sz w:val="24"/>
          <w:szCs w:val="24"/>
        </w:rPr>
        <w:lastRenderedPageBreak/>
        <w:t xml:space="preserve">to experience homelessness and more likely to need temporary access to new sleeping </w:t>
      </w:r>
      <w:r w:rsidR="1695EA98" w:rsidRPr="29D9FD85">
        <w:rPr>
          <w:rFonts w:eastAsia="Times New Roman"/>
          <w:sz w:val="24"/>
          <w:szCs w:val="24"/>
        </w:rPr>
        <w:t>arrangements</w:t>
      </w:r>
      <w:r w:rsidR="12C9E0D4" w:rsidRPr="29D9FD85">
        <w:rPr>
          <w:rFonts w:eastAsia="Times New Roman"/>
          <w:sz w:val="24"/>
          <w:szCs w:val="24"/>
        </w:rPr>
        <w:t>.</w:t>
      </w:r>
      <w:r w:rsidR="69083C0A" w:rsidRPr="29D9FD85">
        <w:rPr>
          <w:rStyle w:val="Refdenotaalpie"/>
          <w:rFonts w:eastAsia="Times New Roman"/>
          <w:sz w:val="24"/>
          <w:szCs w:val="24"/>
        </w:rPr>
        <w:footnoteReference w:id="22"/>
      </w:r>
      <w:r w:rsidR="61B8B5A4" w:rsidRPr="29D9FD85">
        <w:rPr>
          <w:rFonts w:eastAsia="Times New Roman"/>
          <w:sz w:val="24"/>
          <w:szCs w:val="24"/>
        </w:rPr>
        <w:t xml:space="preserve"> </w:t>
      </w:r>
    </w:p>
    <w:p w14:paraId="66BCDE73" w14:textId="36CE6D61" w:rsidR="5158DEB1" w:rsidRPr="005607BA" w:rsidRDefault="3D053B05" w:rsidP="00B02FF1">
      <w:pPr>
        <w:jc w:val="both"/>
        <w:rPr>
          <w:rFonts w:eastAsia="Times New Roman"/>
          <w:sz w:val="24"/>
          <w:szCs w:val="24"/>
        </w:rPr>
      </w:pPr>
      <w:r w:rsidRPr="6B5A0467">
        <w:rPr>
          <w:rFonts w:eastAsia="Times New Roman"/>
          <w:sz w:val="24"/>
          <w:szCs w:val="24"/>
        </w:rPr>
        <w:t xml:space="preserve">LBTQ women </w:t>
      </w:r>
      <w:r w:rsidR="3513A387" w:rsidRPr="6B5A0467">
        <w:rPr>
          <w:rFonts w:eastAsia="Times New Roman"/>
          <w:sz w:val="24"/>
          <w:szCs w:val="24"/>
        </w:rPr>
        <w:t>who experience homelessness</w:t>
      </w:r>
      <w:r w:rsidRPr="6B5A0467">
        <w:rPr>
          <w:rFonts w:eastAsia="Times New Roman"/>
          <w:sz w:val="24"/>
          <w:szCs w:val="24"/>
        </w:rPr>
        <w:t xml:space="preserve"> face </w:t>
      </w:r>
      <w:r w:rsidR="69E02668" w:rsidRPr="6B5A0467">
        <w:rPr>
          <w:rFonts w:eastAsia="Times New Roman"/>
          <w:sz w:val="24"/>
          <w:szCs w:val="24"/>
        </w:rPr>
        <w:t>compounded</w:t>
      </w:r>
      <w:r w:rsidR="3C0525C1" w:rsidRPr="6B5A0467">
        <w:rPr>
          <w:rFonts w:eastAsia="Times New Roman"/>
          <w:sz w:val="24"/>
          <w:szCs w:val="24"/>
        </w:rPr>
        <w:t xml:space="preserve"> stigma and </w:t>
      </w:r>
      <w:r w:rsidR="6D5005F0" w:rsidRPr="6B5A0467">
        <w:rPr>
          <w:rFonts w:eastAsia="Times New Roman"/>
          <w:sz w:val="24"/>
          <w:szCs w:val="24"/>
        </w:rPr>
        <w:t xml:space="preserve">additional </w:t>
      </w:r>
      <w:r w:rsidR="1E536F29" w:rsidRPr="6B5A0467">
        <w:rPr>
          <w:rFonts w:eastAsia="Times New Roman"/>
          <w:sz w:val="24"/>
          <w:szCs w:val="24"/>
        </w:rPr>
        <w:t>barriers to accessing</w:t>
      </w:r>
      <w:r w:rsidR="36816121" w:rsidRPr="6B5A0467">
        <w:rPr>
          <w:rFonts w:eastAsia="Times New Roman"/>
          <w:sz w:val="24"/>
          <w:szCs w:val="24"/>
        </w:rPr>
        <w:t xml:space="preserve"> </w:t>
      </w:r>
      <w:r w:rsidR="2D3F98BE" w:rsidRPr="6B5A0467">
        <w:rPr>
          <w:rFonts w:eastAsia="Times New Roman"/>
          <w:sz w:val="24"/>
          <w:szCs w:val="24"/>
        </w:rPr>
        <w:t xml:space="preserve">appropriate </w:t>
      </w:r>
      <w:r w:rsidR="36816121" w:rsidRPr="6B5A0467">
        <w:rPr>
          <w:rFonts w:eastAsia="Times New Roman"/>
          <w:sz w:val="24"/>
          <w:szCs w:val="24"/>
        </w:rPr>
        <w:t>housing</w:t>
      </w:r>
      <w:r w:rsidR="1E536F29" w:rsidRPr="6B5A0467">
        <w:rPr>
          <w:rFonts w:eastAsia="Times New Roman"/>
          <w:sz w:val="24"/>
          <w:szCs w:val="24"/>
        </w:rPr>
        <w:t xml:space="preserve"> </w:t>
      </w:r>
      <w:r w:rsidR="354AC353" w:rsidRPr="6B5A0467">
        <w:rPr>
          <w:rFonts w:eastAsia="Times New Roman"/>
          <w:sz w:val="24"/>
          <w:szCs w:val="24"/>
        </w:rPr>
        <w:t>support</w:t>
      </w:r>
      <w:r w:rsidR="1E536F29" w:rsidRPr="6B5A0467">
        <w:rPr>
          <w:rFonts w:eastAsia="Times New Roman"/>
          <w:sz w:val="24"/>
          <w:szCs w:val="24"/>
        </w:rPr>
        <w:t>.</w:t>
      </w:r>
      <w:r w:rsidR="53220EF3" w:rsidRPr="6B5A0467">
        <w:rPr>
          <w:rFonts w:eastAsia="Times New Roman"/>
          <w:sz w:val="24"/>
          <w:szCs w:val="24"/>
        </w:rPr>
        <w:t xml:space="preserve"> </w:t>
      </w:r>
      <w:r w:rsidR="7FA190EC" w:rsidRPr="6B5A0467">
        <w:rPr>
          <w:rFonts w:eastAsia="Times New Roman"/>
          <w:sz w:val="24"/>
          <w:szCs w:val="24"/>
        </w:rPr>
        <w:t>Homeless women with diverse sexual orientation</w:t>
      </w:r>
      <w:r w:rsidR="6674AD12" w:rsidRPr="6B5A0467">
        <w:rPr>
          <w:rFonts w:eastAsia="Times New Roman"/>
          <w:sz w:val="24"/>
          <w:szCs w:val="24"/>
        </w:rPr>
        <w:t xml:space="preserve"> and gender identity</w:t>
      </w:r>
      <w:r w:rsidR="7FA190EC" w:rsidRPr="6B5A0467">
        <w:rPr>
          <w:rFonts w:eastAsia="Times New Roman"/>
          <w:sz w:val="24"/>
          <w:szCs w:val="24"/>
        </w:rPr>
        <w:t xml:space="preserve"> face unique mental health challenges and higher rates of health problems, yet often receive poorer quality healthcare.</w:t>
      </w:r>
      <w:r w:rsidR="68FF91AF" w:rsidRPr="6B5A0467">
        <w:rPr>
          <w:rStyle w:val="Refdenotaalpie"/>
          <w:rFonts w:eastAsia="Times New Roman"/>
          <w:sz w:val="24"/>
          <w:szCs w:val="24"/>
        </w:rPr>
        <w:footnoteReference w:id="23"/>
      </w:r>
      <w:r w:rsidR="7FA190EC" w:rsidRPr="6B5A0467">
        <w:rPr>
          <w:rFonts w:eastAsia="Times New Roman"/>
          <w:sz w:val="24"/>
          <w:szCs w:val="24"/>
        </w:rPr>
        <w:t xml:space="preserve"> </w:t>
      </w:r>
      <w:r w:rsidR="16CBA416" w:rsidRPr="6B5A0467">
        <w:rPr>
          <w:rFonts w:eastAsia="Times New Roman"/>
          <w:sz w:val="24"/>
          <w:szCs w:val="24"/>
        </w:rPr>
        <w:t xml:space="preserve">Research from </w:t>
      </w:r>
      <w:r w:rsidR="7FFB193B" w:rsidRPr="6B5A0467">
        <w:rPr>
          <w:rFonts w:eastAsia="Times New Roman"/>
          <w:sz w:val="24"/>
          <w:szCs w:val="24"/>
        </w:rPr>
        <w:t>Vancouver, Canada</w:t>
      </w:r>
      <w:r w:rsidR="6D4FA903" w:rsidRPr="6B5A0467">
        <w:rPr>
          <w:rFonts w:eastAsia="Times New Roman"/>
          <w:sz w:val="24"/>
          <w:szCs w:val="24"/>
        </w:rPr>
        <w:t>,</w:t>
      </w:r>
      <w:r w:rsidR="7FFB193B" w:rsidRPr="6B5A0467">
        <w:rPr>
          <w:rFonts w:eastAsia="Times New Roman"/>
          <w:sz w:val="24"/>
          <w:szCs w:val="24"/>
        </w:rPr>
        <w:t xml:space="preserve"> found that </w:t>
      </w:r>
      <w:r w:rsidR="3E24B531" w:rsidRPr="6B5A0467">
        <w:rPr>
          <w:rFonts w:eastAsia="Times New Roman"/>
          <w:sz w:val="24"/>
          <w:szCs w:val="24"/>
        </w:rPr>
        <w:t>q</w:t>
      </w:r>
      <w:r w:rsidR="7FFB193B" w:rsidRPr="6B5A0467">
        <w:rPr>
          <w:rFonts w:eastAsia="Times New Roman"/>
          <w:sz w:val="24"/>
          <w:szCs w:val="24"/>
        </w:rPr>
        <w:t xml:space="preserve">ueer women living in supported addiction treatment </w:t>
      </w:r>
      <w:r w:rsidR="4B3F5A92" w:rsidRPr="6B5A0467">
        <w:rPr>
          <w:rFonts w:eastAsia="Times New Roman"/>
          <w:sz w:val="24"/>
          <w:szCs w:val="24"/>
        </w:rPr>
        <w:t xml:space="preserve">housing were unable to maintain same-sex </w:t>
      </w:r>
      <w:r w:rsidR="146CFED5" w:rsidRPr="6B5A0467">
        <w:rPr>
          <w:rFonts w:eastAsia="Times New Roman"/>
          <w:sz w:val="24"/>
          <w:szCs w:val="24"/>
        </w:rPr>
        <w:t>partnerships due to rules against sexual relationships while in treatment, and felt</w:t>
      </w:r>
      <w:r w:rsidR="48F4CB87" w:rsidRPr="6B5A0467">
        <w:rPr>
          <w:rFonts w:eastAsia="Times New Roman"/>
          <w:sz w:val="24"/>
          <w:szCs w:val="24"/>
        </w:rPr>
        <w:t xml:space="preserve"> their relationships were</w:t>
      </w:r>
      <w:r w:rsidR="146CFED5" w:rsidRPr="6B5A0467">
        <w:rPr>
          <w:rFonts w:eastAsia="Times New Roman"/>
          <w:sz w:val="24"/>
          <w:szCs w:val="24"/>
        </w:rPr>
        <w:t xml:space="preserve"> unfairly targeted due to their sexual orientation.</w:t>
      </w:r>
      <w:r w:rsidR="68FF91AF" w:rsidRPr="6B5A0467">
        <w:rPr>
          <w:rStyle w:val="Refdenotaalpie"/>
          <w:rFonts w:eastAsia="Times New Roman"/>
          <w:sz w:val="24"/>
          <w:szCs w:val="24"/>
        </w:rPr>
        <w:footnoteReference w:id="24"/>
      </w:r>
      <w:r w:rsidR="146CFED5" w:rsidRPr="6B5A0467">
        <w:rPr>
          <w:rFonts w:eastAsia="Times New Roman"/>
          <w:sz w:val="24"/>
          <w:szCs w:val="24"/>
        </w:rPr>
        <w:t xml:space="preserve"> </w:t>
      </w:r>
      <w:r w:rsidR="59B6C085" w:rsidRPr="6B5A0467">
        <w:rPr>
          <w:rFonts w:eastAsia="Times New Roman"/>
          <w:sz w:val="24"/>
          <w:szCs w:val="24"/>
        </w:rPr>
        <w:t>For trans women, the segregation of homeless shelters on the basis of sex may present an accessibility issue</w:t>
      </w:r>
      <w:r w:rsidR="68FF91AF" w:rsidRPr="6B5A0467">
        <w:rPr>
          <w:rStyle w:val="Refdenotaalpie"/>
          <w:rFonts w:eastAsia="Times New Roman"/>
          <w:sz w:val="24"/>
          <w:szCs w:val="24"/>
        </w:rPr>
        <w:footnoteReference w:id="25"/>
      </w:r>
      <w:r w:rsidR="4999CF8F" w:rsidRPr="6B5A0467">
        <w:rPr>
          <w:rFonts w:eastAsia="Times New Roman"/>
          <w:sz w:val="24"/>
          <w:szCs w:val="24"/>
        </w:rPr>
        <w:t xml:space="preserve">. There is also evidence that </w:t>
      </w:r>
      <w:r w:rsidR="60BEC9A4" w:rsidRPr="6B5A0467">
        <w:rPr>
          <w:rFonts w:eastAsia="Times New Roman"/>
          <w:sz w:val="24"/>
          <w:szCs w:val="24"/>
        </w:rPr>
        <w:t xml:space="preserve">homeless shelters are </w:t>
      </w:r>
      <w:r w:rsidR="4999CF8F" w:rsidRPr="6B5A0467">
        <w:rPr>
          <w:rFonts w:eastAsia="Times New Roman"/>
          <w:color w:val="000000" w:themeColor="text1"/>
          <w:sz w:val="24"/>
          <w:szCs w:val="24"/>
        </w:rPr>
        <w:t>not physically safe environments for trans people, do not respect trans persons</w:t>
      </w:r>
      <w:r w:rsidR="0827C2D5" w:rsidRPr="6B5A0467">
        <w:rPr>
          <w:rFonts w:eastAsia="Times New Roman"/>
          <w:color w:val="000000" w:themeColor="text1"/>
          <w:sz w:val="24"/>
          <w:szCs w:val="24"/>
        </w:rPr>
        <w:t>' privacy, and do not convey respect for trans persons</w:t>
      </w:r>
      <w:r w:rsidR="43D6BE70" w:rsidRPr="6B5A0467">
        <w:rPr>
          <w:rFonts w:eastAsia="Times New Roman"/>
          <w:color w:val="000000" w:themeColor="text1"/>
          <w:sz w:val="24"/>
          <w:szCs w:val="24"/>
        </w:rPr>
        <w:t>’</w:t>
      </w:r>
      <w:r w:rsidR="4999CF8F" w:rsidRPr="6B5A0467">
        <w:rPr>
          <w:rFonts w:eastAsia="Times New Roman"/>
          <w:color w:val="000000" w:themeColor="text1"/>
          <w:sz w:val="24"/>
          <w:szCs w:val="24"/>
        </w:rPr>
        <w:t xml:space="preserve"> gender identity.</w:t>
      </w:r>
      <w:r w:rsidR="68FF91AF" w:rsidRPr="6B5A0467">
        <w:rPr>
          <w:rStyle w:val="Refdenotaalpie"/>
          <w:rFonts w:eastAsia="Times New Roman"/>
          <w:sz w:val="24"/>
          <w:szCs w:val="24"/>
        </w:rPr>
        <w:footnoteReference w:id="26"/>
      </w:r>
      <w:r w:rsidR="64A14D83" w:rsidRPr="6B5A0467">
        <w:rPr>
          <w:rFonts w:eastAsia="Times New Roman"/>
          <w:sz w:val="24"/>
          <w:szCs w:val="24"/>
        </w:rPr>
        <w:t xml:space="preserve"> These issues may explain why</w:t>
      </w:r>
      <w:r w:rsidR="4999CF8F" w:rsidRPr="6B5A0467">
        <w:rPr>
          <w:rFonts w:eastAsia="Times New Roman"/>
          <w:sz w:val="24"/>
          <w:szCs w:val="24"/>
        </w:rPr>
        <w:t xml:space="preserve"> </w:t>
      </w:r>
      <w:r w:rsidR="59B6C085" w:rsidRPr="6B5A0467">
        <w:rPr>
          <w:rFonts w:eastAsia="Times New Roman"/>
          <w:sz w:val="24"/>
          <w:szCs w:val="24"/>
        </w:rPr>
        <w:t xml:space="preserve">trans homeless people are </w:t>
      </w:r>
      <w:r w:rsidR="0782FA70" w:rsidRPr="6B5A0467">
        <w:rPr>
          <w:rFonts w:eastAsia="Times New Roman"/>
          <w:sz w:val="24"/>
          <w:szCs w:val="24"/>
        </w:rPr>
        <w:t>more likely to be unsheltered than cisgender homeless people</w:t>
      </w:r>
      <w:r w:rsidR="68FF91AF" w:rsidRPr="6B5A0467">
        <w:rPr>
          <w:rStyle w:val="Refdenotaalpie"/>
          <w:rFonts w:eastAsia="Times New Roman"/>
          <w:sz w:val="24"/>
          <w:szCs w:val="24"/>
        </w:rPr>
        <w:footnoteReference w:id="27"/>
      </w:r>
      <w:r w:rsidR="0782FA70" w:rsidRPr="6B5A0467">
        <w:rPr>
          <w:rFonts w:eastAsia="Times New Roman"/>
          <w:sz w:val="24"/>
          <w:szCs w:val="24"/>
        </w:rPr>
        <w:t>.</w:t>
      </w:r>
      <w:r w:rsidR="755D0AA3" w:rsidRPr="6B5A0467">
        <w:rPr>
          <w:rFonts w:eastAsia="Times New Roman"/>
          <w:sz w:val="24"/>
          <w:szCs w:val="24"/>
        </w:rPr>
        <w:t xml:space="preserve"> Overall, housing support</w:t>
      </w:r>
      <w:r w:rsidR="539EEB00" w:rsidRPr="6B5A0467">
        <w:rPr>
          <w:rFonts w:eastAsia="Times New Roman"/>
          <w:sz w:val="24"/>
          <w:szCs w:val="24"/>
        </w:rPr>
        <w:t xml:space="preserve"> insufficiently addresses the needs of LBTQ homeless women, further threatening thei</w:t>
      </w:r>
      <w:r w:rsidR="39E94E88" w:rsidRPr="6B5A0467">
        <w:rPr>
          <w:rFonts w:eastAsia="Times New Roman"/>
          <w:sz w:val="24"/>
          <w:szCs w:val="24"/>
        </w:rPr>
        <w:t xml:space="preserve">r security. </w:t>
      </w:r>
    </w:p>
    <w:p w14:paraId="41D82A78" w14:textId="53837AE4" w:rsidR="11C866AB" w:rsidRPr="009238D2" w:rsidRDefault="11C866AB" w:rsidP="00B02FF1">
      <w:pPr>
        <w:jc w:val="both"/>
        <w:rPr>
          <w:rFonts w:eastAsia="Times New Roman" w:cstheme="minorHAnsi"/>
          <w:b/>
          <w:bCs/>
          <w:sz w:val="28"/>
          <w:szCs w:val="28"/>
        </w:rPr>
      </w:pPr>
      <w:r w:rsidRPr="009238D2">
        <w:rPr>
          <w:rFonts w:eastAsia="Times New Roman" w:cstheme="minorHAnsi"/>
          <w:b/>
          <w:bCs/>
          <w:sz w:val="28"/>
          <w:szCs w:val="28"/>
        </w:rPr>
        <w:t>Healthcare:</w:t>
      </w:r>
    </w:p>
    <w:p w14:paraId="3ED2DD60" w14:textId="53DD0DF7" w:rsidR="4469A2D2" w:rsidRPr="00B02FF1" w:rsidRDefault="6E916B8D" w:rsidP="00DD023D">
      <w:pPr>
        <w:jc w:val="both"/>
        <w:rPr>
          <w:rFonts w:eastAsia="Times New Roman"/>
          <w:sz w:val="24"/>
          <w:szCs w:val="24"/>
        </w:rPr>
      </w:pPr>
      <w:r w:rsidRPr="6B5A0467">
        <w:rPr>
          <w:rFonts w:eastAsia="Times New Roman"/>
          <w:sz w:val="24"/>
          <w:szCs w:val="24"/>
        </w:rPr>
        <w:t xml:space="preserve">The increased risk of poverty and homelessness discussed above has an adverse effect on the health status </w:t>
      </w:r>
      <w:r w:rsidR="736F9E3C" w:rsidRPr="6B5A0467">
        <w:rPr>
          <w:rFonts w:eastAsia="Times New Roman"/>
          <w:sz w:val="24"/>
          <w:szCs w:val="24"/>
        </w:rPr>
        <w:t xml:space="preserve">of LBTQ women, as well as the accessibility of healthcare for this group. </w:t>
      </w:r>
      <w:r w:rsidR="1BD86415" w:rsidRPr="6B5A0467">
        <w:rPr>
          <w:rFonts w:eastAsia="Times New Roman"/>
          <w:sz w:val="24"/>
          <w:szCs w:val="24"/>
        </w:rPr>
        <w:t xml:space="preserve">There is evidence that LBTQ women are more likely to experience both physical and mental ill-health. </w:t>
      </w:r>
      <w:r w:rsidR="4436A61F" w:rsidRPr="6B5A0467">
        <w:rPr>
          <w:rFonts w:eastAsia="Times New Roman"/>
          <w:sz w:val="24"/>
          <w:szCs w:val="24"/>
        </w:rPr>
        <w:t>Lesbian women have a higher risk of breast cancer and are more likely to report experiencing depression. Older lesbian women are also 1.3 times more likely to have a physical disability than older straight women.</w:t>
      </w:r>
      <w:r w:rsidR="4469A2D2" w:rsidRPr="6B5A0467">
        <w:rPr>
          <w:rStyle w:val="Refdenotaalpie"/>
          <w:rFonts w:eastAsia="Times New Roman"/>
          <w:sz w:val="24"/>
          <w:szCs w:val="24"/>
        </w:rPr>
        <w:footnoteReference w:id="28"/>
      </w:r>
      <w:r w:rsidR="63252312" w:rsidRPr="6B5A0467">
        <w:rPr>
          <w:rFonts w:eastAsia="Times New Roman"/>
          <w:sz w:val="24"/>
          <w:szCs w:val="24"/>
        </w:rPr>
        <w:t xml:space="preserve"> </w:t>
      </w:r>
      <w:r w:rsidR="75DC8382" w:rsidRPr="6B5A0467">
        <w:rPr>
          <w:rFonts w:eastAsia="Times New Roman"/>
          <w:sz w:val="24"/>
          <w:szCs w:val="24"/>
        </w:rPr>
        <w:t xml:space="preserve">There is also evidence that bisexual women </w:t>
      </w:r>
      <w:r w:rsidR="658AC080" w:rsidRPr="6B5A0467">
        <w:rPr>
          <w:rFonts w:eastAsia="Times New Roman"/>
          <w:sz w:val="24"/>
          <w:szCs w:val="24"/>
        </w:rPr>
        <w:t>experience worse general health than lesbian women and the general population, being at risk for disparities in terms of asthma, diabetes</w:t>
      </w:r>
      <w:r w:rsidR="792E3982" w:rsidRPr="6B5A0467">
        <w:rPr>
          <w:rFonts w:eastAsia="Times New Roman"/>
          <w:sz w:val="24"/>
          <w:szCs w:val="24"/>
        </w:rPr>
        <w:t>,</w:t>
      </w:r>
      <w:r w:rsidR="658AC080" w:rsidRPr="6B5A0467">
        <w:rPr>
          <w:rFonts w:eastAsia="Times New Roman"/>
          <w:sz w:val="24"/>
          <w:szCs w:val="24"/>
        </w:rPr>
        <w:t xml:space="preserve"> and hypertension</w:t>
      </w:r>
      <w:r w:rsidR="410F200E" w:rsidRPr="6B5A0467">
        <w:rPr>
          <w:rFonts w:eastAsia="Times New Roman"/>
          <w:sz w:val="24"/>
          <w:szCs w:val="24"/>
        </w:rPr>
        <w:t>.</w:t>
      </w:r>
      <w:r w:rsidR="4469A2D2" w:rsidRPr="6B5A0467">
        <w:rPr>
          <w:rStyle w:val="Refdenotaalpie"/>
          <w:rFonts w:eastAsia="Times New Roman"/>
          <w:sz w:val="24"/>
          <w:szCs w:val="24"/>
        </w:rPr>
        <w:footnoteReference w:id="29"/>
      </w:r>
      <w:r w:rsidR="07952413" w:rsidRPr="6B5A0467">
        <w:rPr>
          <w:rFonts w:eastAsia="Times New Roman"/>
          <w:sz w:val="24"/>
          <w:szCs w:val="24"/>
        </w:rPr>
        <w:t xml:space="preserve"> </w:t>
      </w:r>
    </w:p>
    <w:p w14:paraId="3CD85133" w14:textId="1EEE2A07" w:rsidR="4469A2D2" w:rsidRPr="00B02FF1" w:rsidRDefault="07952413" w:rsidP="69A36005">
      <w:pPr>
        <w:spacing w:line="257" w:lineRule="auto"/>
        <w:jc w:val="both"/>
        <w:rPr>
          <w:rFonts w:eastAsia="Times New Roman"/>
          <w:sz w:val="24"/>
          <w:szCs w:val="24"/>
        </w:rPr>
      </w:pPr>
      <w:r w:rsidRPr="29D9FD85">
        <w:rPr>
          <w:rFonts w:eastAsia="Times New Roman"/>
          <w:sz w:val="24"/>
          <w:szCs w:val="24"/>
        </w:rPr>
        <w:lastRenderedPageBreak/>
        <w:t xml:space="preserve">Trans women </w:t>
      </w:r>
      <w:r w:rsidR="45217F36" w:rsidRPr="29D9FD85">
        <w:rPr>
          <w:rFonts w:eastAsia="Times New Roman"/>
          <w:sz w:val="24"/>
          <w:szCs w:val="24"/>
        </w:rPr>
        <w:t xml:space="preserve">experience significant levels of health inequality. </w:t>
      </w:r>
      <w:r w:rsidR="65B6F9FA" w:rsidRPr="29D9FD85">
        <w:rPr>
          <w:rFonts w:eastAsia="Times New Roman"/>
          <w:sz w:val="24"/>
          <w:szCs w:val="24"/>
        </w:rPr>
        <w:t xml:space="preserve"> </w:t>
      </w:r>
      <w:r w:rsidR="350AC230" w:rsidRPr="00DD023D">
        <w:rPr>
          <w:rFonts w:ascii="Calibri" w:eastAsia="Calibri" w:hAnsi="Calibri" w:cs="Calibri"/>
        </w:rPr>
        <w:t xml:space="preserve">A systemic review of research published between 2000 and 2019, from 34 different countries, found that the prevalence of HIV among trans </w:t>
      </w:r>
      <w:r w:rsidR="1FBE2B2C" w:rsidRPr="00DD023D">
        <w:rPr>
          <w:rFonts w:ascii="Calibri" w:eastAsia="Calibri" w:hAnsi="Calibri" w:cs="Calibri"/>
        </w:rPr>
        <w:t>women</w:t>
      </w:r>
      <w:r w:rsidR="350AC230" w:rsidRPr="6B5A0467">
        <w:rPr>
          <w:rFonts w:ascii="Calibri" w:eastAsia="Calibri" w:hAnsi="Calibri" w:cs="Calibri"/>
        </w:rPr>
        <w:t xml:space="preserve"> was 19.9%, making this group 66 times more likely to have HIV than the general public. </w:t>
      </w:r>
      <w:r w:rsidR="33070C55" w:rsidRPr="69A36005">
        <w:rPr>
          <w:rStyle w:val="Refdenotaalpie"/>
          <w:rFonts w:ascii="Calibri" w:eastAsia="Calibri" w:hAnsi="Calibri" w:cs="Calibri"/>
        </w:rPr>
        <w:footnoteReference w:id="30"/>
      </w:r>
      <w:r w:rsidR="350AC230" w:rsidRPr="6B5A0467">
        <w:rPr>
          <w:rFonts w:ascii="Calibri" w:eastAsia="Calibri" w:hAnsi="Calibri" w:cs="Calibri"/>
        </w:rPr>
        <w:t xml:space="preserve"> </w:t>
      </w:r>
      <w:r w:rsidR="4C4B2F72" w:rsidRPr="29D9FD85">
        <w:rPr>
          <w:rFonts w:eastAsia="Times New Roman"/>
          <w:sz w:val="24"/>
          <w:szCs w:val="24"/>
        </w:rPr>
        <w:t xml:space="preserve">In Jamaica, the rate of HIV </w:t>
      </w:r>
      <w:r w:rsidR="053D146F" w:rsidRPr="29D9FD85">
        <w:rPr>
          <w:rFonts w:eastAsia="Times New Roman"/>
          <w:sz w:val="24"/>
          <w:szCs w:val="24"/>
        </w:rPr>
        <w:t>prevalence among trans women is estimated at 25.2%, compared to 1.7% of the general population. Social and health inequalities, including homelessness, were associated with HIV infection among trans women</w:t>
      </w:r>
      <w:r w:rsidR="24875EB5" w:rsidRPr="29D9FD85">
        <w:rPr>
          <w:rFonts w:eastAsia="Times New Roman"/>
          <w:sz w:val="24"/>
          <w:szCs w:val="24"/>
        </w:rPr>
        <w:t>.</w:t>
      </w:r>
      <w:r w:rsidR="4469A2D2" w:rsidRPr="29D9FD85">
        <w:rPr>
          <w:rStyle w:val="Refdenotaalpie"/>
          <w:rFonts w:eastAsia="Times New Roman"/>
          <w:sz w:val="24"/>
          <w:szCs w:val="24"/>
        </w:rPr>
        <w:footnoteReference w:id="31"/>
      </w:r>
      <w:r w:rsidR="5DDCEF27" w:rsidRPr="29D9FD85">
        <w:rPr>
          <w:rFonts w:eastAsia="Times New Roman"/>
          <w:sz w:val="24"/>
          <w:szCs w:val="24"/>
        </w:rPr>
        <w:t xml:space="preserve"> Poor mental health status among trans women is also a major concern. A study of 345 trans women in Rio </w:t>
      </w:r>
      <w:r w:rsidR="7E58D1CB" w:rsidRPr="29D9FD85">
        <w:rPr>
          <w:rFonts w:eastAsia="Times New Roman"/>
          <w:sz w:val="24"/>
          <w:szCs w:val="24"/>
        </w:rPr>
        <w:t>de Jane</w:t>
      </w:r>
      <w:r w:rsidR="7D703B9F" w:rsidRPr="29D9FD85">
        <w:rPr>
          <w:rFonts w:eastAsia="Times New Roman"/>
          <w:sz w:val="24"/>
          <w:szCs w:val="24"/>
        </w:rPr>
        <w:t>i</w:t>
      </w:r>
      <w:r w:rsidR="7E58D1CB" w:rsidRPr="29D9FD85">
        <w:rPr>
          <w:rFonts w:eastAsia="Times New Roman"/>
          <w:sz w:val="24"/>
          <w:szCs w:val="24"/>
        </w:rPr>
        <w:t>ro found that 58% were experiencing depression, 47% had contemplated suicide</w:t>
      </w:r>
      <w:r w:rsidR="13B2C59A" w:rsidRPr="29D9FD85">
        <w:rPr>
          <w:rFonts w:eastAsia="Times New Roman"/>
          <w:sz w:val="24"/>
          <w:szCs w:val="24"/>
        </w:rPr>
        <w:t xml:space="preserve">, </w:t>
      </w:r>
      <w:r w:rsidR="7E58D1CB" w:rsidRPr="29D9FD85">
        <w:rPr>
          <w:rFonts w:eastAsia="Times New Roman"/>
          <w:sz w:val="24"/>
          <w:szCs w:val="24"/>
        </w:rPr>
        <w:t xml:space="preserve">and 27% had attempted suicide. Lack of </w:t>
      </w:r>
      <w:r w:rsidR="21DA41AA" w:rsidRPr="29D9FD85">
        <w:rPr>
          <w:rFonts w:eastAsia="Times New Roman"/>
          <w:sz w:val="24"/>
          <w:szCs w:val="24"/>
        </w:rPr>
        <w:t>access to education, employment</w:t>
      </w:r>
      <w:r w:rsidR="087E89D3" w:rsidRPr="29D9FD85">
        <w:rPr>
          <w:rFonts w:eastAsia="Times New Roman"/>
          <w:sz w:val="24"/>
          <w:szCs w:val="24"/>
        </w:rPr>
        <w:t>,</w:t>
      </w:r>
      <w:r w:rsidR="21DA41AA" w:rsidRPr="29D9FD85">
        <w:rPr>
          <w:rFonts w:eastAsia="Times New Roman"/>
          <w:sz w:val="24"/>
          <w:szCs w:val="24"/>
        </w:rPr>
        <w:t xml:space="preserve"> and housing was closely related to mental health problems</w:t>
      </w:r>
      <w:r w:rsidR="4EC84C46" w:rsidRPr="29D9FD85">
        <w:rPr>
          <w:rFonts w:eastAsia="Times New Roman"/>
          <w:sz w:val="24"/>
          <w:szCs w:val="24"/>
        </w:rPr>
        <w:t>.</w:t>
      </w:r>
      <w:r w:rsidR="4469A2D2" w:rsidRPr="29D9FD85">
        <w:rPr>
          <w:rStyle w:val="Refdenotaalpie"/>
          <w:rFonts w:eastAsia="Times New Roman"/>
          <w:sz w:val="24"/>
          <w:szCs w:val="24"/>
        </w:rPr>
        <w:footnoteReference w:id="32"/>
      </w:r>
      <w:r w:rsidR="21DA41AA" w:rsidRPr="29D9FD85">
        <w:rPr>
          <w:rFonts w:eastAsia="Times New Roman"/>
          <w:sz w:val="24"/>
          <w:szCs w:val="24"/>
        </w:rPr>
        <w:t xml:space="preserve"> </w:t>
      </w:r>
      <w:r w:rsidR="053D146F" w:rsidRPr="29D9FD85">
        <w:rPr>
          <w:rFonts w:eastAsia="Times New Roman"/>
          <w:sz w:val="24"/>
          <w:szCs w:val="24"/>
        </w:rPr>
        <w:t xml:space="preserve"> </w:t>
      </w:r>
      <w:r w:rsidR="7A2C1912" w:rsidRPr="29D9FD85">
        <w:rPr>
          <w:rFonts w:eastAsia="Times New Roman"/>
          <w:sz w:val="24"/>
          <w:szCs w:val="24"/>
        </w:rPr>
        <w:t>Furthermore, r</w:t>
      </w:r>
      <w:r w:rsidR="1776BF0C" w:rsidRPr="29D9FD85">
        <w:rPr>
          <w:rFonts w:eastAsia="Times New Roman"/>
          <w:sz w:val="24"/>
          <w:szCs w:val="24"/>
        </w:rPr>
        <w:t>esearch from the Jiangsu</w:t>
      </w:r>
      <w:r w:rsidR="43E51FD5" w:rsidRPr="29D9FD85">
        <w:rPr>
          <w:rFonts w:eastAsia="Times New Roman"/>
          <w:sz w:val="24"/>
          <w:szCs w:val="24"/>
        </w:rPr>
        <w:t xml:space="preserve"> Province, China, found that trans women reported depressive and anxious thoughts in relation to their lack of access to </w:t>
      </w:r>
      <w:r w:rsidR="545B4DBB" w:rsidRPr="29D9FD85">
        <w:rPr>
          <w:rFonts w:eastAsia="Times New Roman"/>
          <w:sz w:val="24"/>
          <w:szCs w:val="24"/>
        </w:rPr>
        <w:t>gender-affirming healthcare</w:t>
      </w:r>
      <w:r w:rsidR="0801F51F" w:rsidRPr="29D9FD85">
        <w:rPr>
          <w:rFonts w:eastAsia="Times New Roman"/>
          <w:sz w:val="24"/>
          <w:szCs w:val="24"/>
        </w:rPr>
        <w:t>.</w:t>
      </w:r>
      <w:r w:rsidR="33070C55" w:rsidRPr="69A36005">
        <w:rPr>
          <w:rStyle w:val="Refdenotaalpie"/>
          <w:rFonts w:eastAsia="Times New Roman"/>
          <w:sz w:val="24"/>
          <w:szCs w:val="24"/>
        </w:rPr>
        <w:footnoteReference w:id="33"/>
      </w:r>
    </w:p>
    <w:p w14:paraId="50DBDFD3" w14:textId="12416360" w:rsidR="554E07E2" w:rsidRPr="00B02FF1" w:rsidRDefault="4CFC1B08" w:rsidP="00DD023D">
      <w:pPr>
        <w:jc w:val="both"/>
        <w:rPr>
          <w:rFonts w:eastAsia="Times New Roman"/>
          <w:sz w:val="24"/>
          <w:szCs w:val="24"/>
        </w:rPr>
      </w:pPr>
      <w:r w:rsidRPr="69A36005">
        <w:rPr>
          <w:rFonts w:eastAsia="Times New Roman"/>
          <w:sz w:val="24"/>
          <w:szCs w:val="24"/>
        </w:rPr>
        <w:t>Access to healthcare for LBTQ women is impeded</w:t>
      </w:r>
      <w:r w:rsidR="320B172F" w:rsidRPr="69A36005">
        <w:rPr>
          <w:rFonts w:eastAsia="Times New Roman"/>
          <w:sz w:val="24"/>
          <w:szCs w:val="24"/>
        </w:rPr>
        <w:t xml:space="preserve"> by discrimination</w:t>
      </w:r>
      <w:r w:rsidR="5863ED81" w:rsidRPr="69A36005">
        <w:rPr>
          <w:rFonts w:eastAsia="Times New Roman"/>
          <w:sz w:val="24"/>
          <w:szCs w:val="24"/>
        </w:rPr>
        <w:t>,</w:t>
      </w:r>
      <w:r w:rsidR="320B172F" w:rsidRPr="69A36005">
        <w:rPr>
          <w:rFonts w:eastAsia="Times New Roman"/>
          <w:sz w:val="24"/>
          <w:szCs w:val="24"/>
        </w:rPr>
        <w:t xml:space="preserve"> stigmatization</w:t>
      </w:r>
      <w:r w:rsidR="3D3F89EE" w:rsidRPr="69A36005">
        <w:rPr>
          <w:rFonts w:eastAsia="Times New Roman"/>
          <w:sz w:val="24"/>
          <w:szCs w:val="24"/>
        </w:rPr>
        <w:t xml:space="preserve">, </w:t>
      </w:r>
      <w:r w:rsidR="2D90A917" w:rsidRPr="69A36005">
        <w:rPr>
          <w:rFonts w:eastAsia="Times New Roman"/>
          <w:sz w:val="24"/>
          <w:szCs w:val="24"/>
        </w:rPr>
        <w:t xml:space="preserve">and a lack of awareness </w:t>
      </w:r>
      <w:r w:rsidR="320B172F" w:rsidRPr="69A36005">
        <w:rPr>
          <w:rFonts w:eastAsia="Times New Roman"/>
          <w:sz w:val="24"/>
          <w:szCs w:val="24"/>
        </w:rPr>
        <w:t xml:space="preserve">from healthcare </w:t>
      </w:r>
      <w:r w:rsidR="74831BC4" w:rsidRPr="69A36005">
        <w:rPr>
          <w:rFonts w:eastAsia="Times New Roman"/>
          <w:sz w:val="24"/>
          <w:szCs w:val="24"/>
        </w:rPr>
        <w:t>providers</w:t>
      </w:r>
      <w:r w:rsidR="320B172F" w:rsidRPr="69A36005">
        <w:rPr>
          <w:rFonts w:eastAsia="Times New Roman"/>
          <w:sz w:val="24"/>
          <w:szCs w:val="24"/>
        </w:rPr>
        <w:t>.</w:t>
      </w:r>
      <w:r w:rsidR="021BD739" w:rsidRPr="69A36005">
        <w:rPr>
          <w:rFonts w:eastAsia="Times New Roman"/>
          <w:sz w:val="24"/>
          <w:szCs w:val="24"/>
        </w:rPr>
        <w:t xml:space="preserve"> Lesbian and bisexual women are less likely to undergo cervical screening due to the assumption that they will not have had sex with me</w:t>
      </w:r>
      <w:r w:rsidR="7EBE9A62" w:rsidRPr="69A36005">
        <w:rPr>
          <w:rFonts w:eastAsia="Times New Roman"/>
          <w:sz w:val="24"/>
          <w:szCs w:val="24"/>
        </w:rPr>
        <w:t xml:space="preserve">n, though this is not always the case. </w:t>
      </w:r>
      <w:r w:rsidR="2AE3D0EC" w:rsidRPr="69A36005">
        <w:rPr>
          <w:rFonts w:eastAsia="Times New Roman"/>
          <w:sz w:val="24"/>
          <w:szCs w:val="24"/>
        </w:rPr>
        <w:t xml:space="preserve">Lesbian women are also less likely to be </w:t>
      </w:r>
      <w:r w:rsidR="1AA8FD0C" w:rsidRPr="69A36005">
        <w:rPr>
          <w:rFonts w:eastAsia="Times New Roman"/>
          <w:sz w:val="24"/>
          <w:szCs w:val="24"/>
        </w:rPr>
        <w:t>assessed</w:t>
      </w:r>
      <w:r w:rsidR="2AE3D0EC" w:rsidRPr="69A36005">
        <w:rPr>
          <w:rFonts w:eastAsia="Times New Roman"/>
          <w:sz w:val="24"/>
          <w:szCs w:val="24"/>
        </w:rPr>
        <w:t xml:space="preserve"> for intimate partner violence, due to the false assumption that this is not experien</w:t>
      </w:r>
      <w:r w:rsidR="6908F29E" w:rsidRPr="69A36005">
        <w:rPr>
          <w:rFonts w:eastAsia="Times New Roman"/>
          <w:sz w:val="24"/>
          <w:szCs w:val="24"/>
        </w:rPr>
        <w:t>ced by LGBT</w:t>
      </w:r>
      <w:r w:rsidR="5CEBE36F" w:rsidRPr="69A36005">
        <w:rPr>
          <w:rFonts w:eastAsia="Times New Roman"/>
          <w:sz w:val="24"/>
          <w:szCs w:val="24"/>
        </w:rPr>
        <w:t>Q</w:t>
      </w:r>
      <w:r w:rsidR="6908F29E" w:rsidRPr="69A36005">
        <w:rPr>
          <w:rFonts w:eastAsia="Times New Roman"/>
          <w:sz w:val="24"/>
          <w:szCs w:val="24"/>
        </w:rPr>
        <w:t xml:space="preserve"> people</w:t>
      </w:r>
      <w:r w:rsidR="5E8E713C" w:rsidRPr="69A36005">
        <w:rPr>
          <w:rFonts w:eastAsia="Times New Roman"/>
          <w:sz w:val="24"/>
          <w:szCs w:val="24"/>
        </w:rPr>
        <w:t>.</w:t>
      </w:r>
      <w:r w:rsidR="554E07E2" w:rsidRPr="69A36005">
        <w:rPr>
          <w:rStyle w:val="Refdenotaalpie"/>
          <w:rFonts w:eastAsia="Times New Roman"/>
          <w:sz w:val="24"/>
          <w:szCs w:val="24"/>
        </w:rPr>
        <w:footnoteReference w:id="34"/>
      </w:r>
      <w:r w:rsidR="42CD5B14" w:rsidRPr="69A36005">
        <w:rPr>
          <w:rFonts w:eastAsia="Times New Roman"/>
          <w:sz w:val="24"/>
          <w:szCs w:val="24"/>
        </w:rPr>
        <w:t xml:space="preserve"> </w:t>
      </w:r>
      <w:r w:rsidR="043B518D" w:rsidRPr="69A36005">
        <w:rPr>
          <w:rFonts w:eastAsia="Times New Roman"/>
          <w:sz w:val="24"/>
          <w:szCs w:val="24"/>
        </w:rPr>
        <w:t xml:space="preserve"> Research from California also found that healthcare practitioners had poor interpersonal skills and gaps in knowledge in relation to sexual orientation and gender identity.</w:t>
      </w:r>
      <w:r w:rsidR="555C9C07" w:rsidRPr="69A36005">
        <w:rPr>
          <w:rFonts w:eastAsia="Times New Roman"/>
          <w:sz w:val="24"/>
          <w:szCs w:val="24"/>
        </w:rPr>
        <w:t xml:space="preserve"> </w:t>
      </w:r>
      <w:r w:rsidR="5D458B70" w:rsidRPr="69A36005">
        <w:rPr>
          <w:rFonts w:eastAsia="Times New Roman"/>
          <w:sz w:val="24"/>
          <w:szCs w:val="24"/>
        </w:rPr>
        <w:t>Non-inclusive healthcare environments and a lack of lesbian and bisexual</w:t>
      </w:r>
      <w:r w:rsidR="26F9C42F" w:rsidRPr="69A36005">
        <w:rPr>
          <w:rFonts w:eastAsia="Times New Roman"/>
          <w:sz w:val="24"/>
          <w:szCs w:val="24"/>
        </w:rPr>
        <w:t>-friendly providers were</w:t>
      </w:r>
      <w:r w:rsidR="5D458B70" w:rsidRPr="69A36005">
        <w:rPr>
          <w:rFonts w:eastAsia="Times New Roman"/>
          <w:sz w:val="24"/>
          <w:szCs w:val="24"/>
        </w:rPr>
        <w:t xml:space="preserve"> also highlighted</w:t>
      </w:r>
      <w:r w:rsidR="1A16D06C" w:rsidRPr="69A36005">
        <w:rPr>
          <w:rFonts w:eastAsia="Times New Roman"/>
          <w:sz w:val="24"/>
          <w:szCs w:val="24"/>
        </w:rPr>
        <w:t>.</w:t>
      </w:r>
      <w:r w:rsidR="554E07E2" w:rsidRPr="69A36005">
        <w:rPr>
          <w:rStyle w:val="Refdenotaalpie"/>
          <w:rFonts w:eastAsia="Times New Roman"/>
          <w:sz w:val="24"/>
          <w:szCs w:val="24"/>
        </w:rPr>
        <w:footnoteReference w:id="35"/>
      </w:r>
      <w:r w:rsidR="5D458B70" w:rsidRPr="69A36005">
        <w:rPr>
          <w:rFonts w:eastAsia="Times New Roman"/>
          <w:sz w:val="24"/>
          <w:szCs w:val="24"/>
        </w:rPr>
        <w:t xml:space="preserve"> </w:t>
      </w:r>
      <w:r w:rsidR="55BC8407" w:rsidRPr="69A36005">
        <w:rPr>
          <w:rFonts w:eastAsia="Times New Roman"/>
          <w:sz w:val="24"/>
          <w:szCs w:val="24"/>
        </w:rPr>
        <w:t>LBTQ women in Vancouver</w:t>
      </w:r>
      <w:r w:rsidR="33EC4B89" w:rsidRPr="69A36005">
        <w:rPr>
          <w:rFonts w:eastAsia="Times New Roman"/>
          <w:sz w:val="24"/>
          <w:szCs w:val="24"/>
        </w:rPr>
        <w:t>, Canada</w:t>
      </w:r>
      <w:r w:rsidR="0FC4CFBF" w:rsidRPr="69A36005">
        <w:rPr>
          <w:rFonts w:eastAsia="Times New Roman"/>
          <w:sz w:val="24"/>
          <w:szCs w:val="24"/>
        </w:rPr>
        <w:t>, reported experiencing stigma and discrimination in hospitals, including denial of same-sex partner visits.</w:t>
      </w:r>
      <w:r w:rsidR="55BC8407" w:rsidRPr="69A36005">
        <w:rPr>
          <w:rFonts w:eastAsia="Times New Roman"/>
          <w:sz w:val="24"/>
          <w:szCs w:val="24"/>
        </w:rPr>
        <w:t xml:space="preserve"> </w:t>
      </w:r>
      <w:r w:rsidR="7865F528" w:rsidRPr="69A36005">
        <w:rPr>
          <w:rFonts w:eastAsia="Times New Roman"/>
          <w:sz w:val="24"/>
          <w:szCs w:val="24"/>
        </w:rPr>
        <w:t>Trans women also face significant barriers to accessing healthcare due to discrimination</w:t>
      </w:r>
      <w:r w:rsidR="6F9AFC88" w:rsidRPr="69A36005">
        <w:rPr>
          <w:rFonts w:eastAsia="Times New Roman"/>
          <w:sz w:val="24"/>
          <w:szCs w:val="24"/>
        </w:rPr>
        <w:t>.</w:t>
      </w:r>
      <w:r w:rsidR="554E07E2" w:rsidRPr="69A36005">
        <w:rPr>
          <w:rStyle w:val="Refdenotaalpie"/>
          <w:rFonts w:eastAsia="Times New Roman"/>
          <w:sz w:val="24"/>
          <w:szCs w:val="24"/>
        </w:rPr>
        <w:footnoteReference w:id="36"/>
      </w:r>
      <w:r w:rsidR="790335FA" w:rsidRPr="69A36005">
        <w:rPr>
          <w:rFonts w:eastAsia="Times New Roman"/>
          <w:sz w:val="24"/>
          <w:szCs w:val="24"/>
        </w:rPr>
        <w:t xml:space="preserve"> Research from </w:t>
      </w:r>
      <w:r w:rsidR="65886097" w:rsidRPr="69A36005">
        <w:rPr>
          <w:rFonts w:eastAsia="Times New Roman"/>
          <w:sz w:val="24"/>
          <w:szCs w:val="24"/>
        </w:rPr>
        <w:t xml:space="preserve">Kingston, </w:t>
      </w:r>
      <w:r w:rsidR="790335FA" w:rsidRPr="69A36005">
        <w:rPr>
          <w:rFonts w:eastAsia="Times New Roman"/>
          <w:sz w:val="24"/>
          <w:szCs w:val="24"/>
        </w:rPr>
        <w:t>Jamaica highlighted that trans women feared violent victimization when accessing healthcare</w:t>
      </w:r>
      <w:r w:rsidR="5F623CA4" w:rsidRPr="69A36005">
        <w:rPr>
          <w:rFonts w:eastAsia="Times New Roman"/>
          <w:sz w:val="24"/>
          <w:szCs w:val="24"/>
        </w:rPr>
        <w:t xml:space="preserve"> and experienced discrimination and scrutiny when trying to access </w:t>
      </w:r>
      <w:r w:rsidR="7CA99C14" w:rsidRPr="69A36005">
        <w:rPr>
          <w:rFonts w:eastAsia="Times New Roman"/>
          <w:sz w:val="24"/>
          <w:szCs w:val="24"/>
        </w:rPr>
        <w:t>sexual health necessities such as condoms and lube</w:t>
      </w:r>
      <w:r w:rsidR="4A0AD070" w:rsidRPr="69A36005">
        <w:rPr>
          <w:rFonts w:eastAsia="Times New Roman"/>
          <w:sz w:val="24"/>
          <w:szCs w:val="24"/>
        </w:rPr>
        <w:t>.</w:t>
      </w:r>
      <w:r w:rsidR="554E07E2" w:rsidRPr="69A36005">
        <w:rPr>
          <w:rStyle w:val="Refdenotaalpie"/>
          <w:rFonts w:eastAsia="Times New Roman"/>
          <w:sz w:val="24"/>
          <w:szCs w:val="24"/>
        </w:rPr>
        <w:footnoteReference w:id="37"/>
      </w:r>
    </w:p>
    <w:p w14:paraId="737E93A7" w14:textId="2846E29A" w:rsidR="5158DEB1" w:rsidRPr="005607BA" w:rsidRDefault="295D4309" w:rsidP="005607BA">
      <w:pPr>
        <w:jc w:val="both"/>
        <w:rPr>
          <w:rFonts w:eastAsia="Times New Roman"/>
          <w:sz w:val="24"/>
          <w:szCs w:val="24"/>
        </w:rPr>
      </w:pPr>
      <w:r w:rsidRPr="69A36005">
        <w:rPr>
          <w:rFonts w:eastAsia="Times New Roman"/>
          <w:sz w:val="24"/>
          <w:szCs w:val="24"/>
        </w:rPr>
        <w:t xml:space="preserve">Discrimination against LBTQ women by healthcare providers has knock on effects for this community. </w:t>
      </w:r>
      <w:r w:rsidR="5D19BA82" w:rsidRPr="69A36005">
        <w:rPr>
          <w:rFonts w:eastAsia="Times New Roman"/>
          <w:sz w:val="24"/>
          <w:szCs w:val="24"/>
        </w:rPr>
        <w:t xml:space="preserve">Lesbian women are more likely to delay seeking healthcare and often identify fear </w:t>
      </w:r>
      <w:r w:rsidR="5D19BA82" w:rsidRPr="69A36005">
        <w:rPr>
          <w:rFonts w:eastAsia="Times New Roman"/>
          <w:sz w:val="24"/>
          <w:szCs w:val="24"/>
        </w:rPr>
        <w:lastRenderedPageBreak/>
        <w:t xml:space="preserve">of discrimination as a </w:t>
      </w:r>
      <w:r w:rsidR="5FC9717D" w:rsidRPr="69A36005">
        <w:rPr>
          <w:rFonts w:eastAsia="Times New Roman"/>
          <w:sz w:val="24"/>
          <w:szCs w:val="24"/>
        </w:rPr>
        <w:t>primary</w:t>
      </w:r>
      <w:r w:rsidR="5D19BA82" w:rsidRPr="69A36005">
        <w:rPr>
          <w:rFonts w:eastAsia="Times New Roman"/>
          <w:sz w:val="24"/>
          <w:szCs w:val="24"/>
        </w:rPr>
        <w:t xml:space="preserve"> concern in relation to ageing</w:t>
      </w:r>
      <w:r w:rsidR="3F9C83B5" w:rsidRPr="69A36005">
        <w:rPr>
          <w:rFonts w:eastAsia="Times New Roman"/>
          <w:sz w:val="24"/>
          <w:szCs w:val="24"/>
        </w:rPr>
        <w:t>.</w:t>
      </w:r>
      <w:r w:rsidR="6B7B6433" w:rsidRPr="69A36005">
        <w:rPr>
          <w:rStyle w:val="Refdenotaalpie"/>
          <w:rFonts w:eastAsia="Times New Roman"/>
          <w:sz w:val="24"/>
          <w:szCs w:val="24"/>
        </w:rPr>
        <w:footnoteReference w:id="38"/>
      </w:r>
      <w:r w:rsidR="6757F02B" w:rsidRPr="69A36005">
        <w:rPr>
          <w:rFonts w:eastAsia="Times New Roman"/>
          <w:sz w:val="24"/>
          <w:szCs w:val="24"/>
        </w:rPr>
        <w:t xml:space="preserve"> </w:t>
      </w:r>
      <w:r w:rsidR="2265EE05" w:rsidRPr="69A36005">
        <w:rPr>
          <w:rFonts w:eastAsia="Times New Roman"/>
          <w:sz w:val="24"/>
          <w:szCs w:val="24"/>
        </w:rPr>
        <w:t>Research from the United States found that 22.8% of trans women had avoided seeking healthcare due to fear of discrimination. Poverty and a lack of health in</w:t>
      </w:r>
      <w:r w:rsidR="72A5AC5E" w:rsidRPr="69A36005">
        <w:rPr>
          <w:rFonts w:eastAsia="Times New Roman"/>
          <w:sz w:val="24"/>
          <w:szCs w:val="24"/>
        </w:rPr>
        <w:t>surance increased the likelihood of healthcare avoidance, suggesting that socioeconomic status may compound stigmatization for trans women</w:t>
      </w:r>
      <w:r w:rsidR="02BDDB9D" w:rsidRPr="69A36005">
        <w:rPr>
          <w:rFonts w:eastAsia="Times New Roman"/>
          <w:sz w:val="24"/>
          <w:szCs w:val="24"/>
        </w:rPr>
        <w:t>.</w:t>
      </w:r>
      <w:r w:rsidR="6B7B6433" w:rsidRPr="69A36005">
        <w:rPr>
          <w:rStyle w:val="Refdenotaalpie"/>
          <w:rFonts w:eastAsia="Times New Roman"/>
          <w:sz w:val="24"/>
          <w:szCs w:val="24"/>
        </w:rPr>
        <w:footnoteReference w:id="39"/>
      </w:r>
      <w:r w:rsidR="72A5AC5E" w:rsidRPr="69A36005">
        <w:rPr>
          <w:rFonts w:eastAsia="Times New Roman"/>
          <w:sz w:val="24"/>
          <w:szCs w:val="24"/>
        </w:rPr>
        <w:t xml:space="preserve"> </w:t>
      </w:r>
      <w:r w:rsidR="59D10365" w:rsidRPr="69A36005">
        <w:rPr>
          <w:rFonts w:eastAsia="Times New Roman"/>
          <w:sz w:val="24"/>
          <w:szCs w:val="24"/>
        </w:rPr>
        <w:t xml:space="preserve">Overall, </w:t>
      </w:r>
      <w:r w:rsidR="61445C56" w:rsidRPr="69A36005">
        <w:rPr>
          <w:rFonts w:eastAsia="Times New Roman"/>
          <w:sz w:val="24"/>
          <w:szCs w:val="24"/>
        </w:rPr>
        <w:t xml:space="preserve">healthcare avoidance, discrimination from healthcare practitioners and higher levels of risk for mental and physical ill-health, all contribute to the significant inequity </w:t>
      </w:r>
      <w:r w:rsidR="100D6756" w:rsidRPr="69A36005">
        <w:rPr>
          <w:rFonts w:eastAsia="Times New Roman"/>
          <w:sz w:val="24"/>
          <w:szCs w:val="24"/>
        </w:rPr>
        <w:t>faced by</w:t>
      </w:r>
      <w:r w:rsidR="61445C56" w:rsidRPr="69A36005">
        <w:rPr>
          <w:rFonts w:eastAsia="Times New Roman"/>
          <w:sz w:val="24"/>
          <w:szCs w:val="24"/>
        </w:rPr>
        <w:t xml:space="preserve"> </w:t>
      </w:r>
      <w:r w:rsidR="668693EE" w:rsidRPr="69A36005">
        <w:rPr>
          <w:rFonts w:eastAsia="Times New Roman"/>
          <w:sz w:val="24"/>
          <w:szCs w:val="24"/>
        </w:rPr>
        <w:t xml:space="preserve">LBTQ women </w:t>
      </w:r>
      <w:r w:rsidR="103E711B" w:rsidRPr="69A36005">
        <w:rPr>
          <w:rFonts w:eastAsia="Times New Roman"/>
          <w:sz w:val="24"/>
          <w:szCs w:val="24"/>
        </w:rPr>
        <w:t>in relation to healthcare. This</w:t>
      </w:r>
      <w:r w:rsidR="668693EE" w:rsidRPr="69A36005">
        <w:rPr>
          <w:rFonts w:eastAsia="Times New Roman"/>
          <w:sz w:val="24"/>
          <w:szCs w:val="24"/>
        </w:rPr>
        <w:t xml:space="preserve"> is compounded by</w:t>
      </w:r>
      <w:r w:rsidR="0CC60A01" w:rsidRPr="69A36005">
        <w:rPr>
          <w:rFonts w:eastAsia="Times New Roman"/>
          <w:sz w:val="24"/>
          <w:szCs w:val="24"/>
        </w:rPr>
        <w:t xml:space="preserve"> other areas of social inequity, including</w:t>
      </w:r>
      <w:r w:rsidR="668693EE" w:rsidRPr="69A36005">
        <w:rPr>
          <w:rFonts w:eastAsia="Times New Roman"/>
          <w:sz w:val="24"/>
          <w:szCs w:val="24"/>
        </w:rPr>
        <w:t xml:space="preserve"> higher rates of poverty</w:t>
      </w:r>
      <w:r w:rsidR="418F7D67" w:rsidRPr="69A36005">
        <w:rPr>
          <w:rFonts w:eastAsia="Times New Roman"/>
          <w:sz w:val="24"/>
          <w:szCs w:val="24"/>
        </w:rPr>
        <w:t>,</w:t>
      </w:r>
      <w:r w:rsidR="668693EE" w:rsidRPr="69A36005">
        <w:rPr>
          <w:rFonts w:eastAsia="Times New Roman"/>
          <w:sz w:val="24"/>
          <w:szCs w:val="24"/>
        </w:rPr>
        <w:t xml:space="preserve"> and amounts to a threat to the human security of this group. </w:t>
      </w:r>
    </w:p>
    <w:p w14:paraId="63C54259" w14:textId="74357FDE" w:rsidR="4469A2D2" w:rsidRPr="009238D2" w:rsidRDefault="15666985" w:rsidP="00DD023D">
      <w:pPr>
        <w:rPr>
          <w:rFonts w:eastAsiaTheme="minorEastAsia"/>
          <w:b/>
          <w:bCs/>
          <w:sz w:val="28"/>
          <w:szCs w:val="28"/>
        </w:rPr>
      </w:pPr>
      <w:r w:rsidRPr="00DD023D">
        <w:rPr>
          <w:rFonts w:eastAsiaTheme="minorEastAsia"/>
          <w:b/>
          <w:bCs/>
          <w:sz w:val="28"/>
          <w:szCs w:val="28"/>
        </w:rPr>
        <w:t>Other p</w:t>
      </w:r>
      <w:r w:rsidR="3D22D83A" w:rsidRPr="00DD023D">
        <w:rPr>
          <w:rFonts w:eastAsiaTheme="minorEastAsia"/>
          <w:b/>
          <w:bCs/>
          <w:sz w:val="28"/>
          <w:szCs w:val="28"/>
        </w:rPr>
        <w:t>ush factors: increasing the risk of poverty and inequality</w:t>
      </w:r>
    </w:p>
    <w:p w14:paraId="61B5CC10" w14:textId="4046AE65" w:rsidR="00DB4D24" w:rsidRPr="009238D2" w:rsidRDefault="15666985" w:rsidP="29D9FD85">
      <w:pPr>
        <w:jc w:val="both"/>
        <w:rPr>
          <w:rFonts w:ascii="Calibri" w:eastAsia="Times New Roman" w:hAnsi="Calibri" w:cs="Calibri"/>
          <w:sz w:val="24"/>
          <w:szCs w:val="24"/>
        </w:rPr>
      </w:pPr>
      <w:r w:rsidRPr="00DD023D">
        <w:rPr>
          <w:rFonts w:ascii="Calibri" w:eastAsia="Times New Roman" w:hAnsi="Calibri" w:cs="Calibri"/>
          <w:sz w:val="24"/>
          <w:szCs w:val="24"/>
        </w:rPr>
        <w:t xml:space="preserve">Women, especially LBTQ </w:t>
      </w:r>
      <w:r w:rsidR="1A6CCADD" w:rsidRPr="00DD023D">
        <w:rPr>
          <w:rFonts w:ascii="Calibri" w:eastAsia="Times New Roman" w:hAnsi="Calibri" w:cs="Calibri"/>
          <w:sz w:val="24"/>
          <w:szCs w:val="24"/>
        </w:rPr>
        <w:t xml:space="preserve">women </w:t>
      </w:r>
      <w:r w:rsidRPr="00DD023D">
        <w:rPr>
          <w:rFonts w:ascii="Calibri" w:eastAsia="Times New Roman" w:hAnsi="Calibri" w:cs="Calibri"/>
          <w:sz w:val="24"/>
          <w:szCs w:val="24"/>
        </w:rPr>
        <w:t xml:space="preserve">and </w:t>
      </w:r>
      <w:r w:rsidR="06690A90" w:rsidRPr="00DD023D">
        <w:rPr>
          <w:rFonts w:ascii="Calibri" w:eastAsia="Times New Roman" w:hAnsi="Calibri" w:cs="Calibri"/>
          <w:sz w:val="24"/>
          <w:szCs w:val="24"/>
        </w:rPr>
        <w:t>those who</w:t>
      </w:r>
      <w:r w:rsidRPr="00DD023D">
        <w:rPr>
          <w:rFonts w:ascii="Calibri" w:eastAsia="Times New Roman" w:hAnsi="Calibri" w:cs="Calibri"/>
          <w:sz w:val="24"/>
          <w:szCs w:val="24"/>
        </w:rPr>
        <w:t xml:space="preserve"> do not conform to the distinct categories of gender expression according to social and cultural constructs</w:t>
      </w:r>
      <w:r w:rsidR="69BDFA19" w:rsidRPr="00DD023D">
        <w:rPr>
          <w:rFonts w:ascii="Calibri" w:eastAsia="Times New Roman" w:hAnsi="Calibri" w:cs="Calibri"/>
          <w:sz w:val="24"/>
          <w:szCs w:val="24"/>
        </w:rPr>
        <w:t>,</w:t>
      </w:r>
      <w:r w:rsidRPr="00DD023D">
        <w:rPr>
          <w:rFonts w:ascii="Calibri" w:eastAsia="Times New Roman" w:hAnsi="Calibri" w:cs="Calibri"/>
          <w:sz w:val="24"/>
          <w:szCs w:val="24"/>
        </w:rPr>
        <w:t xml:space="preserve"> face discrimination and harassment and are further vulnerable to abuse. Human rights violations and violence against women and girls due to their sexual orientation and gender identity spans from honour killing, corrective rape, physical abuse, forced</w:t>
      </w:r>
      <w:r w:rsidR="5B1DF0BD" w:rsidRPr="00DD023D">
        <w:rPr>
          <w:rFonts w:ascii="Calibri" w:eastAsia="Times New Roman" w:hAnsi="Calibri" w:cs="Calibri"/>
          <w:sz w:val="24"/>
          <w:szCs w:val="24"/>
        </w:rPr>
        <w:t xml:space="preserve"> </w:t>
      </w:r>
      <w:r w:rsidRPr="00DD023D">
        <w:rPr>
          <w:rFonts w:ascii="Calibri" w:eastAsia="Times New Roman" w:hAnsi="Calibri" w:cs="Calibri"/>
          <w:sz w:val="24"/>
          <w:szCs w:val="24"/>
        </w:rPr>
        <w:t>marriage, arbitrary arrests, and forced physical examinations to conversion therapy and psychological trauma.</w:t>
      </w:r>
    </w:p>
    <w:p w14:paraId="207AB604" w14:textId="6109A01D" w:rsidR="009238D2" w:rsidRPr="009238D2" w:rsidRDefault="363707CA" w:rsidP="00DD023D">
      <w:pPr>
        <w:jc w:val="both"/>
        <w:rPr>
          <w:sz w:val="24"/>
          <w:szCs w:val="24"/>
        </w:rPr>
      </w:pPr>
      <w:r w:rsidRPr="009238D2">
        <w:rPr>
          <w:sz w:val="24"/>
          <w:szCs w:val="24"/>
        </w:rPr>
        <w:t>In addition, same-sex sexual relations between consenting adults are criminalized</w:t>
      </w:r>
      <w:r w:rsidR="5F4AA3EA" w:rsidRPr="009238D2">
        <w:rPr>
          <w:sz w:val="24"/>
          <w:szCs w:val="24"/>
        </w:rPr>
        <w:t xml:space="preserve"> by law</w:t>
      </w:r>
      <w:r w:rsidR="3937B405" w:rsidRPr="009238D2">
        <w:rPr>
          <w:sz w:val="24"/>
          <w:szCs w:val="24"/>
        </w:rPr>
        <w:t xml:space="preserve"> </w:t>
      </w:r>
      <w:r w:rsidRPr="00DD023D">
        <w:rPr>
          <w:sz w:val="24"/>
          <w:szCs w:val="24"/>
        </w:rPr>
        <w:t xml:space="preserve">in </w:t>
      </w:r>
      <w:r w:rsidRPr="009238D2">
        <w:rPr>
          <w:sz w:val="24"/>
          <w:szCs w:val="24"/>
        </w:rPr>
        <w:t>6</w:t>
      </w:r>
      <w:r w:rsidR="65B13A4E" w:rsidRPr="009238D2">
        <w:rPr>
          <w:sz w:val="24"/>
          <w:szCs w:val="24"/>
        </w:rPr>
        <w:t>4</w:t>
      </w:r>
      <w:r w:rsidRPr="009238D2">
        <w:rPr>
          <w:sz w:val="24"/>
          <w:szCs w:val="24"/>
        </w:rPr>
        <w:t xml:space="preserve"> </w:t>
      </w:r>
      <w:r w:rsidR="21D60133" w:rsidRPr="009238D2">
        <w:rPr>
          <w:sz w:val="24"/>
          <w:szCs w:val="24"/>
        </w:rPr>
        <w:t>UN member States, a</w:t>
      </w:r>
      <w:r w:rsidR="26AC70B1" w:rsidRPr="009238D2">
        <w:rPr>
          <w:sz w:val="24"/>
          <w:szCs w:val="24"/>
        </w:rPr>
        <w:t>nd</w:t>
      </w:r>
      <w:r w:rsidR="7BB093B4" w:rsidRPr="009238D2">
        <w:rPr>
          <w:sz w:val="24"/>
          <w:szCs w:val="24"/>
        </w:rPr>
        <w:t xml:space="preserve"> de facto</w:t>
      </w:r>
      <w:r w:rsidR="74B06A91" w:rsidRPr="009238D2">
        <w:rPr>
          <w:sz w:val="24"/>
          <w:szCs w:val="24"/>
        </w:rPr>
        <w:t xml:space="preserve"> in</w:t>
      </w:r>
      <w:r w:rsidR="26AC70B1" w:rsidRPr="009238D2">
        <w:rPr>
          <w:sz w:val="24"/>
          <w:szCs w:val="24"/>
        </w:rPr>
        <w:t xml:space="preserve"> 2</w:t>
      </w:r>
      <w:r w:rsidRPr="009238D2">
        <w:rPr>
          <w:sz w:val="24"/>
          <w:szCs w:val="24"/>
        </w:rPr>
        <w:t xml:space="preserve">, including </w:t>
      </w:r>
      <w:r w:rsidR="4AC850B8" w:rsidRPr="009238D2">
        <w:rPr>
          <w:sz w:val="24"/>
          <w:szCs w:val="24"/>
        </w:rPr>
        <w:t>at least 38 countries</w:t>
      </w:r>
      <w:r w:rsidR="009238D2" w:rsidRPr="00DD023D">
        <w:rPr>
          <w:rStyle w:val="Refdenotaalpie"/>
          <w:sz w:val="24"/>
          <w:szCs w:val="24"/>
        </w:rPr>
        <w:footnoteReference w:id="40"/>
      </w:r>
      <w:r w:rsidRPr="009238D2">
        <w:rPr>
          <w:sz w:val="24"/>
          <w:szCs w:val="24"/>
        </w:rPr>
        <w:t xml:space="preserve"> that criminalize such relations between women; penalties include the death penalty and imprisonment</w:t>
      </w:r>
      <w:r w:rsidR="009238D2" w:rsidRPr="009238D2">
        <w:rPr>
          <w:rStyle w:val="Refdenotaalpie"/>
          <w:sz w:val="24"/>
          <w:szCs w:val="24"/>
        </w:rPr>
        <w:footnoteReference w:id="41"/>
      </w:r>
      <w:r w:rsidRPr="009238D2">
        <w:rPr>
          <w:sz w:val="24"/>
          <w:szCs w:val="24"/>
        </w:rPr>
        <w:t>. Many countries also criminalize sex work and certain forms of gender expression that disproportionately affect trans women</w:t>
      </w:r>
      <w:r w:rsidR="7B4F95C5" w:rsidRPr="009238D2">
        <w:rPr>
          <w:sz w:val="24"/>
          <w:szCs w:val="24"/>
        </w:rPr>
        <w:t xml:space="preserve"> </w:t>
      </w:r>
      <w:r w:rsidR="1F6CB2A5" w:rsidRPr="009238D2">
        <w:rPr>
          <w:sz w:val="24"/>
          <w:szCs w:val="24"/>
        </w:rPr>
        <w:t>and</w:t>
      </w:r>
      <w:r w:rsidRPr="009238D2">
        <w:rPr>
          <w:sz w:val="24"/>
          <w:szCs w:val="24"/>
        </w:rPr>
        <w:t xml:space="preserve"> impoverished sex workers.</w:t>
      </w:r>
      <w:r w:rsidR="37F1A29A" w:rsidRPr="009238D2">
        <w:rPr>
          <w:sz w:val="24"/>
          <w:szCs w:val="24"/>
        </w:rPr>
        <w:t xml:space="preserve"> </w:t>
      </w:r>
      <w:r w:rsidR="37F1A29A" w:rsidRPr="00DD023D">
        <w:rPr>
          <w:rFonts w:ascii="Calibri" w:eastAsia="Calibri" w:hAnsi="Calibri" w:cs="Calibri"/>
          <w:sz w:val="24"/>
          <w:szCs w:val="24"/>
        </w:rPr>
        <w:t>ILGA World notes that the limited data available shows that in 2021 at least 29 UN Member States actively enforced criminalising provisions, but the actual figure could be much higher. In a report conducted by ILGA World in 72 jurisdictions in 2021, at least 44 were documented to have actively targeted persons on the basis of SOGIE status the last three years</w:t>
      </w:r>
      <w:r w:rsidR="009238D2" w:rsidRPr="00DD023D">
        <w:rPr>
          <w:rStyle w:val="Refdenotaalpie"/>
          <w:rFonts w:ascii="Calibri" w:eastAsia="Calibri" w:hAnsi="Calibri" w:cs="Calibri"/>
          <w:sz w:val="24"/>
          <w:szCs w:val="24"/>
        </w:rPr>
        <w:footnoteReference w:id="42"/>
      </w:r>
      <w:r w:rsidR="4FFF65C4" w:rsidRPr="00DD023D">
        <w:rPr>
          <w:rFonts w:ascii="Calibri" w:eastAsia="Calibri" w:hAnsi="Calibri" w:cs="Calibri"/>
          <w:sz w:val="24"/>
          <w:szCs w:val="24"/>
        </w:rPr>
        <w:t xml:space="preserve">. </w:t>
      </w:r>
      <w:r w:rsidRPr="009238D2">
        <w:rPr>
          <w:sz w:val="24"/>
          <w:szCs w:val="24"/>
        </w:rPr>
        <w:t xml:space="preserve"> This criminalization and its consequences often expose women to society's margins, which means insecure neighborhoods, proximity to organized crime and illicit economies,</w:t>
      </w:r>
      <w:r>
        <w:rPr>
          <w:sz w:val="24"/>
          <w:szCs w:val="24"/>
        </w:rPr>
        <w:t xml:space="preserve"> risk of poverty,</w:t>
      </w:r>
      <w:r w:rsidRPr="009238D2">
        <w:rPr>
          <w:sz w:val="24"/>
          <w:szCs w:val="24"/>
        </w:rPr>
        <w:t xml:space="preserve"> lack of services and law enforcement, etc. </w:t>
      </w:r>
    </w:p>
    <w:p w14:paraId="0AB0948E" w14:textId="7435AC03" w:rsidR="00DB4D24" w:rsidRPr="00912FD2" w:rsidRDefault="1BC3823C" w:rsidP="00DD023D">
      <w:pPr>
        <w:jc w:val="both"/>
        <w:rPr>
          <w:rFonts w:eastAsiaTheme="minorEastAsia"/>
          <w:b/>
          <w:bCs/>
          <w:sz w:val="24"/>
          <w:szCs w:val="24"/>
        </w:rPr>
      </w:pPr>
      <w:r w:rsidRPr="00DD023D">
        <w:rPr>
          <w:rFonts w:eastAsiaTheme="minorEastAsia"/>
          <w:b/>
          <w:bCs/>
          <w:sz w:val="28"/>
          <w:szCs w:val="28"/>
        </w:rPr>
        <w:lastRenderedPageBreak/>
        <w:t>The landscape in Sri Lanka for LBTQ women: Criminalization of same-sex relations</w:t>
      </w:r>
      <w:r w:rsidR="00DB4D24" w:rsidRPr="00DD023D">
        <w:rPr>
          <w:rStyle w:val="Refdenotaalpie"/>
          <w:rFonts w:eastAsiaTheme="minorEastAsia"/>
          <w:b/>
          <w:bCs/>
          <w:sz w:val="24"/>
          <w:szCs w:val="24"/>
        </w:rPr>
        <w:footnoteReference w:id="43"/>
      </w:r>
    </w:p>
    <w:p w14:paraId="70CFEEC2" w14:textId="5C047E07" w:rsidR="00DB4D24" w:rsidRPr="00DB4D24" w:rsidRDefault="1BC3823C" w:rsidP="00DD023D">
      <w:pPr>
        <w:pStyle w:val="NormalWeb"/>
        <w:spacing w:before="0" w:beforeAutospacing="0" w:after="0" w:afterAutospacing="0"/>
        <w:jc w:val="both"/>
        <w:rPr>
          <w:rFonts w:ascii="Calibri" w:hAnsi="Calibri" w:cs="Calibri"/>
          <w:lang w:val="en-US"/>
        </w:rPr>
      </w:pPr>
      <w:r w:rsidRPr="00DB4D24">
        <w:rPr>
          <w:rFonts w:ascii="Calibri" w:hAnsi="Calibri" w:cs="Calibri"/>
          <w:shd w:val="clear" w:color="auto" w:fill="FFFFFF"/>
          <w:lang w:val="en-US"/>
        </w:rPr>
        <w:t xml:space="preserve">Same-sex relations are prohibited by the Penal Code of Sri Lanka 1833. </w:t>
      </w:r>
      <w:r w:rsidRPr="00DB4D24">
        <w:rPr>
          <w:rFonts w:ascii="Calibri" w:hAnsi="Calibri" w:cs="Calibri"/>
          <w:lang w:val="en-US"/>
        </w:rPr>
        <w:t xml:space="preserve">While Section 365 criminalizes </w:t>
      </w:r>
      <w:r w:rsidRPr="00DD023D">
        <w:rPr>
          <w:rFonts w:ascii="Calibri" w:hAnsi="Calibri" w:cs="Calibri"/>
          <w:i/>
          <w:iCs/>
          <w:lang w:val="en-US"/>
        </w:rPr>
        <w:t xml:space="preserve">“carnal intercourse against the order of nature,” </w:t>
      </w:r>
      <w:r w:rsidRPr="00DB4D24">
        <w:rPr>
          <w:rFonts w:ascii="Calibri" w:hAnsi="Calibri" w:cs="Calibri"/>
          <w:lang w:val="en-US"/>
        </w:rPr>
        <w:t xml:space="preserve">Section 365A criminalizes acts of </w:t>
      </w:r>
      <w:r w:rsidRPr="00DD023D">
        <w:rPr>
          <w:rFonts w:ascii="Calibri" w:hAnsi="Calibri" w:cs="Calibri"/>
          <w:i/>
          <w:iCs/>
          <w:lang w:val="en-US"/>
        </w:rPr>
        <w:t xml:space="preserve">“gross indecency” </w:t>
      </w:r>
      <w:r w:rsidRPr="00DB4D24">
        <w:rPr>
          <w:rFonts w:ascii="Calibri" w:hAnsi="Calibri" w:cs="Calibri"/>
          <w:lang w:val="en-US"/>
        </w:rPr>
        <w:t>between persons</w:t>
      </w:r>
      <w:r w:rsidR="7567B06C" w:rsidRPr="00DB4D24">
        <w:rPr>
          <w:rFonts w:ascii="Calibri" w:hAnsi="Calibri" w:cs="Calibri"/>
          <w:lang w:val="en-US"/>
        </w:rPr>
        <w:t xml:space="preserve">, </w:t>
      </w:r>
      <w:r w:rsidRPr="00DB4D24">
        <w:rPr>
          <w:rFonts w:ascii="Calibri" w:hAnsi="Calibri" w:cs="Calibri"/>
          <w:lang w:val="en-US"/>
        </w:rPr>
        <w:t xml:space="preserve">and both offenses impose imprisonment and/or fines on the offender if found guilty. </w:t>
      </w:r>
      <w:r w:rsidRPr="00DB4D24">
        <w:rPr>
          <w:rFonts w:ascii="Calibri" w:hAnsi="Calibri" w:cs="Calibri"/>
          <w:shd w:val="clear" w:color="auto" w:fill="FFFFFF"/>
          <w:lang w:val="en-US"/>
        </w:rPr>
        <w:t xml:space="preserve">Section 365A originally criminalized </w:t>
      </w:r>
      <w:r w:rsidRPr="00DD023D">
        <w:rPr>
          <w:rFonts w:ascii="Calibri" w:hAnsi="Calibri" w:cs="Calibri"/>
          <w:i/>
          <w:iCs/>
          <w:shd w:val="clear" w:color="auto" w:fill="FFFFFF"/>
          <w:lang w:val="en-US"/>
        </w:rPr>
        <w:t xml:space="preserve">“any act of gross indecency” </w:t>
      </w:r>
      <w:r w:rsidRPr="00DB4D24">
        <w:rPr>
          <w:rFonts w:ascii="Calibri" w:hAnsi="Calibri" w:cs="Calibri"/>
          <w:shd w:val="clear" w:color="auto" w:fill="FFFFFF"/>
          <w:lang w:val="en-US"/>
        </w:rPr>
        <w:t xml:space="preserve">between males. However, in 1995, the provision was amended to replace the term </w:t>
      </w:r>
      <w:r w:rsidRPr="00DD023D">
        <w:rPr>
          <w:rFonts w:ascii="Calibri" w:hAnsi="Calibri" w:cs="Calibri"/>
          <w:i/>
          <w:iCs/>
          <w:shd w:val="clear" w:color="auto" w:fill="FFFFFF"/>
          <w:lang w:val="en-US"/>
        </w:rPr>
        <w:t xml:space="preserve">“male person” </w:t>
      </w:r>
      <w:r w:rsidRPr="00DB4D24">
        <w:rPr>
          <w:rFonts w:ascii="Calibri" w:hAnsi="Calibri" w:cs="Calibri"/>
          <w:shd w:val="clear" w:color="auto" w:fill="FFFFFF"/>
          <w:lang w:val="en-US"/>
        </w:rPr>
        <w:t xml:space="preserve">to </w:t>
      </w:r>
      <w:r w:rsidRPr="00DD023D">
        <w:rPr>
          <w:rFonts w:ascii="Calibri" w:hAnsi="Calibri" w:cs="Calibri"/>
          <w:i/>
          <w:iCs/>
          <w:shd w:val="clear" w:color="auto" w:fill="FFFFFF"/>
          <w:lang w:val="en-US"/>
        </w:rPr>
        <w:t>“person,”</w:t>
      </w:r>
      <w:r w:rsidRPr="00DB4D24">
        <w:rPr>
          <w:rFonts w:ascii="Calibri" w:hAnsi="Calibri" w:cs="Calibri"/>
          <w:shd w:val="clear" w:color="auto" w:fill="FFFFFF"/>
          <w:lang w:val="en-US"/>
        </w:rPr>
        <w:t xml:space="preserve"> thereby making the section gender</w:t>
      </w:r>
      <w:r w:rsidR="2A31CE08" w:rsidRPr="00DB4D24">
        <w:rPr>
          <w:rFonts w:ascii="Calibri" w:hAnsi="Calibri" w:cs="Calibri"/>
          <w:shd w:val="clear" w:color="auto" w:fill="FFFFFF"/>
          <w:lang w:val="en-US"/>
        </w:rPr>
        <w:t>-</w:t>
      </w:r>
      <w:r w:rsidRPr="00DB4D24">
        <w:rPr>
          <w:rFonts w:ascii="Calibri" w:hAnsi="Calibri" w:cs="Calibri"/>
          <w:shd w:val="clear" w:color="auto" w:fill="FFFFFF"/>
          <w:lang w:val="en-US"/>
        </w:rPr>
        <w:t xml:space="preserve">neutral by </w:t>
      </w:r>
      <w:r w:rsidRPr="00DB4D24">
        <w:rPr>
          <w:rFonts w:ascii="Calibri" w:hAnsi="Calibri" w:cs="Calibri"/>
          <w:lang w:val="en-US"/>
        </w:rPr>
        <w:t xml:space="preserve">criminalizing </w:t>
      </w:r>
      <w:r w:rsidRPr="00DB4D24">
        <w:rPr>
          <w:rFonts w:ascii="Calibri" w:hAnsi="Calibri" w:cs="Calibri"/>
          <w:shd w:val="clear" w:color="auto" w:fill="FFFFFF"/>
          <w:lang w:val="en-US"/>
        </w:rPr>
        <w:t>women who engage in consensual same-sex sexual conduct by expanding the scope of application of this law.</w:t>
      </w:r>
      <w:r w:rsidR="00DB4D24">
        <w:rPr>
          <w:rStyle w:val="Refdenotaalpie"/>
          <w:rFonts w:ascii="Calibri" w:hAnsi="Calibri" w:cs="Calibri"/>
          <w:shd w:val="clear" w:color="auto" w:fill="FFFFFF"/>
          <w:lang w:val="en-US"/>
        </w:rPr>
        <w:footnoteReference w:id="44"/>
      </w:r>
    </w:p>
    <w:p w14:paraId="455E9D04" w14:textId="5C047E07" w:rsidR="00DB4D24" w:rsidRPr="00DB4D24" w:rsidRDefault="1BC3823C" w:rsidP="29D9FD85">
      <w:pPr>
        <w:pStyle w:val="NormalWeb"/>
        <w:spacing w:before="0" w:beforeAutospacing="0" w:after="0" w:afterAutospacing="0"/>
        <w:jc w:val="both"/>
        <w:rPr>
          <w:rFonts w:ascii="Calibri" w:hAnsi="Calibri" w:cs="Calibri"/>
          <w:lang w:val="en-US"/>
        </w:rPr>
      </w:pPr>
      <w:r w:rsidRPr="00DB4D24">
        <w:rPr>
          <w:rFonts w:ascii="Calibri" w:hAnsi="Calibri" w:cs="Calibri"/>
          <w:shd w:val="clear" w:color="auto" w:fill="FFFFFF"/>
          <w:lang w:val="en-US"/>
        </w:rPr>
        <w:t> </w:t>
      </w:r>
    </w:p>
    <w:p w14:paraId="59BA6E0E" w14:textId="05B1A07D" w:rsidR="00DB4D24" w:rsidRPr="00DB4D24" w:rsidRDefault="1BC3823C" w:rsidP="00DD023D">
      <w:pPr>
        <w:pStyle w:val="NormalWeb"/>
        <w:spacing w:before="0" w:beforeAutospacing="0" w:after="0" w:afterAutospacing="0"/>
        <w:jc w:val="both"/>
        <w:rPr>
          <w:rFonts w:ascii="Calibri" w:hAnsi="Calibri" w:cs="Calibri"/>
          <w:lang w:val="en-US"/>
        </w:rPr>
      </w:pPr>
      <w:r w:rsidRPr="00DB4D24">
        <w:rPr>
          <w:rFonts w:ascii="Calibri" w:hAnsi="Calibri" w:cs="Calibri"/>
          <w:shd w:val="clear" w:color="auto" w:fill="FFFFFF"/>
          <w:lang w:val="en-US"/>
        </w:rPr>
        <w:t xml:space="preserve">The law does not only criminalize same-sex sexual conduct, </w:t>
      </w:r>
      <w:r w:rsidR="25497AD2" w:rsidRPr="00DB4D24">
        <w:rPr>
          <w:rFonts w:ascii="Calibri" w:hAnsi="Calibri" w:cs="Calibri"/>
          <w:shd w:val="clear" w:color="auto" w:fill="FFFFFF"/>
          <w:lang w:val="en-US"/>
        </w:rPr>
        <w:t>but it also</w:t>
      </w:r>
      <w:r w:rsidRPr="00DB4D24">
        <w:rPr>
          <w:rFonts w:ascii="Calibri" w:hAnsi="Calibri" w:cs="Calibri"/>
          <w:shd w:val="clear" w:color="auto" w:fill="FFFFFF"/>
          <w:lang w:val="en-US"/>
        </w:rPr>
        <w:t xml:space="preserve"> invites discrimination and gender</w:t>
      </w:r>
      <w:r w:rsidR="7766A02E" w:rsidRPr="00DB4D24">
        <w:rPr>
          <w:rFonts w:ascii="Calibri" w:hAnsi="Calibri" w:cs="Calibri"/>
          <w:shd w:val="clear" w:color="auto" w:fill="FFFFFF"/>
          <w:lang w:val="en-US"/>
        </w:rPr>
        <w:t>-</w:t>
      </w:r>
      <w:r w:rsidRPr="00DB4D24">
        <w:rPr>
          <w:rFonts w:ascii="Calibri" w:hAnsi="Calibri" w:cs="Calibri"/>
          <w:shd w:val="clear" w:color="auto" w:fill="FFFFFF"/>
          <w:lang w:val="en-US"/>
        </w:rPr>
        <w:t xml:space="preserve">based </w:t>
      </w:r>
      <w:r w:rsidR="15666985">
        <w:rPr>
          <w:rFonts w:ascii="Calibri" w:hAnsi="Calibri" w:cs="Calibri"/>
          <w:shd w:val="clear" w:color="auto" w:fill="FFFFFF"/>
          <w:lang w:val="en-US"/>
        </w:rPr>
        <w:t>violence against lesbian and bi</w:t>
      </w:r>
      <w:r w:rsidRPr="00DB4D24">
        <w:rPr>
          <w:rFonts w:ascii="Calibri" w:hAnsi="Calibri" w:cs="Calibri"/>
          <w:shd w:val="clear" w:color="auto" w:fill="FFFFFF"/>
          <w:lang w:val="en-US"/>
        </w:rPr>
        <w:t xml:space="preserve">sexual women. This also means that </w:t>
      </w:r>
      <w:r w:rsidR="222A18A0" w:rsidRPr="00DB4D24">
        <w:rPr>
          <w:rFonts w:ascii="Calibri" w:hAnsi="Calibri" w:cs="Calibri"/>
          <w:shd w:val="clear" w:color="auto" w:fill="FFFFFF"/>
          <w:lang w:val="en-US"/>
        </w:rPr>
        <w:t xml:space="preserve">the </w:t>
      </w:r>
      <w:r w:rsidRPr="00DB4D24">
        <w:rPr>
          <w:rFonts w:ascii="Calibri" w:hAnsi="Calibri" w:cs="Calibri"/>
          <w:shd w:val="clear" w:color="auto" w:fill="FFFFFF"/>
          <w:lang w:val="en-US"/>
        </w:rPr>
        <w:t>harassment and targeting</w:t>
      </w:r>
      <w:r w:rsidR="20638D6F" w:rsidRPr="00DB4D24">
        <w:rPr>
          <w:rFonts w:ascii="Calibri" w:hAnsi="Calibri" w:cs="Calibri"/>
          <w:shd w:val="clear" w:color="auto" w:fill="FFFFFF"/>
          <w:lang w:val="en-US"/>
        </w:rPr>
        <w:t xml:space="preserve"> of</w:t>
      </w:r>
      <w:r w:rsidRPr="00DB4D24">
        <w:rPr>
          <w:rFonts w:ascii="Calibri" w:hAnsi="Calibri" w:cs="Calibri"/>
          <w:shd w:val="clear" w:color="auto" w:fill="FFFFFF"/>
          <w:lang w:val="en-US"/>
        </w:rPr>
        <w:t xml:space="preserve"> lesbian, bisexual and trans women </w:t>
      </w:r>
      <w:r w:rsidR="682B00AB" w:rsidRPr="00DB4D24">
        <w:rPr>
          <w:rFonts w:ascii="Calibri" w:hAnsi="Calibri" w:cs="Calibri"/>
          <w:shd w:val="clear" w:color="auto" w:fill="FFFFFF"/>
          <w:lang w:val="en-US"/>
        </w:rPr>
        <w:t>are</w:t>
      </w:r>
      <w:r w:rsidRPr="00DB4D24">
        <w:rPr>
          <w:rFonts w:ascii="Calibri" w:hAnsi="Calibri" w:cs="Calibri"/>
          <w:shd w:val="clear" w:color="auto" w:fill="FFFFFF"/>
          <w:lang w:val="en-US"/>
        </w:rPr>
        <w:t xml:space="preserve"> acceptable</w:t>
      </w:r>
      <w:r w:rsidR="64782E3A" w:rsidRPr="00DB4D24">
        <w:rPr>
          <w:rFonts w:ascii="Calibri" w:hAnsi="Calibri" w:cs="Calibri"/>
          <w:shd w:val="clear" w:color="auto" w:fill="FFFFFF"/>
          <w:lang w:val="en-US"/>
        </w:rPr>
        <w:t>,</w:t>
      </w:r>
      <w:r w:rsidRPr="00DB4D24">
        <w:rPr>
          <w:rFonts w:ascii="Calibri" w:hAnsi="Calibri" w:cs="Calibri"/>
          <w:shd w:val="clear" w:color="auto" w:fill="FFFFFF"/>
          <w:lang w:val="en-US"/>
        </w:rPr>
        <w:t xml:space="preserve"> as the law still treats them as criminals. </w:t>
      </w:r>
    </w:p>
    <w:p w14:paraId="148C11BA" w14:textId="77777777" w:rsidR="00912FD2" w:rsidRPr="00DB4D24" w:rsidRDefault="00912FD2" w:rsidP="00DB4D24">
      <w:pPr>
        <w:jc w:val="both"/>
        <w:rPr>
          <w:rFonts w:ascii="Calibri" w:hAnsi="Calibri" w:cs="Calibri"/>
          <w:sz w:val="24"/>
          <w:szCs w:val="24"/>
        </w:rPr>
      </w:pPr>
    </w:p>
    <w:p w14:paraId="51B5EB89" w14:textId="3760E6D4" w:rsidR="00DB4D24" w:rsidRPr="00DB4D24" w:rsidRDefault="00DB4D24" w:rsidP="00DB4D24">
      <w:pPr>
        <w:pStyle w:val="NormalWeb"/>
        <w:spacing w:before="0" w:beforeAutospacing="0" w:after="0" w:afterAutospacing="0"/>
        <w:jc w:val="both"/>
        <w:rPr>
          <w:rFonts w:ascii="Calibri" w:hAnsi="Calibri" w:cs="Calibri"/>
          <w:lang w:val="en-US"/>
        </w:rPr>
      </w:pPr>
      <w:r w:rsidRPr="00DB4D24">
        <w:rPr>
          <w:rFonts w:ascii="Calibri" w:hAnsi="Calibri" w:cs="Calibri"/>
          <w:b/>
          <w:bCs/>
          <w:u w:val="single"/>
          <w:shd w:val="clear" w:color="auto" w:fill="FFFFFF"/>
          <w:lang w:val="en-US"/>
        </w:rPr>
        <w:t>Discrimination and V</w:t>
      </w:r>
      <w:r w:rsidR="00912FD2">
        <w:rPr>
          <w:rFonts w:ascii="Calibri" w:hAnsi="Calibri" w:cs="Calibri"/>
          <w:b/>
          <w:bCs/>
          <w:u w:val="single"/>
          <w:shd w:val="clear" w:color="auto" w:fill="FFFFFF"/>
          <w:lang w:val="en-US"/>
        </w:rPr>
        <w:t>iolence faced by lesbian and bi</w:t>
      </w:r>
      <w:r w:rsidRPr="00DB4D24">
        <w:rPr>
          <w:rFonts w:ascii="Calibri" w:hAnsi="Calibri" w:cs="Calibri"/>
          <w:b/>
          <w:bCs/>
          <w:u w:val="single"/>
          <w:shd w:val="clear" w:color="auto" w:fill="FFFFFF"/>
          <w:lang w:val="en-US"/>
        </w:rPr>
        <w:t>sexual women</w:t>
      </w:r>
    </w:p>
    <w:p w14:paraId="2C5C7237" w14:textId="115AACD6" w:rsidR="00DB4D24" w:rsidRPr="00DB4D24" w:rsidRDefault="00DB4D24" w:rsidP="00DB4D24">
      <w:pPr>
        <w:jc w:val="both"/>
        <w:rPr>
          <w:rFonts w:ascii="Calibri" w:hAnsi="Calibri" w:cs="Calibri"/>
          <w:sz w:val="24"/>
          <w:szCs w:val="24"/>
        </w:rPr>
      </w:pPr>
      <w:r>
        <w:br/>
      </w:r>
      <w:r w:rsidR="15666985" w:rsidRPr="00DD023D">
        <w:rPr>
          <w:rFonts w:ascii="Calibri" w:hAnsi="Calibri" w:cs="Calibri"/>
          <w:sz w:val="24"/>
          <w:szCs w:val="24"/>
        </w:rPr>
        <w:t xml:space="preserve">Coming out as a lesbian or bisexual woman to one's family in Sri Lanka may cause a backlash among the family members </w:t>
      </w:r>
      <w:r w:rsidR="684AD531" w:rsidRPr="00DD023D">
        <w:rPr>
          <w:rFonts w:ascii="Calibri" w:hAnsi="Calibri" w:cs="Calibri"/>
          <w:sz w:val="24"/>
          <w:szCs w:val="24"/>
        </w:rPr>
        <w:t>and</w:t>
      </w:r>
      <w:r w:rsidR="15666985" w:rsidRPr="00DD023D">
        <w:rPr>
          <w:rFonts w:ascii="Calibri" w:hAnsi="Calibri" w:cs="Calibri"/>
          <w:sz w:val="24"/>
          <w:szCs w:val="24"/>
        </w:rPr>
        <w:t xml:space="preserve"> sometimes result in extreme harassment</w:t>
      </w:r>
      <w:r w:rsidR="2D71DF60" w:rsidRPr="00DD023D">
        <w:rPr>
          <w:rFonts w:ascii="Calibri" w:hAnsi="Calibri" w:cs="Calibri"/>
          <w:sz w:val="24"/>
          <w:szCs w:val="24"/>
        </w:rPr>
        <w:t>.</w:t>
      </w:r>
      <w:r w:rsidR="64B70F24" w:rsidRPr="00DD023D">
        <w:rPr>
          <w:rFonts w:ascii="Calibri" w:hAnsi="Calibri" w:cs="Calibri"/>
          <w:sz w:val="24"/>
          <w:szCs w:val="24"/>
        </w:rPr>
        <w:t xml:space="preserve"> </w:t>
      </w:r>
      <w:r w:rsidR="675ABBA2" w:rsidRPr="00DD023D">
        <w:rPr>
          <w:rFonts w:ascii="Calibri" w:hAnsi="Calibri" w:cs="Calibri"/>
          <w:sz w:val="24"/>
          <w:szCs w:val="24"/>
        </w:rPr>
        <w:t>O</w:t>
      </w:r>
      <w:r w:rsidR="15666985" w:rsidRPr="00DD023D">
        <w:rPr>
          <w:rFonts w:ascii="Calibri" w:hAnsi="Calibri" w:cs="Calibri"/>
          <w:sz w:val="24"/>
          <w:szCs w:val="24"/>
        </w:rPr>
        <w:t>ften young girls are forced into conversion therapy and psychiatric evaluations against their will.</w:t>
      </w:r>
    </w:p>
    <w:p w14:paraId="71967E38" w14:textId="41A15548" w:rsidR="00DB4D24" w:rsidRPr="00DB4D24" w:rsidRDefault="1BC3823C" w:rsidP="00DD023D">
      <w:pPr>
        <w:pStyle w:val="NormalWeb"/>
        <w:spacing w:before="0" w:beforeAutospacing="0" w:after="0" w:afterAutospacing="0"/>
        <w:jc w:val="both"/>
        <w:rPr>
          <w:rFonts w:ascii="Calibri" w:hAnsi="Calibri" w:cs="Calibri"/>
          <w:lang w:val="en-US"/>
        </w:rPr>
      </w:pPr>
      <w:r w:rsidRPr="00DB4D24">
        <w:rPr>
          <w:rFonts w:ascii="Calibri" w:hAnsi="Calibri" w:cs="Calibri"/>
          <w:u w:val="single"/>
          <w:lang w:val="en-US"/>
        </w:rPr>
        <w:t xml:space="preserve">Example 1: </w:t>
      </w:r>
      <w:r w:rsidRPr="00DB4D24">
        <w:rPr>
          <w:rFonts w:ascii="Calibri" w:hAnsi="Calibri" w:cs="Calibri"/>
          <w:lang w:val="en-US"/>
        </w:rPr>
        <w:t>A case was filed against a lesbian woman by her parents seeking a court declaration that their daughter was mentally ill due to her sexual orientation. It was also reported that the 22-year-old girl had been illegally confined at her home by her parents</w:t>
      </w:r>
      <w:r w:rsidR="67998BF8" w:rsidRPr="00DB4D24">
        <w:rPr>
          <w:rFonts w:ascii="Calibri" w:hAnsi="Calibri" w:cs="Calibri"/>
          <w:lang w:val="en-US"/>
        </w:rPr>
        <w:t>,</w:t>
      </w:r>
      <w:r w:rsidRPr="00DB4D24">
        <w:rPr>
          <w:rFonts w:ascii="Calibri" w:hAnsi="Calibri" w:cs="Calibri"/>
          <w:lang w:val="en-US"/>
        </w:rPr>
        <w:t xml:space="preserve"> where she was subjected to abuse and harassment. The court later dismissed the application.</w:t>
      </w:r>
      <w:r w:rsidR="00DB4D24">
        <w:rPr>
          <w:rStyle w:val="Refdenotaalpie"/>
          <w:rFonts w:ascii="Calibri" w:hAnsi="Calibri" w:cs="Calibri"/>
        </w:rPr>
        <w:footnoteReference w:id="45"/>
      </w:r>
    </w:p>
    <w:p w14:paraId="35752D2B" w14:textId="77777777" w:rsidR="00DB4D24" w:rsidRPr="00DB4D24" w:rsidRDefault="00DB4D24" w:rsidP="00DB4D24">
      <w:pPr>
        <w:jc w:val="both"/>
        <w:rPr>
          <w:rFonts w:ascii="Calibri" w:hAnsi="Calibri" w:cs="Calibri"/>
          <w:sz w:val="24"/>
          <w:szCs w:val="24"/>
        </w:rPr>
      </w:pPr>
    </w:p>
    <w:p w14:paraId="6B52AA27" w14:textId="556AAB1A" w:rsidR="00DB4D24" w:rsidRPr="00DB4D24" w:rsidRDefault="1BC3823C" w:rsidP="00DB4D24">
      <w:pPr>
        <w:pStyle w:val="NormalWeb"/>
        <w:spacing w:before="0" w:beforeAutospacing="0" w:after="0" w:afterAutospacing="0"/>
        <w:jc w:val="both"/>
        <w:rPr>
          <w:rFonts w:ascii="Calibri" w:hAnsi="Calibri" w:cs="Calibri"/>
          <w:lang w:val="en-US"/>
        </w:rPr>
      </w:pPr>
      <w:r w:rsidRPr="00DB4D24">
        <w:rPr>
          <w:rFonts w:ascii="Calibri" w:hAnsi="Calibri" w:cs="Calibri"/>
          <w:u w:val="single"/>
          <w:lang w:val="en-US"/>
        </w:rPr>
        <w:t xml:space="preserve">Example 2: </w:t>
      </w:r>
      <w:r w:rsidRPr="00DB4D24">
        <w:rPr>
          <w:rFonts w:ascii="Calibri" w:hAnsi="Calibri" w:cs="Calibri"/>
          <w:lang w:val="en-US"/>
        </w:rPr>
        <w:t>Two women in a relationship were arrested in Akkaraipattu in June 2022 following a complaint lodged by one woman’s father who had opposed their relationship. </w:t>
      </w:r>
      <w:r w:rsidR="006B282C">
        <w:rPr>
          <w:rStyle w:val="Refdenotaalpie"/>
          <w:rFonts w:ascii="Calibri" w:hAnsi="Calibri" w:cs="Calibri"/>
          <w:lang w:val="en-US"/>
        </w:rPr>
        <w:footnoteReference w:id="46"/>
      </w:r>
    </w:p>
    <w:p w14:paraId="5C143B5C" w14:textId="5D7BFB5C" w:rsidR="00DB4D24" w:rsidRPr="00DB4D24" w:rsidRDefault="00DB4D24" w:rsidP="00DB4D24">
      <w:pPr>
        <w:jc w:val="both"/>
        <w:rPr>
          <w:rFonts w:ascii="Calibri" w:hAnsi="Calibri" w:cs="Calibri"/>
          <w:sz w:val="24"/>
          <w:szCs w:val="24"/>
        </w:rPr>
      </w:pPr>
    </w:p>
    <w:p w14:paraId="2CCE8541" w14:textId="62955534" w:rsidR="00912FD2" w:rsidRPr="00912FD2" w:rsidRDefault="15666985" w:rsidP="00912FD2">
      <w:pPr>
        <w:jc w:val="both"/>
        <w:rPr>
          <w:rFonts w:ascii="Calibri" w:hAnsi="Calibri" w:cs="Calibri"/>
          <w:sz w:val="24"/>
          <w:szCs w:val="24"/>
        </w:rPr>
      </w:pPr>
      <w:r w:rsidRPr="00DD023D">
        <w:rPr>
          <w:rFonts w:ascii="Calibri" w:hAnsi="Calibri" w:cs="Calibri"/>
          <w:sz w:val="24"/>
          <w:szCs w:val="24"/>
        </w:rPr>
        <w:t>There are no laws in Sri Lanka that protect LB women from being forced into heterosexual marriages where</w:t>
      </w:r>
      <w:r w:rsidR="0A8B1E20" w:rsidRPr="00DD023D">
        <w:rPr>
          <w:rFonts w:ascii="Calibri" w:hAnsi="Calibri" w:cs="Calibri"/>
          <w:sz w:val="24"/>
          <w:szCs w:val="24"/>
        </w:rPr>
        <w:t>,</w:t>
      </w:r>
      <w:r w:rsidRPr="00DD023D">
        <w:rPr>
          <w:rFonts w:ascii="Calibri" w:hAnsi="Calibri" w:cs="Calibri"/>
          <w:sz w:val="24"/>
          <w:szCs w:val="24"/>
        </w:rPr>
        <w:t xml:space="preserve"> in many instances, they suffer from physical and mental abuse</w:t>
      </w:r>
      <w:r w:rsidR="422567B3" w:rsidRPr="00DD023D">
        <w:rPr>
          <w:rFonts w:ascii="Calibri" w:hAnsi="Calibri" w:cs="Calibri"/>
          <w:sz w:val="24"/>
          <w:szCs w:val="24"/>
        </w:rPr>
        <w:t>.</w:t>
      </w:r>
      <w:r w:rsidR="38C1BAFD" w:rsidRPr="00DD023D">
        <w:rPr>
          <w:rFonts w:ascii="Calibri" w:hAnsi="Calibri" w:cs="Calibri"/>
          <w:sz w:val="24"/>
          <w:szCs w:val="24"/>
        </w:rPr>
        <w:t xml:space="preserve"> </w:t>
      </w:r>
      <w:r w:rsidR="6C6D5A49" w:rsidRPr="00DD023D">
        <w:rPr>
          <w:rFonts w:ascii="Calibri" w:hAnsi="Calibri" w:cs="Calibri"/>
          <w:sz w:val="24"/>
          <w:szCs w:val="24"/>
        </w:rPr>
        <w:t>T</w:t>
      </w:r>
      <w:r w:rsidRPr="00DD023D">
        <w:rPr>
          <w:rFonts w:ascii="Calibri" w:hAnsi="Calibri" w:cs="Calibri"/>
          <w:sz w:val="24"/>
          <w:szCs w:val="24"/>
        </w:rPr>
        <w:t xml:space="preserve">hese cases remain in the dark as the victims fear further reprisal from the police, law, and family. Women forced into heterosexual marriages are also susceptible to marital rape, which still is not treated as a criminal offense under the Penal Code of Sri Lanka. </w:t>
      </w:r>
    </w:p>
    <w:p w14:paraId="27ACF94D" w14:textId="104E997E" w:rsidR="00DB4D24" w:rsidRPr="00DB4D24" w:rsidRDefault="15666985" w:rsidP="00912FD2">
      <w:pPr>
        <w:jc w:val="both"/>
        <w:rPr>
          <w:rFonts w:ascii="Calibri" w:hAnsi="Calibri" w:cs="Calibri"/>
          <w:sz w:val="24"/>
          <w:szCs w:val="24"/>
        </w:rPr>
      </w:pPr>
      <w:r w:rsidRPr="00DD023D">
        <w:rPr>
          <w:rFonts w:ascii="Calibri" w:hAnsi="Calibri" w:cs="Calibri"/>
          <w:sz w:val="24"/>
          <w:szCs w:val="24"/>
        </w:rPr>
        <w:lastRenderedPageBreak/>
        <w:t xml:space="preserve">Moreover, women in same-sex relationships have no legal protection against domestic abuse and intimate partner violence. Lesbian women whose appearances and expressions do not conform to </w:t>
      </w:r>
      <w:r w:rsidR="6A61C2DA" w:rsidRPr="00DD023D">
        <w:rPr>
          <w:rFonts w:ascii="Calibri" w:hAnsi="Calibri" w:cs="Calibri"/>
          <w:sz w:val="24"/>
          <w:szCs w:val="24"/>
        </w:rPr>
        <w:t>gender norms</w:t>
      </w:r>
      <w:r w:rsidRPr="00DD023D">
        <w:rPr>
          <w:rFonts w:ascii="Calibri" w:hAnsi="Calibri" w:cs="Calibri"/>
          <w:sz w:val="24"/>
          <w:szCs w:val="24"/>
        </w:rPr>
        <w:t xml:space="preserve"> </w:t>
      </w:r>
      <w:r w:rsidR="050A6AED" w:rsidRPr="00DD023D">
        <w:rPr>
          <w:rFonts w:ascii="Calibri" w:hAnsi="Calibri" w:cs="Calibri"/>
          <w:sz w:val="24"/>
          <w:szCs w:val="24"/>
        </w:rPr>
        <w:t xml:space="preserve">experience </w:t>
      </w:r>
      <w:r w:rsidRPr="00DD023D">
        <w:rPr>
          <w:rFonts w:ascii="Calibri" w:hAnsi="Calibri" w:cs="Calibri"/>
          <w:sz w:val="24"/>
          <w:szCs w:val="24"/>
        </w:rPr>
        <w:t>discriminat</w:t>
      </w:r>
      <w:r w:rsidR="46A31CDC" w:rsidRPr="00DD023D">
        <w:rPr>
          <w:rFonts w:ascii="Calibri" w:hAnsi="Calibri" w:cs="Calibri"/>
          <w:sz w:val="24"/>
          <w:szCs w:val="24"/>
        </w:rPr>
        <w:t>ion</w:t>
      </w:r>
      <w:r w:rsidR="743A7189" w:rsidRPr="00DD023D">
        <w:rPr>
          <w:rFonts w:ascii="Calibri" w:hAnsi="Calibri" w:cs="Calibri"/>
          <w:sz w:val="24"/>
          <w:szCs w:val="24"/>
        </w:rPr>
        <w:t xml:space="preserve"> </w:t>
      </w:r>
      <w:r w:rsidRPr="00DD023D">
        <w:rPr>
          <w:rFonts w:ascii="Calibri" w:hAnsi="Calibri" w:cs="Calibri"/>
          <w:sz w:val="24"/>
          <w:szCs w:val="24"/>
        </w:rPr>
        <w:t>when accessing housing and safe accommodation. Most women are either rejected f</w:t>
      </w:r>
      <w:r w:rsidR="0A0E1C5C" w:rsidRPr="00DD023D">
        <w:rPr>
          <w:rFonts w:ascii="Calibri" w:hAnsi="Calibri" w:cs="Calibri"/>
          <w:sz w:val="24"/>
          <w:szCs w:val="24"/>
        </w:rPr>
        <w:t>rom</w:t>
      </w:r>
      <w:r w:rsidRPr="00DD023D">
        <w:rPr>
          <w:rFonts w:ascii="Calibri" w:hAnsi="Calibri" w:cs="Calibri"/>
          <w:sz w:val="24"/>
          <w:szCs w:val="24"/>
        </w:rPr>
        <w:t xml:space="preserve"> housing or are charged higher rents.</w:t>
      </w:r>
    </w:p>
    <w:p w14:paraId="6BCEA14E" w14:textId="1C43D3BB" w:rsidR="00DB4D24" w:rsidRDefault="1BC3823C" w:rsidP="00DD023D">
      <w:pPr>
        <w:pStyle w:val="NormalWeb"/>
        <w:spacing w:before="0" w:beforeAutospacing="0" w:after="0" w:afterAutospacing="0"/>
        <w:jc w:val="both"/>
        <w:rPr>
          <w:rFonts w:ascii="Calibri" w:hAnsi="Calibri" w:cs="Calibri"/>
          <w:lang w:val="en-US"/>
        </w:rPr>
      </w:pPr>
      <w:r w:rsidRPr="00DB4D24">
        <w:rPr>
          <w:rFonts w:ascii="Calibri" w:hAnsi="Calibri" w:cs="Calibri"/>
          <w:u w:val="single"/>
          <w:lang w:val="en-US"/>
        </w:rPr>
        <w:t>Example:</w:t>
      </w:r>
      <w:r w:rsidRPr="00DB4D24">
        <w:rPr>
          <w:rFonts w:ascii="Calibri" w:hAnsi="Calibri" w:cs="Calibri"/>
          <w:lang w:val="en-US"/>
        </w:rPr>
        <w:t xml:space="preserve"> During an interview with Human Rights Watch in 2015, Lakshini</w:t>
      </w:r>
      <w:r w:rsidR="1CBDAD66" w:rsidRPr="00DB4D24">
        <w:rPr>
          <w:rFonts w:ascii="Calibri" w:hAnsi="Calibri" w:cs="Calibri"/>
          <w:lang w:val="en-US"/>
        </w:rPr>
        <w:t>,</w:t>
      </w:r>
      <w:r w:rsidRPr="00DB4D24">
        <w:rPr>
          <w:rFonts w:ascii="Calibri" w:hAnsi="Calibri" w:cs="Calibri"/>
          <w:lang w:val="en-US"/>
        </w:rPr>
        <w:t xml:space="preserve"> a lesbian woman in Colombo</w:t>
      </w:r>
      <w:r w:rsidR="347A952B" w:rsidRPr="00DB4D24">
        <w:rPr>
          <w:rFonts w:ascii="Calibri" w:hAnsi="Calibri" w:cs="Calibri"/>
          <w:lang w:val="en-US"/>
        </w:rPr>
        <w:t>,</w:t>
      </w:r>
      <w:r w:rsidRPr="00DB4D24">
        <w:rPr>
          <w:rFonts w:ascii="Calibri" w:hAnsi="Calibri" w:cs="Calibri"/>
          <w:lang w:val="en-US"/>
        </w:rPr>
        <w:t xml:space="preserve"> stated that in 2014 she inquired about a house in Pepiliyana that was advertised. ‘When I went to visit and check the place, the owner “saw me from top to bottom” and “looked as if he didn’t know if I was a girl or a boy,” she said. Lakshini felt that he looked as if he was looking at “some strange creature.” The owner said nothing derogatory to Lakshini but quoted an amount of rent that was double the market rate,</w:t>
      </w:r>
      <w:r w:rsidR="2BF48E35" w:rsidRPr="00DB4D24">
        <w:rPr>
          <w:rFonts w:ascii="Calibri" w:hAnsi="Calibri" w:cs="Calibri"/>
          <w:lang w:val="en-US"/>
        </w:rPr>
        <w:t xml:space="preserve"> </w:t>
      </w:r>
      <w:r w:rsidRPr="00DB4D24">
        <w:rPr>
          <w:rFonts w:ascii="Calibri" w:hAnsi="Calibri" w:cs="Calibri"/>
          <w:lang w:val="en-US"/>
        </w:rPr>
        <w:t>which she could not afford. </w:t>
      </w:r>
      <w:r w:rsidR="00A9222A">
        <w:rPr>
          <w:rStyle w:val="Refdenotaalpie"/>
          <w:rFonts w:ascii="Calibri" w:hAnsi="Calibri" w:cs="Calibri"/>
          <w:lang w:val="en-US"/>
        </w:rPr>
        <w:footnoteReference w:id="47"/>
      </w:r>
    </w:p>
    <w:p w14:paraId="5FCE7F66" w14:textId="77777777" w:rsidR="009238D2" w:rsidRPr="009238D2" w:rsidRDefault="009238D2" w:rsidP="009238D2">
      <w:pPr>
        <w:pStyle w:val="NormalWeb"/>
        <w:spacing w:before="0" w:beforeAutospacing="0" w:after="0" w:afterAutospacing="0"/>
        <w:jc w:val="both"/>
        <w:rPr>
          <w:rFonts w:ascii="Calibri" w:hAnsi="Calibri" w:cs="Calibri"/>
          <w:b/>
          <w:u w:val="single"/>
          <w:lang w:val="en-US"/>
        </w:rPr>
      </w:pPr>
    </w:p>
    <w:p w14:paraId="27A89C9A" w14:textId="118EC092" w:rsidR="009238D2" w:rsidRDefault="009238D2" w:rsidP="29D9FD85">
      <w:pPr>
        <w:pStyle w:val="NormalWeb"/>
        <w:spacing w:before="0" w:beforeAutospacing="0" w:after="0" w:afterAutospacing="0"/>
        <w:jc w:val="both"/>
        <w:rPr>
          <w:rFonts w:ascii="Calibri" w:hAnsi="Calibri" w:cs="Calibri"/>
          <w:b/>
          <w:bCs/>
          <w:u w:val="single"/>
          <w:lang w:val="en-US"/>
        </w:rPr>
      </w:pPr>
      <w:r w:rsidRPr="29D9FD85">
        <w:rPr>
          <w:rFonts w:ascii="Calibri" w:hAnsi="Calibri" w:cs="Calibri"/>
          <w:b/>
          <w:bCs/>
          <w:u w:val="single"/>
          <w:lang w:val="en-US"/>
        </w:rPr>
        <w:t>Access to employment and healthcare for LBT women in Sri Lanka.</w:t>
      </w:r>
    </w:p>
    <w:p w14:paraId="2932F538" w14:textId="551F6BC7" w:rsidR="29D9FD85" w:rsidRDefault="29D9FD85" w:rsidP="29D9FD85">
      <w:pPr>
        <w:pStyle w:val="NormalWeb"/>
        <w:spacing w:before="0" w:beforeAutospacing="0" w:after="0" w:afterAutospacing="0"/>
        <w:jc w:val="both"/>
        <w:rPr>
          <w:rFonts w:ascii="Calibri" w:hAnsi="Calibri" w:cs="Calibri"/>
          <w:b/>
          <w:bCs/>
          <w:u w:val="single"/>
          <w:lang w:val="en-US"/>
        </w:rPr>
      </w:pPr>
    </w:p>
    <w:p w14:paraId="44A10AEE" w14:textId="4E17AC88" w:rsidR="00912FD2" w:rsidRPr="00912FD2" w:rsidRDefault="15666985" w:rsidP="00912FD2">
      <w:pPr>
        <w:pStyle w:val="NormalWeb"/>
        <w:spacing w:after="0"/>
        <w:jc w:val="both"/>
        <w:rPr>
          <w:rFonts w:ascii="Calibri" w:hAnsi="Calibri" w:cs="Calibri"/>
          <w:lang w:val="en-US"/>
        </w:rPr>
      </w:pPr>
      <w:r w:rsidRPr="00DD023D">
        <w:rPr>
          <w:rFonts w:ascii="Calibri" w:hAnsi="Calibri" w:cs="Calibri"/>
          <w:lang w:val="en-US"/>
        </w:rPr>
        <w:t xml:space="preserve">Lesbian, bisexual and trans women in Sri Lanka are often subject to significant discrimination and stigma in their place of employment. This includes verbal and sexual harassment, being given the worst shifts and tasks, being forced to conform to heteronormative and cis-normative social standards, disparities in salary and promotions, and termination of employment due to their gender identity and sexual orientation. </w:t>
      </w:r>
    </w:p>
    <w:p w14:paraId="1A603B62" w14:textId="31CEB4B6" w:rsidR="00DD023D" w:rsidRDefault="00DD023D" w:rsidP="00DD023D">
      <w:pPr>
        <w:pStyle w:val="NormalWeb"/>
        <w:spacing w:before="0" w:beforeAutospacing="0" w:after="0" w:afterAutospacing="0"/>
        <w:jc w:val="both"/>
        <w:rPr>
          <w:rFonts w:ascii="Calibri" w:hAnsi="Calibri" w:cs="Calibri"/>
          <w:lang w:val="en-US"/>
        </w:rPr>
      </w:pPr>
    </w:p>
    <w:p w14:paraId="210935FB" w14:textId="53DE3EFD" w:rsidR="00912FD2" w:rsidRDefault="15666985" w:rsidP="00DD023D">
      <w:pPr>
        <w:pStyle w:val="NormalWeb"/>
        <w:spacing w:before="0" w:beforeAutospacing="0" w:after="0" w:afterAutospacing="0"/>
        <w:jc w:val="both"/>
        <w:rPr>
          <w:rFonts w:ascii="Calibri" w:hAnsi="Calibri" w:cs="Calibri"/>
          <w:lang w:val="en-US"/>
        </w:rPr>
      </w:pPr>
      <w:r w:rsidRPr="00DD023D">
        <w:rPr>
          <w:rFonts w:ascii="Calibri" w:hAnsi="Calibri" w:cs="Calibri"/>
          <w:lang w:val="en-US"/>
        </w:rPr>
        <w:t xml:space="preserve">The Sri Lankan healthcare system primarily views the healthcare needs of individuals </w:t>
      </w:r>
      <w:r w:rsidR="4C365610" w:rsidRPr="00DD023D">
        <w:rPr>
          <w:rFonts w:ascii="Calibri" w:hAnsi="Calibri" w:cs="Calibri"/>
          <w:lang w:val="en-US"/>
        </w:rPr>
        <w:t>through</w:t>
      </w:r>
      <w:r w:rsidRPr="00DD023D">
        <w:rPr>
          <w:rFonts w:ascii="Calibri" w:hAnsi="Calibri" w:cs="Calibri"/>
          <w:lang w:val="en-US"/>
        </w:rPr>
        <w:t xml:space="preserve"> a heteronormative lens</w:t>
      </w:r>
      <w:r w:rsidR="63C71776" w:rsidRPr="00DD023D">
        <w:rPr>
          <w:rFonts w:ascii="Calibri" w:hAnsi="Calibri" w:cs="Calibri"/>
          <w:lang w:val="en-US"/>
        </w:rPr>
        <w:t>.</w:t>
      </w:r>
      <w:r w:rsidR="1D8098D0" w:rsidRPr="00DD023D">
        <w:rPr>
          <w:rFonts w:ascii="Calibri" w:hAnsi="Calibri" w:cs="Calibri"/>
          <w:lang w:val="en-US"/>
        </w:rPr>
        <w:t xml:space="preserve"> </w:t>
      </w:r>
      <w:r w:rsidR="71F3E8DA" w:rsidRPr="00DD023D">
        <w:rPr>
          <w:rFonts w:ascii="Calibri" w:hAnsi="Calibri" w:cs="Calibri"/>
          <w:lang w:val="en-US"/>
        </w:rPr>
        <w:t>This results in societal stigma, discrimination, and denial of human rights</w:t>
      </w:r>
      <w:r w:rsidR="5FC889F2" w:rsidRPr="00DD023D">
        <w:rPr>
          <w:rFonts w:ascii="Calibri" w:hAnsi="Calibri" w:cs="Calibri"/>
          <w:lang w:val="en-US"/>
        </w:rPr>
        <w:t xml:space="preserve"> for LBTQ women accessing healthcare and ultimately leads to </w:t>
      </w:r>
      <w:r w:rsidRPr="00DD023D">
        <w:rPr>
          <w:rFonts w:ascii="Calibri" w:hAnsi="Calibri" w:cs="Calibri"/>
          <w:lang w:val="en-US"/>
        </w:rPr>
        <w:t xml:space="preserve">health disparities. Trans women </w:t>
      </w:r>
      <w:r w:rsidR="32D201E5" w:rsidRPr="00DD023D">
        <w:rPr>
          <w:rFonts w:ascii="Calibri" w:hAnsi="Calibri" w:cs="Calibri"/>
          <w:lang w:val="en-US"/>
        </w:rPr>
        <w:t>in particular</w:t>
      </w:r>
      <w:r w:rsidRPr="00DD023D">
        <w:rPr>
          <w:rFonts w:ascii="Calibri" w:hAnsi="Calibri" w:cs="Calibri"/>
          <w:lang w:val="en-US"/>
        </w:rPr>
        <w:t xml:space="preserve"> face many challenges when </w:t>
      </w:r>
      <w:r w:rsidR="1224747E" w:rsidRPr="00DD023D">
        <w:rPr>
          <w:rFonts w:ascii="Calibri" w:hAnsi="Calibri" w:cs="Calibri"/>
          <w:lang w:val="en-US"/>
        </w:rPr>
        <w:t>interacting with</w:t>
      </w:r>
      <w:r w:rsidRPr="00DD023D">
        <w:rPr>
          <w:rFonts w:ascii="Calibri" w:hAnsi="Calibri" w:cs="Calibri"/>
          <w:lang w:val="en-US"/>
        </w:rPr>
        <w:t xml:space="preserve"> the healthcare sector.</w:t>
      </w:r>
    </w:p>
    <w:p w14:paraId="79689926" w14:textId="77777777" w:rsidR="00912FD2" w:rsidRDefault="00912FD2" w:rsidP="00DB4D24">
      <w:pPr>
        <w:pStyle w:val="NormalWeb"/>
        <w:spacing w:before="0" w:beforeAutospacing="0" w:after="0" w:afterAutospacing="0"/>
        <w:jc w:val="both"/>
        <w:rPr>
          <w:rFonts w:ascii="Calibri" w:hAnsi="Calibri" w:cs="Calibri"/>
          <w:lang w:val="en-US"/>
        </w:rPr>
      </w:pPr>
    </w:p>
    <w:p w14:paraId="4CBF81E1" w14:textId="13A048A2" w:rsidR="00DB4D24" w:rsidRPr="00DB4D24" w:rsidRDefault="1BC3823C" w:rsidP="00DD023D">
      <w:pPr>
        <w:pStyle w:val="NormalWeb"/>
        <w:spacing w:before="0" w:beforeAutospacing="0" w:after="0" w:afterAutospacing="0"/>
        <w:jc w:val="both"/>
        <w:rPr>
          <w:rFonts w:ascii="Calibri" w:hAnsi="Calibri" w:cs="Calibri"/>
          <w:lang w:val="en-US"/>
        </w:rPr>
      </w:pPr>
      <w:r w:rsidRPr="00DB4D24">
        <w:rPr>
          <w:rFonts w:ascii="Calibri" w:hAnsi="Calibri" w:cs="Calibri"/>
          <w:u w:val="single"/>
          <w:lang w:val="en-US"/>
        </w:rPr>
        <w:t>Example:</w:t>
      </w:r>
      <w:r w:rsidRPr="00DB4D24">
        <w:rPr>
          <w:rFonts w:ascii="Calibri" w:hAnsi="Calibri" w:cs="Calibri"/>
          <w:lang w:val="en-US"/>
        </w:rPr>
        <w:t xml:space="preserve">    Jeewani, a trans woman </w:t>
      </w:r>
      <w:r w:rsidR="7176E716" w:rsidRPr="00DB4D24">
        <w:rPr>
          <w:rFonts w:ascii="Calibri" w:hAnsi="Calibri" w:cs="Calibri"/>
          <w:lang w:val="en-US"/>
        </w:rPr>
        <w:t>“</w:t>
      </w:r>
      <w:r w:rsidRPr="00DB4D24">
        <w:rPr>
          <w:rFonts w:ascii="Calibri" w:hAnsi="Calibri" w:cs="Calibri"/>
          <w:lang w:val="en-US"/>
        </w:rPr>
        <w:t>face so many troubles in the healthcare sector</w:t>
      </w:r>
      <w:r w:rsidR="55FE38C3" w:rsidRPr="00DB4D24">
        <w:rPr>
          <w:rFonts w:ascii="Calibri" w:hAnsi="Calibri" w:cs="Calibri"/>
          <w:lang w:val="en-US"/>
        </w:rPr>
        <w:t>”</w:t>
      </w:r>
      <w:r w:rsidRPr="00DB4D24">
        <w:rPr>
          <w:rFonts w:ascii="Calibri" w:hAnsi="Calibri" w:cs="Calibri"/>
          <w:lang w:val="en-US"/>
        </w:rPr>
        <w:t>. “They just want to know about what happened to me, why I’m growing my hair, why I dress like a woman. They don’t care about my sickness, just these other things,” she stated at an interview. </w:t>
      </w:r>
      <w:r w:rsidR="00A9222A">
        <w:rPr>
          <w:rStyle w:val="Refdenotaalpie"/>
          <w:rFonts w:ascii="Calibri" w:hAnsi="Calibri" w:cs="Calibri"/>
          <w:lang w:val="en-US"/>
        </w:rPr>
        <w:footnoteReference w:id="48"/>
      </w:r>
    </w:p>
    <w:p w14:paraId="1D625FAE" w14:textId="1567CA91" w:rsidR="00A9222A" w:rsidRDefault="00DB4D24" w:rsidP="00A9222A">
      <w:pPr>
        <w:jc w:val="both"/>
        <w:rPr>
          <w:rFonts w:ascii="Calibri" w:hAnsi="Calibri" w:cs="Calibri"/>
          <w:sz w:val="24"/>
          <w:szCs w:val="24"/>
        </w:rPr>
      </w:pPr>
      <w:r>
        <w:br/>
      </w:r>
      <w:r w:rsidR="2F4E07BC" w:rsidRPr="00DD023D">
        <w:rPr>
          <w:rFonts w:ascii="Calibri" w:hAnsi="Calibri" w:cs="Calibri"/>
          <w:sz w:val="24"/>
          <w:szCs w:val="24"/>
        </w:rPr>
        <w:t>Lastly, h</w:t>
      </w:r>
      <w:r w:rsidR="1BC3823C" w:rsidRPr="00DD023D">
        <w:rPr>
          <w:rFonts w:ascii="Calibri" w:hAnsi="Calibri" w:cs="Calibri"/>
          <w:sz w:val="24"/>
          <w:szCs w:val="24"/>
        </w:rPr>
        <w:t>uman rights violations pertaining to mental health include the practice of conversion therapy</w:t>
      </w:r>
      <w:r w:rsidR="77DD7D7A" w:rsidRPr="00DD023D">
        <w:rPr>
          <w:rFonts w:ascii="Calibri" w:hAnsi="Calibri" w:cs="Calibri"/>
          <w:sz w:val="24"/>
          <w:szCs w:val="24"/>
        </w:rPr>
        <w:t>,</w:t>
      </w:r>
      <w:r w:rsidR="1BC3823C" w:rsidRPr="00DD023D">
        <w:rPr>
          <w:rFonts w:ascii="Calibri" w:hAnsi="Calibri" w:cs="Calibri"/>
          <w:sz w:val="24"/>
          <w:szCs w:val="24"/>
        </w:rPr>
        <w:t xml:space="preserve"> which</w:t>
      </w:r>
      <w:r w:rsidR="00FA15C6" w:rsidRPr="00DD023D">
        <w:rPr>
          <w:rFonts w:ascii="Calibri" w:hAnsi="Calibri" w:cs="Calibri"/>
          <w:sz w:val="24"/>
          <w:szCs w:val="24"/>
        </w:rPr>
        <w:t xml:space="preserve"> has been</w:t>
      </w:r>
      <w:r w:rsidR="2B7E952D" w:rsidRPr="00DD023D">
        <w:rPr>
          <w:rFonts w:ascii="Calibri" w:hAnsi="Calibri" w:cs="Calibri"/>
          <w:sz w:val="24"/>
          <w:szCs w:val="24"/>
        </w:rPr>
        <w:t xml:space="preserve"> </w:t>
      </w:r>
      <w:r w:rsidR="1BC3823C" w:rsidRPr="00DD023D">
        <w:rPr>
          <w:rFonts w:ascii="Calibri" w:hAnsi="Calibri" w:cs="Calibri"/>
          <w:sz w:val="24"/>
          <w:szCs w:val="24"/>
        </w:rPr>
        <w:t>discredited by the W</w:t>
      </w:r>
      <w:r w:rsidR="58751D3A" w:rsidRPr="00DD023D">
        <w:rPr>
          <w:rFonts w:ascii="Calibri" w:hAnsi="Calibri" w:cs="Calibri"/>
          <w:sz w:val="24"/>
          <w:szCs w:val="24"/>
        </w:rPr>
        <w:t>orld’s Health Organisation (WHO)</w:t>
      </w:r>
      <w:r w:rsidR="1BC3823C" w:rsidRPr="00DD023D">
        <w:rPr>
          <w:rFonts w:ascii="Calibri" w:hAnsi="Calibri" w:cs="Calibri"/>
          <w:sz w:val="24"/>
          <w:szCs w:val="24"/>
        </w:rPr>
        <w:t xml:space="preserve">. </w:t>
      </w:r>
      <w:r w:rsidR="0F6E3EE1" w:rsidRPr="00DD023D">
        <w:rPr>
          <w:rFonts w:ascii="Calibri" w:hAnsi="Calibri" w:cs="Calibri"/>
          <w:sz w:val="24"/>
          <w:szCs w:val="24"/>
        </w:rPr>
        <w:t>C</w:t>
      </w:r>
      <w:r w:rsidR="1BC3823C" w:rsidRPr="00DD023D">
        <w:rPr>
          <w:rFonts w:ascii="Calibri" w:hAnsi="Calibri" w:cs="Calibri"/>
          <w:sz w:val="24"/>
          <w:szCs w:val="24"/>
        </w:rPr>
        <w:t xml:space="preserve">onversion therapy practices include </w:t>
      </w:r>
      <w:r w:rsidR="7922AAA1" w:rsidRPr="00DD023D">
        <w:rPr>
          <w:rFonts w:ascii="Calibri" w:hAnsi="Calibri" w:cs="Calibri"/>
          <w:sz w:val="24"/>
          <w:szCs w:val="24"/>
        </w:rPr>
        <w:t xml:space="preserve">the </w:t>
      </w:r>
      <w:r w:rsidR="00DD023D" w:rsidRPr="00DD023D">
        <w:rPr>
          <w:rFonts w:ascii="Calibri" w:hAnsi="Calibri" w:cs="Calibri"/>
          <w:sz w:val="24"/>
          <w:szCs w:val="24"/>
        </w:rPr>
        <w:t>admi</w:t>
      </w:r>
      <w:r w:rsidR="1BC3823C" w:rsidRPr="00DD023D">
        <w:rPr>
          <w:rFonts w:ascii="Calibri" w:hAnsi="Calibri" w:cs="Calibri"/>
          <w:sz w:val="24"/>
          <w:szCs w:val="24"/>
        </w:rPr>
        <w:t>nistration of medication, shock therapy, and masturbatory reconditioning.</w:t>
      </w:r>
    </w:p>
    <w:p w14:paraId="7DFF8F23" w14:textId="77777777" w:rsidR="009238D2" w:rsidRPr="00DB4D24" w:rsidRDefault="009238D2" w:rsidP="00A9222A">
      <w:pPr>
        <w:jc w:val="both"/>
        <w:rPr>
          <w:rFonts w:ascii="Calibri" w:hAnsi="Calibri" w:cs="Calibri"/>
          <w:sz w:val="24"/>
          <w:szCs w:val="24"/>
        </w:rPr>
      </w:pPr>
    </w:p>
    <w:p w14:paraId="1F4EDB77" w14:textId="114D9883" w:rsidR="006B282C" w:rsidRPr="009238D2" w:rsidRDefault="41E7C306" w:rsidP="29D9FD85">
      <w:pPr>
        <w:pStyle w:val="NormalWeb"/>
        <w:spacing w:before="0" w:beforeAutospacing="0" w:after="0" w:afterAutospacing="0"/>
        <w:jc w:val="both"/>
        <w:rPr>
          <w:rFonts w:ascii="Calibri" w:hAnsi="Calibri" w:cs="Calibri"/>
          <w:b/>
          <w:bCs/>
          <w:sz w:val="28"/>
          <w:szCs w:val="28"/>
          <w:shd w:val="clear" w:color="auto" w:fill="FFFFFF"/>
          <w:lang w:val="en-US"/>
        </w:rPr>
      </w:pPr>
      <w:r w:rsidRPr="009238D2">
        <w:rPr>
          <w:rFonts w:ascii="Calibri" w:hAnsi="Calibri" w:cs="Calibri"/>
          <w:b/>
          <w:bCs/>
          <w:sz w:val="28"/>
          <w:szCs w:val="28"/>
          <w:shd w:val="clear" w:color="auto" w:fill="FFFFFF"/>
          <w:lang w:val="en-US"/>
        </w:rPr>
        <w:lastRenderedPageBreak/>
        <w:t>Recommendations:</w:t>
      </w:r>
    </w:p>
    <w:p w14:paraId="68E09C33" w14:textId="77777777" w:rsidR="006B282C" w:rsidRPr="00DB4D24" w:rsidRDefault="006B282C" w:rsidP="006B282C">
      <w:pPr>
        <w:pStyle w:val="NormalWeb"/>
        <w:spacing w:before="0" w:beforeAutospacing="0" w:after="0" w:afterAutospacing="0"/>
        <w:ind w:left="360"/>
        <w:jc w:val="both"/>
        <w:rPr>
          <w:rFonts w:ascii="Calibri" w:hAnsi="Calibri" w:cs="Calibri"/>
          <w:lang w:val="en-US"/>
        </w:rPr>
      </w:pPr>
    </w:p>
    <w:p w14:paraId="4F19382A" w14:textId="6328A998" w:rsidR="4469A2D2" w:rsidRPr="00DB4D24" w:rsidRDefault="4E8FF761"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Data Collection: </w:t>
      </w:r>
    </w:p>
    <w:p w14:paraId="20AE2B5F" w14:textId="77777777" w:rsidR="005607BA" w:rsidRDefault="4E8FF761" w:rsidP="00DD023D">
      <w:pPr>
        <w:pStyle w:val="Prrafodelista"/>
        <w:numPr>
          <w:ilvl w:val="0"/>
          <w:numId w:val="10"/>
        </w:numPr>
        <w:jc w:val="both"/>
        <w:rPr>
          <w:rFonts w:ascii="Calibri" w:eastAsia="Times New Roman" w:hAnsi="Calibri" w:cs="Calibri"/>
          <w:sz w:val="24"/>
          <w:szCs w:val="24"/>
        </w:rPr>
      </w:pPr>
      <w:r w:rsidRPr="005607BA">
        <w:rPr>
          <w:rFonts w:ascii="Calibri" w:eastAsia="Times New Roman" w:hAnsi="Calibri" w:cs="Calibri"/>
          <w:sz w:val="24"/>
          <w:szCs w:val="24"/>
        </w:rPr>
        <w:t>Ensure</w:t>
      </w:r>
      <w:r w:rsidR="11BB9E50" w:rsidRPr="005607BA">
        <w:rPr>
          <w:rFonts w:ascii="Calibri" w:eastAsia="Times New Roman" w:hAnsi="Calibri" w:cs="Calibri"/>
          <w:sz w:val="24"/>
          <w:szCs w:val="24"/>
        </w:rPr>
        <w:t xml:space="preserve"> there is robust data collection on the experiences of poverty, economic pr</w:t>
      </w:r>
      <w:bookmarkStart w:id="0" w:name="_GoBack"/>
      <w:bookmarkEnd w:id="0"/>
      <w:r w:rsidR="11BB9E50" w:rsidRPr="005607BA">
        <w:rPr>
          <w:rFonts w:ascii="Calibri" w:eastAsia="Times New Roman" w:hAnsi="Calibri" w:cs="Calibri"/>
          <w:sz w:val="24"/>
          <w:szCs w:val="24"/>
        </w:rPr>
        <w:t>ecarity, income inequality</w:t>
      </w:r>
      <w:r w:rsidR="3FA70EC0" w:rsidRPr="005607BA">
        <w:rPr>
          <w:rFonts w:ascii="Calibri" w:eastAsia="Times New Roman" w:hAnsi="Calibri" w:cs="Calibri"/>
          <w:sz w:val="24"/>
          <w:szCs w:val="24"/>
        </w:rPr>
        <w:t>,</w:t>
      </w:r>
      <w:r w:rsidR="3347CC78" w:rsidRPr="005607BA">
        <w:rPr>
          <w:rFonts w:ascii="Calibri" w:eastAsia="Times New Roman" w:hAnsi="Calibri" w:cs="Calibri"/>
          <w:sz w:val="24"/>
          <w:szCs w:val="24"/>
        </w:rPr>
        <w:t xml:space="preserve"> and employment discrimination among LBTQ women in particular. </w:t>
      </w:r>
    </w:p>
    <w:p w14:paraId="3CF12698" w14:textId="54C2B08E" w:rsidR="4469A2D2" w:rsidRPr="005607BA" w:rsidRDefault="3347CC78" w:rsidP="00DD023D">
      <w:pPr>
        <w:pStyle w:val="Prrafodelista"/>
        <w:numPr>
          <w:ilvl w:val="0"/>
          <w:numId w:val="10"/>
        </w:numPr>
        <w:jc w:val="both"/>
        <w:rPr>
          <w:rFonts w:ascii="Calibri" w:eastAsia="Times New Roman" w:hAnsi="Calibri" w:cs="Calibri"/>
          <w:sz w:val="24"/>
          <w:szCs w:val="24"/>
        </w:rPr>
      </w:pPr>
      <w:r w:rsidRPr="005607BA">
        <w:rPr>
          <w:rFonts w:ascii="Calibri" w:eastAsia="Times New Roman" w:hAnsi="Calibri" w:cs="Calibri"/>
          <w:sz w:val="24"/>
          <w:szCs w:val="24"/>
        </w:rPr>
        <w:t xml:space="preserve">Ensure that data on </w:t>
      </w:r>
      <w:r w:rsidR="2EDC9524" w:rsidRPr="005607BA">
        <w:rPr>
          <w:rFonts w:ascii="Calibri" w:eastAsia="Times New Roman" w:hAnsi="Calibri" w:cs="Calibri"/>
          <w:sz w:val="24"/>
          <w:szCs w:val="24"/>
        </w:rPr>
        <w:t>housing and homelessness, healthcare and health outcomes, social welfare and employment</w:t>
      </w:r>
      <w:r w:rsidR="513F2442" w:rsidRPr="005607BA">
        <w:rPr>
          <w:rFonts w:ascii="Calibri" w:eastAsia="Times New Roman" w:hAnsi="Calibri" w:cs="Calibri"/>
          <w:sz w:val="24"/>
          <w:szCs w:val="24"/>
        </w:rPr>
        <w:t xml:space="preserve"> is disaggregated in relation to </w:t>
      </w:r>
      <w:r w:rsidR="434127E5" w:rsidRPr="005607BA">
        <w:rPr>
          <w:rFonts w:ascii="Calibri" w:eastAsia="Times New Roman" w:hAnsi="Calibri" w:cs="Calibri"/>
          <w:sz w:val="24"/>
          <w:szCs w:val="24"/>
        </w:rPr>
        <w:t>sexual orientation and gender identity</w:t>
      </w:r>
      <w:r w:rsidR="2FC1218E" w:rsidRPr="005607BA">
        <w:rPr>
          <w:rFonts w:ascii="Calibri" w:eastAsia="Times New Roman" w:hAnsi="Calibri" w:cs="Calibri"/>
          <w:sz w:val="24"/>
          <w:szCs w:val="24"/>
        </w:rPr>
        <w:t xml:space="preserve"> and</w:t>
      </w:r>
      <w:r w:rsidR="2BA22D65" w:rsidRPr="005607BA">
        <w:rPr>
          <w:rFonts w:ascii="Calibri" w:eastAsia="Times New Roman" w:hAnsi="Calibri" w:cs="Calibri"/>
          <w:sz w:val="24"/>
          <w:szCs w:val="24"/>
        </w:rPr>
        <w:t xml:space="preserve"> that LBTQ women in particular are visible. </w:t>
      </w:r>
    </w:p>
    <w:p w14:paraId="2123E98A" w14:textId="77777777" w:rsidR="005607BA" w:rsidRDefault="1FDD64E1"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Poverty: </w:t>
      </w:r>
    </w:p>
    <w:p w14:paraId="2AF75E9C" w14:textId="79C30961" w:rsidR="4469A2D2" w:rsidRPr="005607BA" w:rsidRDefault="1FDD64E1" w:rsidP="005607BA">
      <w:pPr>
        <w:pStyle w:val="Prrafodelista"/>
        <w:numPr>
          <w:ilvl w:val="0"/>
          <w:numId w:val="11"/>
        </w:numPr>
        <w:jc w:val="both"/>
        <w:rPr>
          <w:rFonts w:ascii="Calibri" w:eastAsia="Times New Roman" w:hAnsi="Calibri" w:cs="Calibri"/>
          <w:b/>
          <w:bCs/>
          <w:sz w:val="24"/>
          <w:szCs w:val="24"/>
        </w:rPr>
      </w:pPr>
      <w:r w:rsidRPr="005607BA">
        <w:rPr>
          <w:rFonts w:ascii="Calibri" w:eastAsia="Times New Roman" w:hAnsi="Calibri" w:cs="Calibri"/>
          <w:sz w:val="24"/>
          <w:szCs w:val="24"/>
        </w:rPr>
        <w:t xml:space="preserve">Anti-poverty measures should specifically target LBTQ women, particularly bisexual and trans women. The </w:t>
      </w:r>
      <w:r w:rsidR="32853433" w:rsidRPr="005607BA">
        <w:rPr>
          <w:rFonts w:ascii="Calibri" w:eastAsia="Times New Roman" w:hAnsi="Calibri" w:cs="Calibri"/>
          <w:sz w:val="24"/>
          <w:szCs w:val="24"/>
        </w:rPr>
        <w:t>unique</w:t>
      </w:r>
      <w:r w:rsidRPr="005607BA">
        <w:rPr>
          <w:rFonts w:ascii="Calibri" w:eastAsia="Times New Roman" w:hAnsi="Calibri" w:cs="Calibri"/>
          <w:sz w:val="24"/>
          <w:szCs w:val="24"/>
        </w:rPr>
        <w:t xml:space="preserve"> push factors and challenges faced by this group in relation to poverty should be assessed</w:t>
      </w:r>
      <w:r w:rsidR="79E8EF40" w:rsidRPr="005607BA">
        <w:rPr>
          <w:rFonts w:ascii="Calibri" w:eastAsia="Times New Roman" w:hAnsi="Calibri" w:cs="Calibri"/>
          <w:sz w:val="24"/>
          <w:szCs w:val="24"/>
        </w:rPr>
        <w:t xml:space="preserve">, </w:t>
      </w:r>
      <w:r w:rsidRPr="005607BA">
        <w:rPr>
          <w:rFonts w:ascii="Calibri" w:eastAsia="Times New Roman" w:hAnsi="Calibri" w:cs="Calibri"/>
          <w:sz w:val="24"/>
          <w:szCs w:val="24"/>
        </w:rPr>
        <w:t xml:space="preserve">and </w:t>
      </w:r>
      <w:r w:rsidR="57387F22" w:rsidRPr="005607BA">
        <w:rPr>
          <w:rFonts w:ascii="Calibri" w:eastAsia="Times New Roman" w:hAnsi="Calibri" w:cs="Calibri"/>
          <w:sz w:val="24"/>
          <w:szCs w:val="24"/>
        </w:rPr>
        <w:t xml:space="preserve">tailored </w:t>
      </w:r>
      <w:r w:rsidR="56B6E021" w:rsidRPr="005607BA">
        <w:rPr>
          <w:rFonts w:ascii="Calibri" w:eastAsia="Times New Roman" w:hAnsi="Calibri" w:cs="Calibri"/>
          <w:sz w:val="24"/>
          <w:szCs w:val="24"/>
        </w:rPr>
        <w:t>support</w:t>
      </w:r>
      <w:r w:rsidR="57387F22" w:rsidRPr="005607BA">
        <w:rPr>
          <w:rFonts w:ascii="Calibri" w:eastAsia="Times New Roman" w:hAnsi="Calibri" w:cs="Calibri"/>
          <w:sz w:val="24"/>
          <w:szCs w:val="24"/>
        </w:rPr>
        <w:t xml:space="preserve"> and interventions should be implemented. </w:t>
      </w:r>
    </w:p>
    <w:p w14:paraId="42714886" w14:textId="32A8FB1F" w:rsidR="4469A2D2" w:rsidRPr="005607BA" w:rsidRDefault="57387F22" w:rsidP="005607BA">
      <w:pPr>
        <w:pStyle w:val="Prrafodelista"/>
        <w:numPr>
          <w:ilvl w:val="0"/>
          <w:numId w:val="11"/>
        </w:numPr>
        <w:jc w:val="both"/>
        <w:rPr>
          <w:rFonts w:ascii="Calibri" w:eastAsia="Times New Roman" w:hAnsi="Calibri" w:cs="Calibri"/>
          <w:sz w:val="24"/>
          <w:szCs w:val="24"/>
        </w:rPr>
      </w:pPr>
      <w:r w:rsidRPr="005607BA">
        <w:rPr>
          <w:rFonts w:ascii="Calibri" w:eastAsia="Times New Roman" w:hAnsi="Calibri" w:cs="Calibri"/>
          <w:sz w:val="24"/>
          <w:szCs w:val="24"/>
        </w:rPr>
        <w:t xml:space="preserve">The </w:t>
      </w:r>
      <w:r w:rsidR="0D53038F" w:rsidRPr="005607BA">
        <w:rPr>
          <w:rFonts w:ascii="Calibri" w:eastAsia="Times New Roman" w:hAnsi="Calibri" w:cs="Calibri"/>
          <w:sz w:val="24"/>
          <w:szCs w:val="24"/>
        </w:rPr>
        <w:t>double</w:t>
      </w:r>
      <w:r w:rsidRPr="005607BA">
        <w:rPr>
          <w:rFonts w:ascii="Calibri" w:eastAsia="Times New Roman" w:hAnsi="Calibri" w:cs="Calibri"/>
          <w:sz w:val="24"/>
          <w:szCs w:val="24"/>
        </w:rPr>
        <w:t xml:space="preserve"> </w:t>
      </w:r>
      <w:r w:rsidR="4591525C" w:rsidRPr="005607BA">
        <w:rPr>
          <w:rFonts w:ascii="Calibri" w:eastAsia="Times New Roman" w:hAnsi="Calibri" w:cs="Calibri"/>
          <w:sz w:val="24"/>
          <w:szCs w:val="24"/>
        </w:rPr>
        <w:t>stigmatization</w:t>
      </w:r>
      <w:r w:rsidRPr="005607BA">
        <w:rPr>
          <w:rFonts w:ascii="Calibri" w:eastAsia="Times New Roman" w:hAnsi="Calibri" w:cs="Calibri"/>
          <w:sz w:val="24"/>
          <w:szCs w:val="24"/>
        </w:rPr>
        <w:t xml:space="preserve"> experienced by women who are both poor and LBTQ should be combated</w:t>
      </w:r>
      <w:r w:rsidR="225A9DC5" w:rsidRPr="005607BA">
        <w:rPr>
          <w:rFonts w:ascii="Calibri" w:eastAsia="Times New Roman" w:hAnsi="Calibri" w:cs="Calibri"/>
          <w:sz w:val="24"/>
          <w:szCs w:val="24"/>
        </w:rPr>
        <w:t xml:space="preserve"> in all levels of society, particularly among </w:t>
      </w:r>
      <w:r w:rsidR="2AE6D124" w:rsidRPr="005607BA">
        <w:rPr>
          <w:rFonts w:ascii="Calibri" w:eastAsia="Times New Roman" w:hAnsi="Calibri" w:cs="Calibri"/>
          <w:sz w:val="24"/>
          <w:szCs w:val="24"/>
        </w:rPr>
        <w:t xml:space="preserve">welfare </w:t>
      </w:r>
      <w:r w:rsidR="225A9DC5" w:rsidRPr="005607BA">
        <w:rPr>
          <w:rFonts w:ascii="Calibri" w:eastAsia="Times New Roman" w:hAnsi="Calibri" w:cs="Calibri"/>
          <w:sz w:val="24"/>
          <w:szCs w:val="24"/>
        </w:rPr>
        <w:t xml:space="preserve">service providers. </w:t>
      </w:r>
    </w:p>
    <w:p w14:paraId="48FD61B9" w14:textId="7036A237" w:rsidR="4469A2D2" w:rsidRPr="00DB4D24" w:rsidRDefault="225A9DC5"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Employment and Social Benefits: </w:t>
      </w:r>
    </w:p>
    <w:p w14:paraId="5E11F249" w14:textId="607156EF" w:rsidR="4469A2D2" w:rsidRPr="005607BA" w:rsidRDefault="3458EE40" w:rsidP="005607BA">
      <w:pPr>
        <w:pStyle w:val="Prrafodelista"/>
        <w:numPr>
          <w:ilvl w:val="0"/>
          <w:numId w:val="12"/>
        </w:numPr>
        <w:jc w:val="both"/>
        <w:rPr>
          <w:rFonts w:ascii="Calibri" w:eastAsia="Times New Roman" w:hAnsi="Calibri" w:cs="Calibri"/>
          <w:sz w:val="24"/>
          <w:szCs w:val="24"/>
        </w:rPr>
      </w:pPr>
      <w:r w:rsidRPr="005607BA">
        <w:rPr>
          <w:rFonts w:ascii="Calibri" w:eastAsia="Times New Roman" w:hAnsi="Calibri" w:cs="Calibri"/>
          <w:sz w:val="24"/>
          <w:szCs w:val="24"/>
        </w:rPr>
        <w:t>L</w:t>
      </w:r>
      <w:r w:rsidR="225A9DC5" w:rsidRPr="005607BA">
        <w:rPr>
          <w:rFonts w:ascii="Calibri" w:eastAsia="Times New Roman" w:hAnsi="Calibri" w:cs="Calibri"/>
          <w:sz w:val="24"/>
          <w:szCs w:val="24"/>
        </w:rPr>
        <w:t xml:space="preserve">egislation </w:t>
      </w:r>
      <w:r w:rsidR="69E340AB" w:rsidRPr="005607BA">
        <w:rPr>
          <w:rFonts w:ascii="Calibri" w:eastAsia="Times New Roman" w:hAnsi="Calibri" w:cs="Calibri"/>
          <w:sz w:val="24"/>
          <w:szCs w:val="24"/>
        </w:rPr>
        <w:t>outlawing</w:t>
      </w:r>
      <w:r w:rsidR="225A9DC5" w:rsidRPr="005607BA">
        <w:rPr>
          <w:rFonts w:ascii="Calibri" w:eastAsia="Times New Roman" w:hAnsi="Calibri" w:cs="Calibri"/>
          <w:sz w:val="24"/>
          <w:szCs w:val="24"/>
        </w:rPr>
        <w:t xml:space="preserve"> employment discrimination on the basis of sexual orientation and gender identity</w:t>
      </w:r>
      <w:r w:rsidR="5A6BDE25" w:rsidRPr="005607BA">
        <w:rPr>
          <w:rFonts w:ascii="Calibri" w:eastAsia="Times New Roman" w:hAnsi="Calibri" w:cs="Calibri"/>
          <w:sz w:val="24"/>
          <w:szCs w:val="24"/>
        </w:rPr>
        <w:t>, including in hiring, working conditions and promotion,</w:t>
      </w:r>
      <w:r w:rsidR="6F185505" w:rsidRPr="005607BA">
        <w:rPr>
          <w:rFonts w:ascii="Calibri" w:eastAsia="Times New Roman" w:hAnsi="Calibri" w:cs="Calibri"/>
          <w:sz w:val="24"/>
          <w:szCs w:val="24"/>
        </w:rPr>
        <w:t xml:space="preserve"> should be introduced and enforced.</w:t>
      </w:r>
    </w:p>
    <w:p w14:paraId="0FA39A43" w14:textId="2905ED4E" w:rsidR="4469A2D2" w:rsidRPr="005607BA" w:rsidRDefault="6F185505" w:rsidP="005607BA">
      <w:pPr>
        <w:pStyle w:val="Prrafodelista"/>
        <w:numPr>
          <w:ilvl w:val="0"/>
          <w:numId w:val="12"/>
        </w:numPr>
        <w:jc w:val="both"/>
        <w:rPr>
          <w:rFonts w:ascii="Calibri" w:eastAsia="Times New Roman" w:hAnsi="Calibri" w:cs="Calibri"/>
          <w:sz w:val="24"/>
          <w:szCs w:val="24"/>
        </w:rPr>
      </w:pPr>
      <w:r w:rsidRPr="005607BA">
        <w:rPr>
          <w:rFonts w:ascii="Calibri" w:eastAsia="Times New Roman" w:hAnsi="Calibri" w:cs="Calibri"/>
          <w:sz w:val="24"/>
          <w:szCs w:val="24"/>
        </w:rPr>
        <w:t xml:space="preserve">Measures should be taken to ensure the full </w:t>
      </w:r>
      <w:r w:rsidR="13AB60D9" w:rsidRPr="005607BA">
        <w:rPr>
          <w:rFonts w:ascii="Calibri" w:eastAsia="Times New Roman" w:hAnsi="Calibri" w:cs="Calibri"/>
          <w:sz w:val="24"/>
          <w:szCs w:val="24"/>
        </w:rPr>
        <w:t xml:space="preserve">and equal </w:t>
      </w:r>
      <w:r w:rsidRPr="005607BA">
        <w:rPr>
          <w:rFonts w:ascii="Calibri" w:eastAsia="Times New Roman" w:hAnsi="Calibri" w:cs="Calibri"/>
          <w:sz w:val="24"/>
          <w:szCs w:val="24"/>
        </w:rPr>
        <w:t>participation of LBTQ women in</w:t>
      </w:r>
      <w:r w:rsidR="0CDA604E" w:rsidRPr="005607BA">
        <w:rPr>
          <w:rFonts w:ascii="Calibri" w:eastAsia="Times New Roman" w:hAnsi="Calibri" w:cs="Calibri"/>
          <w:sz w:val="24"/>
          <w:szCs w:val="24"/>
        </w:rPr>
        <w:t xml:space="preserve"> the</w:t>
      </w:r>
      <w:r w:rsidRPr="005607BA">
        <w:rPr>
          <w:rFonts w:ascii="Calibri" w:eastAsia="Times New Roman" w:hAnsi="Calibri" w:cs="Calibri"/>
          <w:sz w:val="24"/>
          <w:szCs w:val="24"/>
        </w:rPr>
        <w:t xml:space="preserve"> labour market, including access to </w:t>
      </w:r>
      <w:r w:rsidR="319B35FD" w:rsidRPr="005607BA">
        <w:rPr>
          <w:rFonts w:ascii="Calibri" w:eastAsia="Times New Roman" w:hAnsi="Calibri" w:cs="Calibri"/>
          <w:sz w:val="24"/>
          <w:szCs w:val="24"/>
        </w:rPr>
        <w:t xml:space="preserve">equal educational </w:t>
      </w:r>
      <w:r w:rsidR="48F2E787" w:rsidRPr="005607BA">
        <w:rPr>
          <w:rFonts w:ascii="Calibri" w:eastAsia="Times New Roman" w:hAnsi="Calibri" w:cs="Calibri"/>
          <w:sz w:val="24"/>
          <w:szCs w:val="24"/>
        </w:rPr>
        <w:t>opportunities</w:t>
      </w:r>
      <w:r w:rsidR="39BE50BE" w:rsidRPr="005607BA">
        <w:rPr>
          <w:rFonts w:ascii="Calibri" w:eastAsia="Times New Roman" w:hAnsi="Calibri" w:cs="Calibri"/>
          <w:sz w:val="24"/>
          <w:szCs w:val="24"/>
        </w:rPr>
        <w:t xml:space="preserve"> and the right to a safe and welcoming work environment. </w:t>
      </w:r>
    </w:p>
    <w:p w14:paraId="69AAC22C" w14:textId="2CA2CA81" w:rsidR="4469A2D2" w:rsidRPr="005607BA" w:rsidRDefault="63FEA32E" w:rsidP="005607BA">
      <w:pPr>
        <w:pStyle w:val="Prrafodelista"/>
        <w:numPr>
          <w:ilvl w:val="0"/>
          <w:numId w:val="12"/>
        </w:numPr>
        <w:jc w:val="both"/>
        <w:rPr>
          <w:rFonts w:ascii="Calibri" w:eastAsia="Times New Roman" w:hAnsi="Calibri" w:cs="Calibri"/>
          <w:sz w:val="24"/>
          <w:szCs w:val="24"/>
        </w:rPr>
      </w:pPr>
      <w:r w:rsidRPr="005607BA">
        <w:rPr>
          <w:rFonts w:ascii="Calibri" w:eastAsia="Times New Roman" w:hAnsi="Calibri" w:cs="Calibri"/>
          <w:sz w:val="24"/>
          <w:szCs w:val="24"/>
        </w:rPr>
        <w:t xml:space="preserve">Workplace discrimination against transgender women in particular should be addressed. Steps should be taken to ensure that trans women are </w:t>
      </w:r>
      <w:r w:rsidR="3125B6DF" w:rsidRPr="005607BA">
        <w:rPr>
          <w:rFonts w:ascii="Calibri" w:eastAsia="Times New Roman" w:hAnsi="Calibri" w:cs="Calibri"/>
          <w:sz w:val="24"/>
          <w:szCs w:val="24"/>
        </w:rPr>
        <w:t xml:space="preserve">able to access safe, formal employment and are not forced to engage in sex work for survival. </w:t>
      </w:r>
    </w:p>
    <w:p w14:paraId="23DE4CF1" w14:textId="3C6323E7" w:rsidR="4469A2D2" w:rsidRPr="005607BA" w:rsidRDefault="7C1396B6" w:rsidP="005607BA">
      <w:pPr>
        <w:pStyle w:val="Prrafodelista"/>
        <w:numPr>
          <w:ilvl w:val="0"/>
          <w:numId w:val="12"/>
        </w:numPr>
        <w:jc w:val="both"/>
        <w:rPr>
          <w:rFonts w:ascii="Calibri" w:eastAsia="Times New Roman" w:hAnsi="Calibri" w:cs="Calibri"/>
          <w:sz w:val="24"/>
          <w:szCs w:val="24"/>
        </w:rPr>
      </w:pPr>
      <w:r w:rsidRPr="005607BA">
        <w:rPr>
          <w:rFonts w:ascii="Calibri" w:eastAsia="Times New Roman" w:hAnsi="Calibri" w:cs="Calibri"/>
          <w:sz w:val="24"/>
          <w:szCs w:val="24"/>
        </w:rPr>
        <w:t xml:space="preserve">Sex work should be decriminalized and all those who engage in sex work should have access to employment protections and social security benefits on an equal basis with other workers. </w:t>
      </w:r>
      <w:r w:rsidR="5B66094F" w:rsidRPr="005607BA">
        <w:rPr>
          <w:rFonts w:ascii="Calibri" w:eastAsia="Times New Roman" w:hAnsi="Calibri" w:cs="Calibri"/>
          <w:sz w:val="24"/>
          <w:szCs w:val="24"/>
        </w:rPr>
        <w:t xml:space="preserve">The double stigmatization experienced by women who are both LBTQ and sex workers should be addressed. </w:t>
      </w:r>
      <w:r w:rsidR="4F9307B1" w:rsidRPr="005607BA">
        <w:rPr>
          <w:rFonts w:ascii="Calibri" w:eastAsia="Times New Roman" w:hAnsi="Calibri" w:cs="Calibri"/>
          <w:sz w:val="24"/>
          <w:szCs w:val="24"/>
        </w:rPr>
        <w:t>Targeted strategies should be introduced to combat violence against LBTQ women sex workers, particularly trans women sex</w:t>
      </w:r>
      <w:r w:rsidR="539ADD9A" w:rsidRPr="005607BA">
        <w:rPr>
          <w:rFonts w:ascii="Calibri" w:eastAsia="Times New Roman" w:hAnsi="Calibri" w:cs="Calibri"/>
          <w:sz w:val="24"/>
          <w:szCs w:val="24"/>
        </w:rPr>
        <w:t xml:space="preserve"> </w:t>
      </w:r>
      <w:r w:rsidR="4F9307B1" w:rsidRPr="005607BA">
        <w:rPr>
          <w:rFonts w:ascii="Calibri" w:eastAsia="Times New Roman" w:hAnsi="Calibri" w:cs="Calibri"/>
          <w:sz w:val="24"/>
          <w:szCs w:val="24"/>
        </w:rPr>
        <w:t xml:space="preserve">workers. </w:t>
      </w:r>
    </w:p>
    <w:p w14:paraId="1E53F7ED" w14:textId="1D7688E7" w:rsidR="4469A2D2" w:rsidRPr="005607BA" w:rsidRDefault="5B66094F" w:rsidP="005607BA">
      <w:pPr>
        <w:pStyle w:val="Prrafodelista"/>
        <w:numPr>
          <w:ilvl w:val="0"/>
          <w:numId w:val="12"/>
        </w:numPr>
        <w:jc w:val="both"/>
        <w:rPr>
          <w:rFonts w:ascii="Calibri" w:eastAsia="Times New Roman" w:hAnsi="Calibri" w:cs="Calibri"/>
          <w:sz w:val="24"/>
          <w:szCs w:val="24"/>
        </w:rPr>
      </w:pPr>
      <w:r w:rsidRPr="005607BA">
        <w:rPr>
          <w:rFonts w:ascii="Calibri" w:eastAsia="Times New Roman" w:hAnsi="Calibri" w:cs="Calibri"/>
          <w:sz w:val="24"/>
          <w:szCs w:val="24"/>
        </w:rPr>
        <w:t xml:space="preserve">Same sex partnerships between women should be </w:t>
      </w:r>
      <w:r w:rsidR="64F8CE58" w:rsidRPr="005607BA">
        <w:rPr>
          <w:rFonts w:ascii="Calibri" w:eastAsia="Times New Roman" w:hAnsi="Calibri" w:cs="Calibri"/>
          <w:sz w:val="24"/>
          <w:szCs w:val="24"/>
        </w:rPr>
        <w:t>recognized</w:t>
      </w:r>
      <w:r w:rsidRPr="005607BA">
        <w:rPr>
          <w:rFonts w:ascii="Calibri" w:eastAsia="Times New Roman" w:hAnsi="Calibri" w:cs="Calibri"/>
          <w:sz w:val="24"/>
          <w:szCs w:val="24"/>
        </w:rPr>
        <w:t xml:space="preserve"> on an equal basis to opposite-sex partnerships.</w:t>
      </w:r>
      <w:r w:rsidR="67A6E7DA" w:rsidRPr="005607BA">
        <w:rPr>
          <w:rFonts w:ascii="Calibri" w:eastAsia="Times New Roman" w:hAnsi="Calibri" w:cs="Calibri"/>
          <w:sz w:val="24"/>
          <w:szCs w:val="24"/>
        </w:rPr>
        <w:t xml:space="preserve"> Steps should be taken to ensure that women in same</w:t>
      </w:r>
      <w:r w:rsidR="088E93D4" w:rsidRPr="005607BA">
        <w:rPr>
          <w:rFonts w:ascii="Calibri" w:eastAsia="Times New Roman" w:hAnsi="Calibri" w:cs="Calibri"/>
          <w:sz w:val="24"/>
          <w:szCs w:val="24"/>
        </w:rPr>
        <w:t>-sex partnerships have access to all privileges and benefits granted to those in opposite-sex partnerships, including social welfare benefits, insurance</w:t>
      </w:r>
      <w:r w:rsidR="08D28A65" w:rsidRPr="005607BA">
        <w:rPr>
          <w:rFonts w:ascii="Calibri" w:eastAsia="Times New Roman" w:hAnsi="Calibri" w:cs="Calibri"/>
          <w:sz w:val="24"/>
          <w:szCs w:val="24"/>
        </w:rPr>
        <w:t xml:space="preserve"> </w:t>
      </w:r>
      <w:r w:rsidR="7BF5F3C8" w:rsidRPr="005607BA">
        <w:rPr>
          <w:rFonts w:ascii="Calibri" w:eastAsia="Times New Roman" w:hAnsi="Calibri" w:cs="Calibri"/>
          <w:sz w:val="24"/>
          <w:szCs w:val="24"/>
        </w:rPr>
        <w:t>benefits</w:t>
      </w:r>
      <w:r w:rsidR="088E93D4" w:rsidRPr="005607BA">
        <w:rPr>
          <w:rFonts w:ascii="Calibri" w:eastAsia="Times New Roman" w:hAnsi="Calibri" w:cs="Calibri"/>
          <w:sz w:val="24"/>
          <w:szCs w:val="24"/>
        </w:rPr>
        <w:t xml:space="preserve">, decision-making rights, hospital visits etc. </w:t>
      </w:r>
    </w:p>
    <w:p w14:paraId="63B237CA" w14:textId="2FEB9153" w:rsidR="4469A2D2" w:rsidRPr="00DB4D24" w:rsidRDefault="5925CCBA"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Housing: </w:t>
      </w:r>
    </w:p>
    <w:p w14:paraId="5A5844D7" w14:textId="6F8A9C71" w:rsidR="4469A2D2" w:rsidRPr="005607BA" w:rsidRDefault="5925CCBA" w:rsidP="005607BA">
      <w:pPr>
        <w:pStyle w:val="Prrafodelista"/>
        <w:numPr>
          <w:ilvl w:val="0"/>
          <w:numId w:val="13"/>
        </w:numPr>
        <w:jc w:val="both"/>
        <w:rPr>
          <w:rFonts w:ascii="Calibri" w:eastAsia="Times New Roman" w:hAnsi="Calibri" w:cs="Calibri"/>
          <w:sz w:val="24"/>
          <w:szCs w:val="24"/>
        </w:rPr>
      </w:pPr>
      <w:r w:rsidRPr="005607BA">
        <w:rPr>
          <w:rFonts w:ascii="Calibri" w:eastAsia="Times New Roman" w:hAnsi="Calibri" w:cs="Calibri"/>
          <w:sz w:val="24"/>
          <w:szCs w:val="24"/>
        </w:rPr>
        <w:lastRenderedPageBreak/>
        <w:t xml:space="preserve">Housing and anti-homelessness programmes should specifically target LBTQ women, taking into account the unique challenges and needs of this group in relation to housing. </w:t>
      </w:r>
    </w:p>
    <w:p w14:paraId="048F8CA7" w14:textId="04344578" w:rsidR="4469A2D2" w:rsidRPr="005607BA" w:rsidRDefault="5925CCBA" w:rsidP="005607BA">
      <w:pPr>
        <w:pStyle w:val="Prrafodelista"/>
        <w:numPr>
          <w:ilvl w:val="0"/>
          <w:numId w:val="13"/>
        </w:numPr>
        <w:jc w:val="both"/>
        <w:rPr>
          <w:rFonts w:ascii="Calibri" w:eastAsia="Times New Roman" w:hAnsi="Calibri" w:cs="Calibri"/>
          <w:sz w:val="24"/>
          <w:szCs w:val="24"/>
        </w:rPr>
      </w:pPr>
      <w:r w:rsidRPr="005607BA">
        <w:rPr>
          <w:rFonts w:ascii="Calibri" w:eastAsia="Times New Roman" w:hAnsi="Calibri" w:cs="Calibri"/>
          <w:sz w:val="24"/>
          <w:szCs w:val="24"/>
        </w:rPr>
        <w:t xml:space="preserve">Legislation outlawing discrimination against LBTQ women in relation to renting </w:t>
      </w:r>
      <w:r w:rsidR="5CD62D81" w:rsidRPr="005607BA">
        <w:rPr>
          <w:rFonts w:ascii="Calibri" w:eastAsia="Times New Roman" w:hAnsi="Calibri" w:cs="Calibri"/>
          <w:sz w:val="24"/>
          <w:szCs w:val="24"/>
        </w:rPr>
        <w:t xml:space="preserve">and buying property should be introduced and enforced. </w:t>
      </w:r>
    </w:p>
    <w:p w14:paraId="18F39F57" w14:textId="4A46049B" w:rsidR="4469A2D2" w:rsidRPr="005607BA" w:rsidRDefault="5CD62D81" w:rsidP="005607BA">
      <w:pPr>
        <w:pStyle w:val="Prrafodelista"/>
        <w:numPr>
          <w:ilvl w:val="0"/>
          <w:numId w:val="13"/>
        </w:numPr>
        <w:jc w:val="both"/>
        <w:rPr>
          <w:rFonts w:ascii="Calibri" w:eastAsia="Times New Roman" w:hAnsi="Calibri" w:cs="Calibri"/>
          <w:sz w:val="24"/>
          <w:szCs w:val="24"/>
        </w:rPr>
      </w:pPr>
      <w:r w:rsidRPr="005607BA">
        <w:rPr>
          <w:rFonts w:ascii="Calibri" w:eastAsia="Times New Roman" w:hAnsi="Calibri" w:cs="Calibri"/>
          <w:sz w:val="24"/>
          <w:szCs w:val="24"/>
        </w:rPr>
        <w:t xml:space="preserve">Measures should be taken to ensure that homeless shelters, domestic violence shelters and all other housing support services are cognizant of the specific needs of LBTQ women and do not discriminate against this group. </w:t>
      </w:r>
    </w:p>
    <w:p w14:paraId="1FA29013" w14:textId="73C1728F" w:rsidR="4469A2D2" w:rsidRPr="00DB4D24" w:rsidRDefault="1EB1F614"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Healthcare: </w:t>
      </w:r>
    </w:p>
    <w:p w14:paraId="418FD975" w14:textId="02E0877E" w:rsidR="4469A2D2" w:rsidRPr="005607BA" w:rsidRDefault="1EB1F614" w:rsidP="005607BA">
      <w:pPr>
        <w:pStyle w:val="Prrafodelista"/>
        <w:numPr>
          <w:ilvl w:val="0"/>
          <w:numId w:val="14"/>
        </w:numPr>
        <w:jc w:val="both"/>
        <w:rPr>
          <w:rFonts w:ascii="Calibri" w:eastAsia="Times New Roman" w:hAnsi="Calibri" w:cs="Calibri"/>
          <w:sz w:val="24"/>
          <w:szCs w:val="24"/>
        </w:rPr>
      </w:pPr>
      <w:r w:rsidRPr="005607BA">
        <w:rPr>
          <w:rFonts w:ascii="Calibri" w:eastAsia="Times New Roman" w:hAnsi="Calibri" w:cs="Calibri"/>
          <w:sz w:val="24"/>
          <w:szCs w:val="24"/>
        </w:rPr>
        <w:t xml:space="preserve">Measures should be taken to address disparities in physical and mental health outcomes for LBTQ women, including the introduction of tailored healthcare supports. </w:t>
      </w:r>
    </w:p>
    <w:p w14:paraId="4E4A6101" w14:textId="203439F6" w:rsidR="4469A2D2" w:rsidRPr="005607BA" w:rsidRDefault="5D56DB45" w:rsidP="005607BA">
      <w:pPr>
        <w:pStyle w:val="Prrafodelista"/>
        <w:numPr>
          <w:ilvl w:val="0"/>
          <w:numId w:val="14"/>
        </w:numPr>
        <w:jc w:val="both"/>
        <w:rPr>
          <w:rFonts w:ascii="Calibri" w:eastAsia="Times New Roman" w:hAnsi="Calibri" w:cs="Calibri"/>
          <w:sz w:val="24"/>
          <w:szCs w:val="24"/>
        </w:rPr>
      </w:pPr>
      <w:r w:rsidRPr="005607BA">
        <w:rPr>
          <w:rFonts w:ascii="Calibri" w:eastAsia="Times New Roman" w:hAnsi="Calibri" w:cs="Calibri"/>
          <w:sz w:val="24"/>
          <w:szCs w:val="24"/>
        </w:rPr>
        <w:t xml:space="preserve">Steps should be taken to ensure that healthcare providers are cognizant of the needs of LBTQ women and do not perpetuate stigma or discrimination towards this group. </w:t>
      </w:r>
    </w:p>
    <w:p w14:paraId="08E3B90A" w14:textId="3A44C5CE" w:rsidR="4469A2D2" w:rsidRPr="005607BA" w:rsidRDefault="689EA205" w:rsidP="005607BA">
      <w:pPr>
        <w:pStyle w:val="Prrafodelista"/>
        <w:numPr>
          <w:ilvl w:val="0"/>
          <w:numId w:val="14"/>
        </w:numPr>
        <w:jc w:val="both"/>
        <w:rPr>
          <w:rFonts w:ascii="Calibri" w:eastAsia="Times New Roman" w:hAnsi="Calibri" w:cs="Calibri"/>
          <w:sz w:val="24"/>
          <w:szCs w:val="24"/>
        </w:rPr>
      </w:pPr>
      <w:r w:rsidRPr="005607BA">
        <w:rPr>
          <w:rFonts w:ascii="Calibri" w:eastAsia="Times New Roman" w:hAnsi="Calibri" w:cs="Calibri"/>
          <w:sz w:val="24"/>
          <w:szCs w:val="24"/>
        </w:rPr>
        <w:t xml:space="preserve">Targeted strategies should be introduced to address the HIV epidemic </w:t>
      </w:r>
      <w:r w:rsidR="009A5E0C" w:rsidRPr="005607BA">
        <w:rPr>
          <w:rFonts w:ascii="Calibri" w:eastAsia="Times New Roman" w:hAnsi="Calibri" w:cs="Calibri"/>
          <w:sz w:val="24"/>
          <w:szCs w:val="24"/>
        </w:rPr>
        <w:t>among</w:t>
      </w:r>
      <w:r w:rsidRPr="005607BA">
        <w:rPr>
          <w:rFonts w:ascii="Calibri" w:eastAsia="Times New Roman" w:hAnsi="Calibri" w:cs="Calibri"/>
          <w:sz w:val="24"/>
          <w:szCs w:val="24"/>
        </w:rPr>
        <w:t xml:space="preserve"> trans women, including</w:t>
      </w:r>
      <w:r w:rsidR="6C4F02CC" w:rsidRPr="005607BA">
        <w:rPr>
          <w:rFonts w:ascii="Calibri" w:eastAsia="Times New Roman" w:hAnsi="Calibri" w:cs="Calibri"/>
          <w:sz w:val="24"/>
          <w:szCs w:val="24"/>
        </w:rPr>
        <w:t xml:space="preserve"> ensuring</w:t>
      </w:r>
      <w:r w:rsidRPr="005607BA">
        <w:rPr>
          <w:rFonts w:ascii="Calibri" w:eastAsia="Times New Roman" w:hAnsi="Calibri" w:cs="Calibri"/>
          <w:sz w:val="24"/>
          <w:szCs w:val="24"/>
        </w:rPr>
        <w:t xml:space="preserve"> </w:t>
      </w:r>
      <w:r w:rsidR="5A64625F" w:rsidRPr="005607BA">
        <w:rPr>
          <w:rFonts w:ascii="Calibri" w:eastAsia="Times New Roman" w:hAnsi="Calibri" w:cs="Calibri"/>
          <w:sz w:val="24"/>
          <w:szCs w:val="24"/>
        </w:rPr>
        <w:t xml:space="preserve">access to information on HIV </w:t>
      </w:r>
      <w:r w:rsidR="724AB91B" w:rsidRPr="005607BA">
        <w:rPr>
          <w:rFonts w:ascii="Calibri" w:eastAsia="Times New Roman" w:hAnsi="Calibri" w:cs="Calibri"/>
          <w:sz w:val="24"/>
          <w:szCs w:val="24"/>
        </w:rPr>
        <w:t>and other STIs</w:t>
      </w:r>
      <w:r w:rsidR="7A4CFF29" w:rsidRPr="005607BA">
        <w:rPr>
          <w:rFonts w:ascii="Calibri" w:eastAsia="Times New Roman" w:hAnsi="Calibri" w:cs="Calibri"/>
          <w:sz w:val="24"/>
          <w:szCs w:val="24"/>
        </w:rPr>
        <w:t xml:space="preserve">, </w:t>
      </w:r>
      <w:r w:rsidR="184456F4" w:rsidRPr="005607BA">
        <w:rPr>
          <w:rFonts w:ascii="Calibri" w:eastAsia="Times New Roman" w:hAnsi="Calibri" w:cs="Calibri"/>
          <w:sz w:val="24"/>
          <w:szCs w:val="24"/>
        </w:rPr>
        <w:t xml:space="preserve">equal </w:t>
      </w:r>
      <w:r w:rsidR="7A4CFF29" w:rsidRPr="005607BA">
        <w:rPr>
          <w:rFonts w:ascii="Calibri" w:eastAsia="Times New Roman" w:hAnsi="Calibri" w:cs="Calibri"/>
          <w:sz w:val="24"/>
          <w:szCs w:val="24"/>
        </w:rPr>
        <w:t xml:space="preserve">access to condoms and other sexual health </w:t>
      </w:r>
      <w:r w:rsidR="5ED8AF9B" w:rsidRPr="005607BA">
        <w:rPr>
          <w:rFonts w:ascii="Calibri" w:eastAsia="Times New Roman" w:hAnsi="Calibri" w:cs="Calibri"/>
          <w:sz w:val="24"/>
          <w:szCs w:val="24"/>
        </w:rPr>
        <w:t>necessities</w:t>
      </w:r>
      <w:r w:rsidR="7A4CFF29" w:rsidRPr="005607BA">
        <w:rPr>
          <w:rFonts w:ascii="Calibri" w:eastAsia="Times New Roman" w:hAnsi="Calibri" w:cs="Calibri"/>
          <w:sz w:val="24"/>
          <w:szCs w:val="24"/>
        </w:rPr>
        <w:t xml:space="preserve"> and </w:t>
      </w:r>
      <w:r w:rsidR="6922D427" w:rsidRPr="005607BA">
        <w:rPr>
          <w:rFonts w:ascii="Calibri" w:eastAsia="Times New Roman" w:hAnsi="Calibri" w:cs="Calibri"/>
          <w:sz w:val="24"/>
          <w:szCs w:val="24"/>
        </w:rPr>
        <w:t>equal access to treatment</w:t>
      </w:r>
      <w:r w:rsidR="4B1D4343" w:rsidRPr="005607BA">
        <w:rPr>
          <w:rFonts w:ascii="Calibri" w:eastAsia="Times New Roman" w:hAnsi="Calibri" w:cs="Calibri"/>
          <w:sz w:val="24"/>
          <w:szCs w:val="24"/>
        </w:rPr>
        <w:t xml:space="preserve">. </w:t>
      </w:r>
    </w:p>
    <w:p w14:paraId="4233373C" w14:textId="3CFFBACA" w:rsidR="4469A2D2" w:rsidRPr="00DB4D24" w:rsidRDefault="2AF3E7FE" w:rsidP="00DD023D">
      <w:pPr>
        <w:jc w:val="both"/>
        <w:rPr>
          <w:rFonts w:ascii="Calibri" w:eastAsia="Times New Roman" w:hAnsi="Calibri" w:cs="Calibri"/>
          <w:b/>
          <w:bCs/>
          <w:sz w:val="24"/>
          <w:szCs w:val="24"/>
        </w:rPr>
      </w:pPr>
      <w:r w:rsidRPr="00DD023D">
        <w:rPr>
          <w:rFonts w:ascii="Calibri" w:eastAsia="Times New Roman" w:hAnsi="Calibri" w:cs="Calibri"/>
          <w:b/>
          <w:bCs/>
          <w:sz w:val="24"/>
          <w:szCs w:val="24"/>
        </w:rPr>
        <w:t xml:space="preserve">Push Factors: </w:t>
      </w:r>
    </w:p>
    <w:p w14:paraId="3DFF9D18" w14:textId="305FDA77" w:rsidR="4469A2D2" w:rsidRPr="005607BA" w:rsidRDefault="2AF3E7FE" w:rsidP="005607BA">
      <w:pPr>
        <w:pStyle w:val="Prrafodelista"/>
        <w:numPr>
          <w:ilvl w:val="0"/>
          <w:numId w:val="15"/>
        </w:numPr>
        <w:jc w:val="both"/>
        <w:rPr>
          <w:rFonts w:ascii="Calibri" w:eastAsia="Times New Roman" w:hAnsi="Calibri" w:cs="Calibri"/>
          <w:sz w:val="24"/>
          <w:szCs w:val="24"/>
        </w:rPr>
      </w:pPr>
      <w:r w:rsidRPr="005607BA">
        <w:rPr>
          <w:rFonts w:ascii="Calibri" w:eastAsia="Times New Roman" w:hAnsi="Calibri" w:cs="Calibri"/>
          <w:sz w:val="24"/>
          <w:szCs w:val="24"/>
        </w:rPr>
        <w:t xml:space="preserve">Any and all legislation which criminalizes LGBTI identities should be repealed, including so-called “impersonation” laws which </w:t>
      </w:r>
      <w:r w:rsidR="7BC42C17" w:rsidRPr="005607BA">
        <w:rPr>
          <w:rFonts w:ascii="Calibri" w:eastAsia="Times New Roman" w:hAnsi="Calibri" w:cs="Calibri"/>
          <w:sz w:val="24"/>
          <w:szCs w:val="24"/>
        </w:rPr>
        <w:t>criminalize</w:t>
      </w:r>
      <w:r w:rsidRPr="005607BA">
        <w:rPr>
          <w:rFonts w:ascii="Calibri" w:eastAsia="Times New Roman" w:hAnsi="Calibri" w:cs="Calibri"/>
          <w:sz w:val="24"/>
          <w:szCs w:val="24"/>
        </w:rPr>
        <w:t xml:space="preserve"> diverse gender expression.</w:t>
      </w:r>
    </w:p>
    <w:p w14:paraId="229E26C4" w14:textId="47BA84FA" w:rsidR="4469A2D2" w:rsidRPr="005607BA" w:rsidRDefault="75E1C7D5" w:rsidP="005607BA">
      <w:pPr>
        <w:pStyle w:val="Prrafodelista"/>
        <w:numPr>
          <w:ilvl w:val="0"/>
          <w:numId w:val="15"/>
        </w:numPr>
        <w:jc w:val="both"/>
        <w:rPr>
          <w:rFonts w:ascii="Calibri" w:eastAsia="Times New Roman" w:hAnsi="Calibri" w:cs="Calibri"/>
          <w:sz w:val="24"/>
          <w:szCs w:val="24"/>
        </w:rPr>
      </w:pPr>
      <w:r w:rsidRPr="005607BA">
        <w:rPr>
          <w:rFonts w:ascii="Calibri" w:eastAsia="Times New Roman" w:hAnsi="Calibri" w:cs="Calibri"/>
          <w:sz w:val="24"/>
          <w:szCs w:val="24"/>
        </w:rPr>
        <w:t xml:space="preserve">Measures should be taken to combat and eradicate violence against LBTQ women, including practices of forced marriages, corrective rape and conversion therapy. </w:t>
      </w:r>
      <w:r w:rsidR="2AF3E7FE" w:rsidRPr="005607BA">
        <w:rPr>
          <w:rFonts w:ascii="Calibri" w:eastAsia="Times New Roman" w:hAnsi="Calibri" w:cs="Calibri"/>
          <w:sz w:val="24"/>
          <w:szCs w:val="24"/>
        </w:rPr>
        <w:t xml:space="preserve"> </w:t>
      </w:r>
    </w:p>
    <w:p w14:paraId="68378322" w14:textId="1B152C08" w:rsidR="4469A2D2" w:rsidRPr="005607BA" w:rsidRDefault="419134E4" w:rsidP="005607BA">
      <w:pPr>
        <w:pStyle w:val="Prrafodelista"/>
        <w:numPr>
          <w:ilvl w:val="0"/>
          <w:numId w:val="15"/>
        </w:numPr>
        <w:jc w:val="both"/>
        <w:rPr>
          <w:rFonts w:ascii="Calibri" w:eastAsia="Times New Roman" w:hAnsi="Calibri" w:cs="Calibri"/>
          <w:sz w:val="24"/>
          <w:szCs w:val="24"/>
        </w:rPr>
      </w:pPr>
      <w:r w:rsidRPr="005607BA">
        <w:rPr>
          <w:rFonts w:ascii="Calibri" w:eastAsia="Times New Roman" w:hAnsi="Calibri" w:cs="Calibri"/>
          <w:sz w:val="24"/>
          <w:szCs w:val="24"/>
        </w:rPr>
        <w:t>The use of section</w:t>
      </w:r>
      <w:r w:rsidR="00B31BDA" w:rsidRPr="005607BA">
        <w:rPr>
          <w:rFonts w:ascii="Calibri" w:eastAsia="Times New Roman" w:hAnsi="Calibri" w:cs="Calibri"/>
          <w:sz w:val="24"/>
          <w:szCs w:val="24"/>
        </w:rPr>
        <w:t xml:space="preserve">s </w:t>
      </w:r>
      <w:r w:rsidRPr="005607BA">
        <w:rPr>
          <w:rFonts w:ascii="Calibri" w:eastAsia="Times New Roman" w:hAnsi="Calibri" w:cs="Calibri"/>
          <w:sz w:val="24"/>
          <w:szCs w:val="24"/>
        </w:rPr>
        <w:t xml:space="preserve">365 and 365 A of the Penal Code of Sri Lanka to </w:t>
      </w:r>
      <w:r w:rsidR="009A5E0C" w:rsidRPr="005607BA">
        <w:rPr>
          <w:rFonts w:ascii="Calibri" w:eastAsia="Times New Roman" w:hAnsi="Calibri" w:cs="Calibri"/>
          <w:sz w:val="24"/>
          <w:szCs w:val="24"/>
        </w:rPr>
        <w:t>criminalize</w:t>
      </w:r>
      <w:r w:rsidRPr="005607BA">
        <w:rPr>
          <w:rFonts w:ascii="Calibri" w:eastAsia="Times New Roman" w:hAnsi="Calibri" w:cs="Calibri"/>
          <w:sz w:val="24"/>
          <w:szCs w:val="24"/>
        </w:rPr>
        <w:t xml:space="preserve"> same-sex relations should be avoided</w:t>
      </w:r>
      <w:r w:rsidR="2CA87001" w:rsidRPr="005607BA">
        <w:rPr>
          <w:rFonts w:ascii="Calibri" w:eastAsia="Times New Roman" w:hAnsi="Calibri" w:cs="Calibri"/>
          <w:sz w:val="24"/>
          <w:szCs w:val="24"/>
        </w:rPr>
        <w:t>, and the provisions</w:t>
      </w:r>
      <w:r w:rsidR="61BA9029" w:rsidRPr="005607BA">
        <w:rPr>
          <w:rFonts w:ascii="Calibri" w:eastAsia="Times New Roman" w:hAnsi="Calibri" w:cs="Calibri"/>
          <w:sz w:val="24"/>
          <w:szCs w:val="24"/>
        </w:rPr>
        <w:t xml:space="preserve"> that target LGBTQ persons in practice should be repealed. </w:t>
      </w:r>
    </w:p>
    <w:p w14:paraId="6226ED8A" w14:textId="4410BBE2" w:rsidR="4469A2D2" w:rsidRPr="00DB4D24" w:rsidRDefault="4469A2D2" w:rsidP="00DD023D">
      <w:pPr>
        <w:jc w:val="both"/>
        <w:rPr>
          <w:rFonts w:ascii="Calibri" w:eastAsia="Times New Roman" w:hAnsi="Calibri" w:cs="Calibri"/>
          <w:sz w:val="24"/>
          <w:szCs w:val="24"/>
        </w:rPr>
      </w:pPr>
    </w:p>
    <w:p w14:paraId="1316B22F" w14:textId="31266AB9" w:rsidR="4469A2D2" w:rsidRPr="00DB4D24" w:rsidRDefault="4469A2D2" w:rsidP="00DD023D">
      <w:pPr>
        <w:jc w:val="both"/>
        <w:rPr>
          <w:rFonts w:ascii="Calibri" w:eastAsia="Times New Roman" w:hAnsi="Calibri" w:cs="Calibri"/>
          <w:sz w:val="24"/>
          <w:szCs w:val="24"/>
        </w:rPr>
      </w:pPr>
    </w:p>
    <w:p w14:paraId="097CAB5B" w14:textId="2F29BA6E" w:rsidR="4469A2D2" w:rsidRPr="00DB4D24" w:rsidRDefault="4469A2D2" w:rsidP="00DD023D">
      <w:pPr>
        <w:jc w:val="both"/>
        <w:rPr>
          <w:rFonts w:ascii="Calibri" w:eastAsia="Times New Roman" w:hAnsi="Calibri" w:cs="Calibri"/>
          <w:sz w:val="24"/>
          <w:szCs w:val="24"/>
        </w:rPr>
      </w:pPr>
    </w:p>
    <w:p w14:paraId="66374075" w14:textId="6F683B77" w:rsidR="4469A2D2" w:rsidRPr="00DB4D24" w:rsidRDefault="4469A2D2" w:rsidP="00DD023D">
      <w:pPr>
        <w:jc w:val="both"/>
        <w:rPr>
          <w:rFonts w:ascii="Calibri" w:eastAsia="Times New Roman" w:hAnsi="Calibri" w:cs="Calibri"/>
          <w:sz w:val="24"/>
          <w:szCs w:val="24"/>
        </w:rPr>
      </w:pPr>
    </w:p>
    <w:p w14:paraId="409EFEC6" w14:textId="6474FF31" w:rsidR="4469A2D2" w:rsidRPr="00DB4D24" w:rsidRDefault="4469A2D2" w:rsidP="00DD023D">
      <w:pPr>
        <w:jc w:val="both"/>
        <w:rPr>
          <w:rFonts w:ascii="Calibri" w:eastAsia="Times New Roman" w:hAnsi="Calibri" w:cs="Calibri"/>
          <w:sz w:val="24"/>
          <w:szCs w:val="24"/>
        </w:rPr>
      </w:pPr>
    </w:p>
    <w:sectPr w:rsidR="4469A2D2" w:rsidRPr="00DB4D24" w:rsidSect="00B02FF1">
      <w:headerReference w:type="first" r:id="rId11"/>
      <w:pgSz w:w="12240" w:h="15840"/>
      <w:pgMar w:top="1440" w:right="144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EA51FF" w16cex:dateUtc="2022-10-14T10:56:17.76Z"/>
  <w16cex:commentExtensible w16cex:durableId="3CFEFECF" w16cex:dateUtc="2022-10-14T10:57:37.249Z"/>
  <w16cex:commentExtensible w16cex:durableId="700C8EB2" w16cex:dateUtc="2022-10-20T10:32:11.403Z"/>
  <w16cex:commentExtensible w16cex:durableId="4C8A5C7F" w16cex:dateUtc="2022-10-20T09:53:05.402Z"/>
  <w16cex:commentExtensible w16cex:durableId="435BDE9C" w16cex:dateUtc="2022-10-17T16:14:05.627Z"/>
</w16cex:commentsExtensible>
</file>

<file path=word/commentsIds.xml><?xml version="1.0" encoding="utf-8"?>
<w16cid:commentsIds xmlns:mc="http://schemas.openxmlformats.org/markup-compatibility/2006" xmlns:w16cid="http://schemas.microsoft.com/office/word/2016/wordml/cid" mc:Ignorable="w16cid">
  <w16cid:commentId w16cid:paraId="0410442B" w16cid:durableId="0DEA51FF"/>
  <w16cid:commentId w16cid:paraId="18D12E2D" w16cid:durableId="3CFEFECF"/>
  <w16cid:commentId w16cid:paraId="264DEAD7" w16cid:durableId="435BDE9C"/>
  <w16cid:commentId w16cid:paraId="70DA7A00" w16cid:durableId="4C8A5C7F"/>
  <w16cid:commentId w16cid:paraId="44D024B3" w16cid:durableId="700C8E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02CE" w14:textId="77777777" w:rsidR="009C11A6" w:rsidRDefault="009C11A6">
      <w:pPr>
        <w:spacing w:after="0" w:line="240" w:lineRule="auto"/>
      </w:pPr>
      <w:r>
        <w:separator/>
      </w:r>
    </w:p>
  </w:endnote>
  <w:endnote w:type="continuationSeparator" w:id="0">
    <w:p w14:paraId="55903A1B" w14:textId="77777777" w:rsidR="009C11A6" w:rsidRDefault="009C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ED570" w14:textId="77777777" w:rsidR="009C11A6" w:rsidRDefault="009C11A6">
      <w:pPr>
        <w:spacing w:after="0" w:line="240" w:lineRule="auto"/>
      </w:pPr>
      <w:r>
        <w:separator/>
      </w:r>
    </w:p>
  </w:footnote>
  <w:footnote w:type="continuationSeparator" w:id="0">
    <w:p w14:paraId="6AA4A544" w14:textId="77777777" w:rsidR="009C11A6" w:rsidRDefault="009C11A6">
      <w:pPr>
        <w:spacing w:after="0" w:line="240" w:lineRule="auto"/>
      </w:pPr>
      <w:r>
        <w:continuationSeparator/>
      </w:r>
    </w:p>
  </w:footnote>
  <w:footnote w:id="1">
    <w:p w14:paraId="5ED25B25" w14:textId="58018DDD" w:rsidR="5158DEB1" w:rsidRPr="00B02FF1" w:rsidRDefault="5158DEB1"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LGBT poverty in the United States (2019) The Williams institute. https://williamsinstitute.law.ucla.edu/publications/lgbt-poverty-us/   </w:t>
      </w:r>
    </w:p>
  </w:footnote>
  <w:footnote w:id="2">
    <w:p w14:paraId="33A5007A" w14:textId="15F12130" w:rsidR="5158DEB1" w:rsidRPr="00B02FF1" w:rsidRDefault="5158DEB1"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Movement Advancement Project and Center for American Progress. March 2015. Paying an Unfair Price: The Financial Penalty for LGBT Women in America. https://www.lgbtmap.org/unfair-price-lgbt-women   </w:t>
      </w:r>
    </w:p>
  </w:footnote>
  <w:footnote w:id="3">
    <w:p w14:paraId="5A106B6E" w14:textId="566C098C" w:rsidR="5158DEB1" w:rsidRPr="00B02FF1" w:rsidRDefault="5158DEB1" w:rsidP="00B02FF1">
      <w:pPr>
        <w:pStyle w:val="Textonotapie"/>
        <w:rPr>
          <w:rFonts w:cstheme="minorHAnsi"/>
        </w:rPr>
      </w:pPr>
      <w:r w:rsidRPr="00B02FF1">
        <w:rPr>
          <w:rStyle w:val="Refdenotaalpie"/>
          <w:rFonts w:eastAsia="Times New Roman" w:cstheme="minorHAnsi"/>
        </w:rPr>
        <w:footnoteRef/>
      </w:r>
      <w:r w:rsidRPr="00B02FF1">
        <w:rPr>
          <w:rFonts w:eastAsia="Times New Roman" w:cstheme="minorHAnsi"/>
        </w:rPr>
        <w:t xml:space="preserve"> Movement Advancement Project and Center for American Progress. March 2015. Paying an Unfair Price: The Financial Penalty for LGBT Women in America. https://www.lgbtmap.org/unfair-price-lgbt-women  </w:t>
      </w:r>
      <w:r w:rsidRPr="00B02FF1">
        <w:rPr>
          <w:rFonts w:cstheme="minorHAnsi"/>
        </w:rPr>
        <w:t xml:space="preserve"> </w:t>
      </w:r>
    </w:p>
  </w:footnote>
  <w:footnote w:id="4">
    <w:p w14:paraId="5E68A722" w14:textId="2A06C1FA" w:rsidR="5158DEB1" w:rsidRPr="00B02FF1" w:rsidRDefault="5158DEB1"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Mishel, “Discrimination against Queer Women in the U.S. Workforce: A Résumé Audit Study” </w:t>
      </w:r>
      <w:r w:rsidRPr="00B02FF1">
        <w:rPr>
          <w:rFonts w:eastAsia="Times New Roman" w:cstheme="minorHAnsi"/>
          <w:i/>
          <w:iCs/>
        </w:rPr>
        <w:t>American Sociological Association Journal,</w:t>
      </w:r>
      <w:r w:rsidRPr="00B02FF1">
        <w:rPr>
          <w:rFonts w:eastAsia="Times New Roman" w:cstheme="minorHAnsi"/>
        </w:rPr>
        <w:t xml:space="preserve"> 2016. </w:t>
      </w:r>
    </w:p>
  </w:footnote>
  <w:footnote w:id="5">
    <w:p w14:paraId="34E0F4C0" w14:textId="604C5A1A" w:rsidR="5158DEB1" w:rsidRPr="00B02FF1" w:rsidRDefault="5158DEB1"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Human Rights Campaign, “The LGBTQ+ Women’s Wage Gap in the United States” </w:t>
      </w:r>
      <w:r w:rsidRPr="00B02FF1">
        <w:rPr>
          <w:rFonts w:eastAsia="Times New Roman" w:cstheme="minorHAnsi"/>
          <w:i/>
          <w:iCs/>
        </w:rPr>
        <w:t>HRC Foundation</w:t>
      </w:r>
      <w:r w:rsidRPr="00B02FF1">
        <w:rPr>
          <w:rFonts w:eastAsia="Times New Roman" w:cstheme="minorHAnsi"/>
        </w:rPr>
        <w:t xml:space="preserve">, 2022. </w:t>
      </w:r>
      <w:hyperlink r:id="rId1">
        <w:r w:rsidRPr="00B02FF1">
          <w:rPr>
            <w:rStyle w:val="Hipervnculo"/>
            <w:rFonts w:eastAsia="Times New Roman" w:cstheme="minorHAnsi"/>
          </w:rPr>
          <w:t>https://www.hrc.org/resources/lgbtq-womens-wage-gap</w:t>
        </w:r>
      </w:hyperlink>
      <w:r w:rsidRPr="00B02FF1">
        <w:rPr>
          <w:rFonts w:eastAsia="Times New Roman" w:cstheme="minorHAnsi"/>
        </w:rPr>
        <w:t xml:space="preserve"> </w:t>
      </w:r>
    </w:p>
  </w:footnote>
  <w:footnote w:id="6">
    <w:p w14:paraId="6D51F022" w14:textId="6C297FD1" w:rsidR="5158DEB1" w:rsidRPr="00B02FF1" w:rsidRDefault="5158DEB1"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Waite “Lesbian, gay and bisexual earnings in the Canadian labor market: New evidence from the Canadian Community Health Survey”</w:t>
      </w:r>
      <w:r w:rsidRPr="00B02FF1">
        <w:rPr>
          <w:rFonts w:eastAsia="Times New Roman" w:cstheme="minorHAnsi"/>
          <w:i/>
          <w:iCs/>
        </w:rPr>
        <w:t xml:space="preserve"> Research in Social Stratification and Mobility</w:t>
      </w:r>
      <w:r w:rsidRPr="00B02FF1">
        <w:rPr>
          <w:rFonts w:eastAsia="Times New Roman" w:cstheme="minorHAnsi"/>
        </w:rPr>
        <w:t xml:space="preserve">, 2020. </w:t>
      </w:r>
    </w:p>
  </w:footnote>
  <w:footnote w:id="7">
    <w:p w14:paraId="4EAECADA" w14:textId="30569CAA" w:rsidR="5158DEB1" w:rsidRPr="005607BA" w:rsidRDefault="5158DEB1" w:rsidP="00B02FF1">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Waite “Lesbian, gay and bisexual earnings in the Canadian labor market: New evidence from the Canadian Community Health Survey” Research in Social Stratification and Mobility, 2020.  </w:t>
      </w:r>
    </w:p>
  </w:footnote>
  <w:footnote w:id="8">
    <w:p w14:paraId="138BDD37" w14:textId="1BCB1113" w:rsidR="5158DEB1" w:rsidRPr="005607BA" w:rsidRDefault="5158DEB1" w:rsidP="00B02FF1">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1 Movement Advancement Project and Center for American Progress. March 2015. Paying an Unfair Price: The Financial Penalty for LGBT Women in America. https://www.lgbtmap.org/unfair-price-lgbt-women     </w:t>
      </w:r>
    </w:p>
  </w:footnote>
  <w:footnote w:id="9">
    <w:p w14:paraId="55117CC4" w14:textId="116D529B" w:rsidR="5158DEB1" w:rsidRPr="005607BA" w:rsidRDefault="5158DEB1" w:rsidP="00B02FF1">
      <w:pPr>
        <w:spacing w:after="0" w:line="240" w:lineRule="auto"/>
        <w:rPr>
          <w:rFonts w:ascii="Calibri" w:hAnsi="Calibri" w:cs="Calibri"/>
          <w:sz w:val="20"/>
          <w:szCs w:val="20"/>
        </w:rPr>
      </w:pPr>
      <w:r w:rsidRPr="005607BA">
        <w:rPr>
          <w:rStyle w:val="Refdenotaalpie"/>
          <w:rFonts w:ascii="Calibri" w:eastAsia="Times New Roman" w:hAnsi="Calibri" w:cs="Calibri"/>
          <w:sz w:val="20"/>
          <w:szCs w:val="20"/>
        </w:rPr>
        <w:footnoteRef/>
      </w:r>
      <w:r w:rsidRPr="005607BA">
        <w:rPr>
          <w:rFonts w:ascii="Calibri" w:eastAsia="Times New Roman" w:hAnsi="Calibri" w:cs="Calibri"/>
          <w:sz w:val="20"/>
          <w:szCs w:val="20"/>
        </w:rPr>
        <w:t xml:space="preserve"> </w:t>
      </w:r>
      <w:r w:rsidRPr="005607BA">
        <w:rPr>
          <w:rFonts w:ascii="Calibri" w:eastAsia="Times New Roman" w:hAnsi="Calibri" w:cs="Calibri"/>
          <w:color w:val="000000" w:themeColor="text1"/>
          <w:sz w:val="20"/>
          <w:szCs w:val="20"/>
          <w:lang w:val="en-GB"/>
        </w:rPr>
        <w:t xml:space="preserve">International Labour Organisation, </w:t>
      </w:r>
      <w:r w:rsidRPr="005607BA">
        <w:rPr>
          <w:rFonts w:ascii="Calibri" w:eastAsia="Times New Roman" w:hAnsi="Calibri" w:cs="Calibri"/>
          <w:i/>
          <w:iCs/>
          <w:color w:val="000000" w:themeColor="text1"/>
          <w:sz w:val="20"/>
          <w:szCs w:val="20"/>
          <w:lang w:val="en"/>
        </w:rPr>
        <w:t>Discrimination at work on the basis of sexual orientation and gender identity,</w:t>
      </w:r>
      <w:r w:rsidRPr="005607BA">
        <w:rPr>
          <w:rFonts w:ascii="Calibri" w:eastAsia="Times New Roman" w:hAnsi="Calibri" w:cs="Calibri"/>
          <w:color w:val="000000" w:themeColor="text1"/>
          <w:sz w:val="20"/>
          <w:szCs w:val="20"/>
          <w:lang w:val="en"/>
        </w:rPr>
        <w:t xml:space="preserve"> 2015. </w:t>
      </w:r>
      <w:hyperlink r:id="rId2">
        <w:r w:rsidRPr="005607BA">
          <w:rPr>
            <w:rStyle w:val="Hipervnculo"/>
            <w:rFonts w:ascii="Calibri" w:eastAsia="Times New Roman" w:hAnsi="Calibri" w:cs="Calibri"/>
            <w:sz w:val="20"/>
            <w:szCs w:val="20"/>
          </w:rPr>
          <w:t>https://www.ilo.org/gender/Informationresources/Publications/WCMS_368962/lang--en/index.htm</w:t>
        </w:r>
      </w:hyperlink>
    </w:p>
  </w:footnote>
  <w:footnote w:id="10">
    <w:p w14:paraId="121ECC43" w14:textId="08024354" w:rsidR="5158DEB1" w:rsidRPr="005607BA" w:rsidRDefault="5158DEB1" w:rsidP="00B02FF1">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Yi S. et al, “Social marginalization, gender-based violence, and binge drinking among transgender women in Cambodia”. Drug Alcohol Depend. 2020</w:t>
      </w:r>
    </w:p>
  </w:footnote>
  <w:footnote w:id="11">
    <w:p w14:paraId="006B0A7A" w14:textId="51A45C19" w:rsidR="5158DEB1" w:rsidRPr="005607BA" w:rsidRDefault="5158DEB1" w:rsidP="00B02FF1">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Rafael R et al, “Prevalence and factors associated with suicidal behavior among trans women in Rio de Janeiro, Brazil”. PloS One. 2021.</w:t>
      </w:r>
    </w:p>
  </w:footnote>
  <w:footnote w:id="12">
    <w:p w14:paraId="02E05EF1" w14:textId="7C60D77F" w:rsidR="5158DEB1" w:rsidRPr="005607BA" w:rsidRDefault="5158DEB1" w:rsidP="00B02FF1">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Milner et al, “Sex work, social support, and stigma: Experiences of transgender women in the Dominican Republic” International Journal of Transgenderism (2019).</w:t>
      </w:r>
    </w:p>
  </w:footnote>
  <w:footnote w:id="13">
    <w:p w14:paraId="188CEC9E" w14:textId="49506C39" w:rsidR="6B5A0467" w:rsidRPr="005607BA" w:rsidRDefault="6B5A0467" w:rsidP="005607BA">
      <w:pPr>
        <w:spacing w:line="257" w:lineRule="auto"/>
        <w:rPr>
          <w:rFonts w:ascii="Calibri" w:eastAsia="Calibri" w:hAnsi="Calibri" w:cs="Calibri"/>
          <w:sz w:val="20"/>
          <w:szCs w:val="20"/>
        </w:rPr>
      </w:pPr>
      <w:r w:rsidRPr="005607BA">
        <w:rPr>
          <w:rStyle w:val="Refdenotaalpie"/>
          <w:rFonts w:ascii="Calibri" w:hAnsi="Calibri" w:cs="Calibri"/>
          <w:sz w:val="20"/>
          <w:szCs w:val="20"/>
        </w:rPr>
        <w:footnoteRef/>
      </w:r>
      <w:r w:rsidRPr="005607BA">
        <w:rPr>
          <w:rFonts w:ascii="Calibri" w:hAnsi="Calibri" w:cs="Calibri"/>
          <w:sz w:val="20"/>
          <w:szCs w:val="20"/>
        </w:rPr>
        <w:t xml:space="preserve"> </w:t>
      </w:r>
      <w:r w:rsidRPr="005607BA">
        <w:rPr>
          <w:rFonts w:ascii="Calibri" w:eastAsia="Calibri" w:hAnsi="Calibri" w:cs="Calibri"/>
          <w:sz w:val="20"/>
          <w:szCs w:val="20"/>
        </w:rPr>
        <w:t xml:space="preserve">TvT, 2021. </w:t>
      </w:r>
      <w:r w:rsidRPr="005607BA">
        <w:rPr>
          <w:rFonts w:ascii="Calibri" w:eastAsia="Calibri" w:hAnsi="Calibri" w:cs="Calibri"/>
          <w:i/>
          <w:iCs/>
          <w:sz w:val="20"/>
          <w:szCs w:val="20"/>
        </w:rPr>
        <w:t>Trans Murder Monitoring Update TDoR 2021 - TvT</w:t>
      </w:r>
      <w:r w:rsidRPr="005607BA">
        <w:rPr>
          <w:rFonts w:ascii="Calibri" w:eastAsia="Calibri" w:hAnsi="Calibri" w:cs="Calibri"/>
          <w:sz w:val="20"/>
          <w:szCs w:val="20"/>
        </w:rPr>
        <w:t xml:space="preserve">. </w:t>
      </w:r>
      <w:hyperlink r:id="rId3" w:history="1">
        <w:r w:rsidRPr="005607BA">
          <w:rPr>
            <w:rStyle w:val="Hipervnculo"/>
            <w:rFonts w:ascii="Calibri" w:eastAsia="Calibri" w:hAnsi="Calibri" w:cs="Calibri"/>
            <w:sz w:val="20"/>
            <w:szCs w:val="20"/>
          </w:rPr>
          <w:t>https://transrespect.org/en/tmm-update-tdor-2021/</w:t>
        </w:r>
      </w:hyperlink>
      <w:r w:rsidRPr="005607BA">
        <w:rPr>
          <w:rStyle w:val="Hipervnculo"/>
          <w:rFonts w:ascii="Calibri" w:eastAsia="Calibri" w:hAnsi="Calibri" w:cs="Calibri"/>
          <w:sz w:val="20"/>
          <w:szCs w:val="20"/>
        </w:rPr>
        <w:t xml:space="preserve"> </w:t>
      </w:r>
    </w:p>
  </w:footnote>
  <w:footnote w:id="14">
    <w:p w14:paraId="5DE96D18" w14:textId="19D071DC" w:rsidR="5158DEB1" w:rsidRPr="00B02FF1" w:rsidRDefault="5158DEB1" w:rsidP="00B02FF1">
      <w:pPr>
        <w:pStyle w:val="Textonotapie"/>
        <w:rPr>
          <w:rFonts w:ascii="Times New Roman" w:eastAsia="Times New Roman" w:hAnsi="Times New Roman" w:cs="Times New Roman"/>
        </w:rPr>
      </w:pPr>
      <w:r w:rsidRPr="005607BA">
        <w:rPr>
          <w:rStyle w:val="Refdenotaalpie"/>
          <w:rFonts w:ascii="Calibri" w:eastAsia="Times New Roman" w:hAnsi="Calibri" w:cs="Calibri"/>
        </w:rPr>
        <w:footnoteRef/>
      </w:r>
      <w:r w:rsidRPr="005607BA">
        <w:rPr>
          <w:rFonts w:ascii="Calibri" w:eastAsia="Times New Roman" w:hAnsi="Calibri" w:cs="Calibri"/>
        </w:rPr>
        <w:t xml:space="preserve"> Jenkins et al, “Older Lesbians and Bereavement: Experiencing the Loss of a Partner"  </w:t>
      </w:r>
      <w:r w:rsidRPr="005607BA">
        <w:rPr>
          <w:rFonts w:ascii="Calibri" w:hAnsi="Calibri" w:cs="Calibri"/>
        </w:rPr>
        <w:br/>
      </w:r>
      <w:r w:rsidRPr="005607BA">
        <w:rPr>
          <w:rFonts w:ascii="Calibri" w:eastAsia="Times New Roman" w:hAnsi="Calibri" w:cs="Calibri"/>
        </w:rPr>
        <w:t>Journal of Gerontological Social Work, 2013.</w:t>
      </w:r>
    </w:p>
  </w:footnote>
  <w:footnote w:id="15">
    <w:p w14:paraId="716D2335" w14:textId="3675D103" w:rsidR="5158DEB1" w:rsidRDefault="5158DEB1" w:rsidP="00B02FF1">
      <w:pPr>
        <w:pStyle w:val="Textonotapie"/>
        <w:rPr>
          <w:rFonts w:ascii="Times New Roman" w:eastAsia="Times New Roman" w:hAnsi="Times New Roman" w:cs="Times New Roman"/>
        </w:rPr>
      </w:pPr>
      <w:r w:rsidRPr="00B02FF1">
        <w:rPr>
          <w:rStyle w:val="Refdenotaalpie"/>
          <w:rFonts w:ascii="Times New Roman" w:eastAsia="Times New Roman" w:hAnsi="Times New Roman" w:cs="Times New Roman"/>
        </w:rPr>
        <w:footnoteRef/>
      </w:r>
      <w:r w:rsidRPr="00B02FF1">
        <w:rPr>
          <w:rFonts w:ascii="Times New Roman" w:eastAsia="Times New Roman" w:hAnsi="Times New Roman" w:cs="Times New Roman"/>
        </w:rPr>
        <w:t xml:space="preserve"> Butz and Gaynor, “Intersectionality and Social Welfare: Avoidance and Unequal Treatment among Transgender Women of Colour” The American Society for Public Administration, 2022.</w:t>
      </w:r>
    </w:p>
  </w:footnote>
  <w:footnote w:id="16">
    <w:p w14:paraId="629AFBF4" w14:textId="69B87B75" w:rsidR="4469A2D2" w:rsidRPr="00B02FF1" w:rsidRDefault="4469A2D2"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Brambilla et al, “Housing: An Unspoken Challenge to Human Security” International Team for the Study of Security, 2021. </w:t>
      </w:r>
    </w:p>
  </w:footnote>
  <w:footnote w:id="17">
    <w:p w14:paraId="76BC42CD" w14:textId="04967656" w:rsidR="4469A2D2" w:rsidRPr="00B02FF1" w:rsidRDefault="4469A2D2"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Romero, A.P., Goldberg, S.K., &amp; Vasquez, “LGBT People and Housing Affordability, Discrimination, and Homelessness. ”The Williams Institute, 2020.</w:t>
      </w:r>
    </w:p>
  </w:footnote>
  <w:footnote w:id="18">
    <w:p w14:paraId="77A9DDCC" w14:textId="73163754" w:rsidR="4469A2D2" w:rsidRPr="00B02FF1" w:rsidRDefault="4469A2D2"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Nugent et al, “Not Just a ‘Youth Problem’: LGBT+ Experiences of Homelessness Across the Life Course in Fife, Scotland” European Journal of Homelessness Volume 16 (2022) </w:t>
      </w:r>
    </w:p>
  </w:footnote>
  <w:footnote w:id="19">
    <w:p w14:paraId="36FE79B7" w14:textId="2877AA82" w:rsidR="4469A2D2" w:rsidRPr="00B02FF1" w:rsidRDefault="4469A2D2"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Romero, A.P., Goldberg, S.K., &amp; Vasquez, “LGBT People and Housing Affordability, Discrimination, and Homelessness. ”The Williams Institute, 2020.</w:t>
      </w:r>
    </w:p>
  </w:footnote>
  <w:footnote w:id="20">
    <w:p w14:paraId="08AF83E7" w14:textId="161A7E55" w:rsidR="4469A2D2" w:rsidRPr="00B02FF1" w:rsidRDefault="4469A2D2" w:rsidP="00B02FF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Rollé et al “When Intimate Partner Violence Meets Same Sex Couples: A Review of Same Sex Intimate Partner Violence” </w:t>
      </w:r>
      <w:r w:rsidRPr="00B02FF1">
        <w:rPr>
          <w:rFonts w:eastAsia="Times New Roman" w:cstheme="minorHAnsi"/>
          <w:i/>
          <w:iCs/>
        </w:rPr>
        <w:t>Frontiers in Psychology</w:t>
      </w:r>
      <w:r w:rsidRPr="00B02FF1">
        <w:rPr>
          <w:rFonts w:eastAsia="Times New Roman" w:cstheme="minorHAnsi"/>
        </w:rPr>
        <w:t xml:space="preserve">, 2018. </w:t>
      </w:r>
    </w:p>
  </w:footnote>
  <w:footnote w:id="21">
    <w:p w14:paraId="5AC491F3" w14:textId="17DBA977" w:rsidR="4469A2D2" w:rsidRDefault="4469A2D2" w:rsidP="00B02FF1">
      <w:pPr>
        <w:pStyle w:val="Textonotapie"/>
        <w:rPr>
          <w:rFonts w:ascii="Times New Roman" w:eastAsia="Times New Roman" w:hAnsi="Times New Roman" w:cs="Times New Roman"/>
        </w:rPr>
      </w:pPr>
      <w:r w:rsidRPr="00B02FF1">
        <w:rPr>
          <w:rStyle w:val="Refdenotaalpie"/>
          <w:rFonts w:eastAsia="Times New Roman" w:cstheme="minorHAnsi"/>
        </w:rPr>
        <w:footnoteRef/>
      </w:r>
      <w:r w:rsidRPr="00B02FF1">
        <w:rPr>
          <w:rFonts w:eastAsia="Times New Roman" w:cstheme="minorHAnsi"/>
        </w:rPr>
        <w:t xml:space="preserve"> Begun and Kattari “Conforming for survival: Associations between transgender visual conformity/passing and homelessness experiences” Journal of Gay and Lesbian Social Services, 2016. https://www.tandfonline.com/doi/full/10.1080/10538720.2016.1125821</w:t>
      </w:r>
      <w:r w:rsidRPr="4469A2D2">
        <w:rPr>
          <w:rFonts w:ascii="Times New Roman" w:eastAsia="Times New Roman" w:hAnsi="Times New Roman" w:cs="Times New Roman"/>
        </w:rPr>
        <w:t xml:space="preserve">   </w:t>
      </w:r>
    </w:p>
  </w:footnote>
  <w:footnote w:id="22">
    <w:p w14:paraId="70C83DE3" w14:textId="4C62E72C"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Begun and Kattari “Conforming for survival: Associations between transgender visual conformity/passing and homelessness experiences” Journal of Gay and Lesbian Social Services, 2016.</w:t>
      </w:r>
    </w:p>
  </w:footnote>
  <w:footnote w:id="23">
    <w:p w14:paraId="1BB12D13" w14:textId="2DEDE696" w:rsidR="4469A2D2" w:rsidRPr="00B02FF1" w:rsidRDefault="4469A2D2" w:rsidP="4469A2D2">
      <w:pPr>
        <w:pStyle w:val="Textonotapie"/>
        <w:rPr>
          <w:rFonts w:cstheme="minorHAnsi"/>
        </w:rPr>
      </w:pPr>
      <w:r w:rsidRPr="00B02FF1">
        <w:rPr>
          <w:rStyle w:val="Refdenotaalpie"/>
          <w:rFonts w:eastAsia="Times New Roman" w:cstheme="minorHAnsi"/>
        </w:rPr>
        <w:footnoteRef/>
      </w:r>
      <w:r w:rsidRPr="00B02FF1">
        <w:rPr>
          <w:rFonts w:eastAsia="Times New Roman" w:cstheme="minorHAnsi"/>
        </w:rPr>
        <w:t xml:space="preserve"> Distinct Health Disparities of LGBQ Women Experiencing Homelessness (2019) National Health Care for the Homeless Council</w:t>
      </w:r>
      <w:r w:rsidRPr="00B02FF1">
        <w:rPr>
          <w:rFonts w:eastAsia="Times New Roman" w:cstheme="minorHAnsi"/>
          <w:sz w:val="22"/>
          <w:szCs w:val="22"/>
        </w:rPr>
        <w:t xml:space="preserve"> </w:t>
      </w:r>
      <w:hyperlink r:id="rId4">
        <w:r w:rsidRPr="00B02FF1">
          <w:rPr>
            <w:rStyle w:val="Hipervnculo"/>
            <w:rFonts w:eastAsia="Times New Roman" w:cstheme="minorHAnsi"/>
          </w:rPr>
          <w:t>https://nhchc.org/wp-content/uploads/2019/08/nhchc-health-disparities-lgbtq-women-homelessness.pdf</w:t>
        </w:r>
      </w:hyperlink>
      <w:r w:rsidRPr="00B02FF1">
        <w:rPr>
          <w:rFonts w:eastAsia="Times New Roman" w:cstheme="minorHAnsi"/>
          <w:color w:val="000000" w:themeColor="text1"/>
        </w:rPr>
        <w:t xml:space="preserve"> </w:t>
      </w:r>
    </w:p>
  </w:footnote>
  <w:footnote w:id="24">
    <w:p w14:paraId="5DED5218" w14:textId="672C6E82" w:rsidR="4469A2D2" w:rsidRPr="00B02FF1" w:rsidRDefault="4469A2D2" w:rsidP="4469A2D2">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Lyons et al “The Impacts of Intersecting Stigmas on Health and Housing Experiences of Queer Women Sex Workers in Vancouver, Canada” Journal of Homosexuality, 2021.</w:t>
      </w:r>
    </w:p>
  </w:footnote>
  <w:footnote w:id="25">
    <w:p w14:paraId="697A9589" w14:textId="4E1936D1" w:rsidR="4469A2D2" w:rsidRPr="00B02FF1" w:rsidRDefault="4469A2D2" w:rsidP="4469A2D2">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w:t>
      </w:r>
      <w:r w:rsidRPr="00B02FF1">
        <w:rPr>
          <w:rFonts w:eastAsia="Times New Roman" w:cstheme="minorHAnsi"/>
          <w:color w:val="000000" w:themeColor="text1"/>
        </w:rPr>
        <w:t>Begun and Kattari “Conforming for survival: Associations between transgender visual conformity/passing and homelessness experiences” Journal of Gay and Lesbian Social Services, 2016</w:t>
      </w:r>
    </w:p>
  </w:footnote>
  <w:footnote w:id="26">
    <w:p w14:paraId="47A564C9" w14:textId="00C5D78F" w:rsidR="4469A2D2" w:rsidRPr="00B02FF1" w:rsidRDefault="4469A2D2" w:rsidP="4469A2D2">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w:t>
      </w:r>
      <w:r w:rsidRPr="00B02FF1">
        <w:rPr>
          <w:rFonts w:eastAsia="Times New Roman" w:cstheme="minorHAnsi"/>
          <w:color w:val="000000" w:themeColor="text1"/>
        </w:rPr>
        <w:t>Begun and Kattari “Conforming for survival: Associations between transgender visual conformity/passing and homelessness experiences” Journal of Gay and Lesbian Social Services, 2016.</w:t>
      </w:r>
    </w:p>
  </w:footnote>
  <w:footnote w:id="27">
    <w:p w14:paraId="57955416" w14:textId="0215C7AE" w:rsidR="4469A2D2" w:rsidRPr="00B02FF1" w:rsidRDefault="4469A2D2" w:rsidP="4469A2D2">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Trans and Gender Non-Conforming Homelessness (2020) National Alliance to End Homelessness https://endhomelessness.org/wp-content/uploads/2020/07/Trans-Homelessness-Brief-July-2020.pdf    </w:t>
      </w:r>
    </w:p>
  </w:footnote>
  <w:footnote w:id="28">
    <w:p w14:paraId="17BD78BF" w14:textId="5A7D9349"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Rullo et al, “Addressing the lifetime healthcare needs of lesbian patients” NEJM Journal Watch (2017)</w:t>
      </w:r>
    </w:p>
  </w:footnote>
  <w:footnote w:id="29">
    <w:p w14:paraId="3DAD5201" w14:textId="3208A4F1" w:rsidR="5158DEB1" w:rsidRDefault="5158DEB1" w:rsidP="5158DEB1">
      <w:pPr>
        <w:pStyle w:val="Textonotapie"/>
        <w:rPr>
          <w:rFonts w:ascii="Times New Roman" w:eastAsia="Times New Roman" w:hAnsi="Times New Roman" w:cs="Times New Roman"/>
        </w:rPr>
      </w:pPr>
      <w:r w:rsidRPr="00B02FF1">
        <w:rPr>
          <w:rStyle w:val="Refdenotaalpie"/>
          <w:rFonts w:eastAsia="Times New Roman" w:cstheme="minorHAnsi"/>
        </w:rPr>
        <w:footnoteRef/>
      </w:r>
      <w:r w:rsidRPr="00B02FF1">
        <w:rPr>
          <w:rFonts w:eastAsia="Times New Roman" w:cstheme="minorHAnsi"/>
        </w:rPr>
        <w:t xml:space="preserve"> Simoni et al  ”Disparities in Physical Health Conditions Among Lesbian and Bisexual Women: A Systematic Review of Population-Based Studies” Journal of Homosexuality, 2016.</w:t>
      </w:r>
      <w:r w:rsidRPr="5158DEB1">
        <w:rPr>
          <w:rFonts w:ascii="Times New Roman" w:eastAsia="Times New Roman" w:hAnsi="Times New Roman" w:cs="Times New Roman"/>
        </w:rPr>
        <w:t xml:space="preserve"> </w:t>
      </w:r>
    </w:p>
  </w:footnote>
  <w:footnote w:id="30">
    <w:p w14:paraId="25CE569A" w14:textId="75836A1D" w:rsidR="69A36005" w:rsidRPr="005607BA" w:rsidRDefault="69A36005" w:rsidP="005607BA">
      <w:pPr>
        <w:pStyle w:val="Textonotapie"/>
        <w:rPr>
          <w:rFonts w:eastAsia="Times New Roman" w:cstheme="minorHAnsi"/>
        </w:rPr>
      </w:pPr>
      <w:r w:rsidRPr="005607BA">
        <w:rPr>
          <w:rStyle w:val="Refdenotaalpie"/>
          <w:rFonts w:eastAsia="Times New Roman" w:cstheme="minorHAnsi"/>
        </w:rPr>
        <w:footnoteRef/>
      </w:r>
      <w:r w:rsidRPr="005607BA">
        <w:rPr>
          <w:rFonts w:eastAsia="Times New Roman" w:cstheme="minorHAnsi"/>
        </w:rPr>
        <w:t xml:space="preserve"> </w:t>
      </w:r>
      <w:r w:rsidRPr="005607BA">
        <w:rPr>
          <w:rFonts w:eastAsia="Times New Roman" w:cstheme="minorHAnsi"/>
        </w:rPr>
        <w:t xml:space="preserve">Stutterheim et al, ” The worldwide burden of HIV in transgender individuals: An updated systematic review and meta-analysis" . PLoS ONE, 2016. </w:t>
      </w:r>
      <w:hyperlink r:id="rId5" w:history="1">
        <w:r w:rsidRPr="005607BA">
          <w:rPr>
            <w:rStyle w:val="Hipervnculo"/>
            <w:rFonts w:cstheme="minorHAnsi"/>
          </w:rPr>
          <w:t>file:///C:/Users/User/Downloads/journal.pone.0260063.pdf</w:t>
        </w:r>
      </w:hyperlink>
      <w:r w:rsidRPr="005607BA">
        <w:rPr>
          <w:rFonts w:eastAsia="Times New Roman" w:cstheme="minorHAnsi"/>
        </w:rPr>
        <w:t xml:space="preserve"> </w:t>
      </w:r>
    </w:p>
  </w:footnote>
  <w:footnote w:id="31">
    <w:p w14:paraId="417FD1E4" w14:textId="40C08D32"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Logie, “Navigating stigma, survival, and sex in contexts of social inequity among young transgender women and sexually diverse men in Kingston, Jamaica” Reproductive Health Matters, 2018</w:t>
      </w:r>
    </w:p>
  </w:footnote>
  <w:footnote w:id="32">
    <w:p w14:paraId="4842A34F" w14:textId="060ADECA"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Rafael R et al, “Prevalence and factors associated with suicidal behavior among trans women in Rio de Janeiro, Brazil”. PloS One. 2021</w:t>
      </w:r>
    </w:p>
  </w:footnote>
  <w:footnote w:id="33">
    <w:p w14:paraId="24DD2313" w14:textId="38178288" w:rsidR="69A36005" w:rsidRPr="005607BA" w:rsidRDefault="69A36005" w:rsidP="69A36005">
      <w:pPr>
        <w:pStyle w:val="Textonotapie"/>
        <w:rPr>
          <w:rFonts w:ascii="Calibri" w:eastAsia="Times New Roman" w:hAnsi="Calibri" w:cs="Calibri"/>
        </w:rPr>
      </w:pPr>
      <w:r w:rsidRPr="005607BA">
        <w:rPr>
          <w:rStyle w:val="Refdenotaalpie"/>
          <w:rFonts w:ascii="Calibri" w:eastAsia="Times New Roman" w:hAnsi="Calibri" w:cs="Calibri"/>
        </w:rPr>
        <w:footnoteRef/>
      </w:r>
      <w:r w:rsidRPr="005607BA">
        <w:rPr>
          <w:rFonts w:ascii="Calibri" w:eastAsia="Times New Roman" w:hAnsi="Calibri" w:cs="Calibri"/>
        </w:rPr>
        <w:t xml:space="preserve"> Yan et al, “Identity, stigma, and HIV risk among transgender women: a qualitative study in Jiangsu Province, China” Infectious Diseases of Poverty, 2019.</w:t>
      </w:r>
    </w:p>
  </w:footnote>
  <w:footnote w:id="34">
    <w:p w14:paraId="6A237A2A" w14:textId="3B75AA42"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Rullo et al, “Addressing the lifetime healthcare needs of lesbian patients” NEJM Journal Watch (2017)</w:t>
      </w:r>
    </w:p>
  </w:footnote>
  <w:footnote w:id="35">
    <w:p w14:paraId="7AF6314F" w14:textId="0B3F2287"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LaVaccare et al, “Healthcare Experiences of Underrepresented Lesbian and Bisexual Women: A Focus Group Qualitative Study.” Health Equity. 2018  </w:t>
      </w:r>
    </w:p>
  </w:footnote>
  <w:footnote w:id="36">
    <w:p w14:paraId="7F2E5C18" w14:textId="27A3DC81"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color w:val="000000" w:themeColor="text1"/>
        </w:rPr>
        <w:t>Kcomt et al “Healthcare avoidance due to anticipated discrimination among transgender people: A call to create trans-affirmative environments” SSM –Population Health, 2020.</w:t>
      </w:r>
    </w:p>
  </w:footnote>
  <w:footnote w:id="37">
    <w:p w14:paraId="61E86DC0" w14:textId="051D3E6A"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w:t>
      </w:r>
      <w:r w:rsidRPr="00B02FF1">
        <w:rPr>
          <w:rFonts w:eastAsia="Times New Roman" w:cstheme="minorHAnsi"/>
          <w:color w:val="000000" w:themeColor="text1"/>
        </w:rPr>
        <w:t>Logie, “Navigating stigma, survival, and sex in contexts of social inequity among young transgender women and sexually diverse men in Kingston, Jamaica” Reproductive Health Matters, 2018</w:t>
      </w:r>
    </w:p>
  </w:footnote>
  <w:footnote w:id="38">
    <w:p w14:paraId="2423720C" w14:textId="041B8F2A" w:rsidR="5158DEB1" w:rsidRPr="00B02FF1" w:rsidRDefault="5158DEB1" w:rsidP="5158DEB1">
      <w:pPr>
        <w:pStyle w:val="Textonotapie"/>
        <w:rPr>
          <w:rFonts w:eastAsia="Times New Roman" w:cstheme="minorHAnsi"/>
        </w:rPr>
      </w:pPr>
      <w:r w:rsidRPr="00B02FF1">
        <w:rPr>
          <w:rStyle w:val="Refdenotaalpie"/>
          <w:rFonts w:eastAsia="Times New Roman" w:cstheme="minorHAnsi"/>
        </w:rPr>
        <w:footnoteRef/>
      </w:r>
      <w:r w:rsidRPr="00B02FF1">
        <w:rPr>
          <w:rFonts w:eastAsia="Times New Roman" w:cstheme="minorHAnsi"/>
        </w:rPr>
        <w:t xml:space="preserve"> </w:t>
      </w:r>
      <w:r w:rsidRPr="00B02FF1">
        <w:rPr>
          <w:rFonts w:eastAsia="Times New Roman" w:cstheme="minorHAnsi"/>
          <w:color w:val="000000" w:themeColor="text1"/>
        </w:rPr>
        <w:t>Rullo et al, “Addressing the lifetime healthcare needs of lesbian patients” NEJM Journal Watch (2017)</w:t>
      </w:r>
    </w:p>
  </w:footnote>
  <w:footnote w:id="39">
    <w:p w14:paraId="6E2D61AB" w14:textId="5651FB1E" w:rsidR="5158DEB1" w:rsidRDefault="5158DEB1" w:rsidP="5158DEB1">
      <w:pPr>
        <w:pStyle w:val="Textonotapie"/>
        <w:rPr>
          <w:rFonts w:ascii="Times New Roman" w:eastAsia="Times New Roman" w:hAnsi="Times New Roman" w:cs="Times New Roman"/>
        </w:rPr>
      </w:pPr>
      <w:r w:rsidRPr="00B02FF1">
        <w:rPr>
          <w:rStyle w:val="Refdenotaalpie"/>
          <w:rFonts w:eastAsia="Times New Roman" w:cstheme="minorHAnsi"/>
        </w:rPr>
        <w:footnoteRef/>
      </w:r>
      <w:r w:rsidRPr="00B02FF1">
        <w:rPr>
          <w:rFonts w:eastAsia="Times New Roman" w:cstheme="minorHAnsi"/>
        </w:rPr>
        <w:t xml:space="preserve"> Kcomt et al “Healthcare avoidance due to anticipated discrimination among transgender people: A call to create trans-affirmative environments” SSM –Population Health, 2020.</w:t>
      </w:r>
    </w:p>
  </w:footnote>
  <w:footnote w:id="40">
    <w:p w14:paraId="0248C8B8" w14:textId="03FB76CF" w:rsidR="00DD023D" w:rsidRPr="005607BA" w:rsidRDefault="00DD023D" w:rsidP="005607BA">
      <w:pPr>
        <w:pStyle w:val="Ttulo3"/>
        <w:rPr>
          <w:rFonts w:ascii="Calibri" w:hAnsi="Calibri" w:cs="Calibri"/>
          <w:color w:val="auto"/>
          <w:sz w:val="20"/>
          <w:szCs w:val="20"/>
        </w:rPr>
      </w:pPr>
      <w:r w:rsidRPr="005607BA">
        <w:rPr>
          <w:rStyle w:val="Refdenotaalpie"/>
          <w:rFonts w:ascii="Calibri" w:hAnsi="Calibri" w:cs="Calibri"/>
          <w:color w:val="auto"/>
          <w:sz w:val="20"/>
          <w:szCs w:val="20"/>
        </w:rPr>
        <w:footnoteRef/>
      </w:r>
      <w:r w:rsidRPr="005607BA">
        <w:rPr>
          <w:rFonts w:ascii="Calibri" w:hAnsi="Calibri" w:cs="Calibri"/>
          <w:color w:val="auto"/>
          <w:sz w:val="20"/>
          <w:szCs w:val="20"/>
        </w:rPr>
        <w:t xml:space="preserve"> Laws Criminalizing Same-Sex Relations between Women. See </w:t>
      </w:r>
      <w:hyperlink r:id="rId6">
        <w:r w:rsidRPr="005607BA">
          <w:rPr>
            <w:rStyle w:val="Hipervnculo"/>
            <w:rFonts w:ascii="Calibri" w:hAnsi="Calibri" w:cs="Calibri"/>
            <w:color w:val="auto"/>
            <w:sz w:val="20"/>
            <w:szCs w:val="20"/>
          </w:rPr>
          <w:t>http://internap.hrw.org/features/features/lgbt_laws/</w:t>
        </w:r>
      </w:hyperlink>
    </w:p>
  </w:footnote>
  <w:footnote w:id="41">
    <w:p w14:paraId="08DFB317" w14:textId="77777777" w:rsidR="009238D2" w:rsidRPr="00A640FE" w:rsidRDefault="009238D2" w:rsidP="009238D2">
      <w:pPr>
        <w:jc w:val="both"/>
        <w:rPr>
          <w:sz w:val="20"/>
          <w:szCs w:val="20"/>
        </w:rPr>
      </w:pPr>
      <w:r w:rsidRPr="000C14E3">
        <w:rPr>
          <w:rStyle w:val="Refdenotaalpie"/>
          <w:sz w:val="20"/>
          <w:szCs w:val="20"/>
        </w:rPr>
        <w:footnoteRef/>
      </w:r>
      <w:r w:rsidRPr="000C14E3">
        <w:rPr>
          <w:sz w:val="20"/>
          <w:szCs w:val="20"/>
        </w:rPr>
        <w:t xml:space="preserve"> </w:t>
      </w:r>
      <w:r w:rsidRPr="000C14E3">
        <w:rPr>
          <w:color w:val="0D0D0D" w:themeColor="text1" w:themeTint="F2"/>
          <w:sz w:val="20"/>
          <w:szCs w:val="20"/>
        </w:rPr>
        <w:t xml:space="preserve">ILGA World: Zhan Chiam, Sandra Duffy, Matilda González Gil, Lara Goodwin, and Nigel Timothy Mpemba Patel, </w:t>
      </w:r>
      <w:r w:rsidRPr="000C14E3">
        <w:rPr>
          <w:iCs/>
          <w:color w:val="0D0D0D" w:themeColor="text1" w:themeTint="F2"/>
          <w:sz w:val="20"/>
          <w:szCs w:val="20"/>
        </w:rPr>
        <w:t>Trans Legal Mapping Report 2019: Recognition before the law</w:t>
      </w:r>
      <w:r w:rsidRPr="000C14E3">
        <w:rPr>
          <w:i/>
          <w:iCs/>
          <w:color w:val="0D0D0D" w:themeColor="text1" w:themeTint="F2"/>
          <w:sz w:val="20"/>
          <w:szCs w:val="20"/>
        </w:rPr>
        <w:t xml:space="preserve"> </w:t>
      </w:r>
      <w:r w:rsidRPr="000C14E3">
        <w:rPr>
          <w:color w:val="0D0D0D" w:themeColor="text1" w:themeTint="F2"/>
          <w:sz w:val="20"/>
          <w:szCs w:val="20"/>
        </w:rPr>
        <w:t>(Geneva: ILGA World, 2020).</w:t>
      </w:r>
      <w:r w:rsidRPr="00A640FE">
        <w:rPr>
          <w:color w:val="0D0D0D" w:themeColor="text1" w:themeTint="F2"/>
          <w:sz w:val="20"/>
          <w:szCs w:val="20"/>
        </w:rPr>
        <w:t xml:space="preserve"> </w:t>
      </w:r>
    </w:p>
  </w:footnote>
  <w:footnote w:id="42">
    <w:p w14:paraId="5AA8ED29" w14:textId="6ACC62A2" w:rsidR="00DD023D" w:rsidRDefault="00DD023D" w:rsidP="00DD023D">
      <w:pPr>
        <w:pStyle w:val="Textonotapie"/>
      </w:pPr>
      <w:r w:rsidRPr="00DD023D">
        <w:rPr>
          <w:rStyle w:val="Refdenotaalpie"/>
        </w:rPr>
        <w:footnoteRef/>
      </w:r>
      <w:r>
        <w:t xml:space="preserve"> ILGA World: Kellyn Botha, Our identities under arrest: A global overview on the enforcement of laws criminalising consensual same-sex sexual acts between adults and diverse gender expressions (Geneva: ILGA, December 2021).</w:t>
      </w:r>
    </w:p>
  </w:footnote>
  <w:footnote w:id="43">
    <w:p w14:paraId="6F14CAE7" w14:textId="7AC63114" w:rsidR="00DB4D24" w:rsidRPr="009238D2" w:rsidRDefault="00DB4D24">
      <w:pPr>
        <w:pStyle w:val="Textonotapie"/>
      </w:pPr>
      <w:r>
        <w:rPr>
          <w:rStyle w:val="Refdenotaalpie"/>
        </w:rPr>
        <w:footnoteRef/>
      </w:r>
      <w:r>
        <w:t xml:space="preserve"> </w:t>
      </w:r>
      <w:r w:rsidRPr="009238D2">
        <w:t>Information provided by Equal Ground</w:t>
      </w:r>
    </w:p>
  </w:footnote>
  <w:footnote w:id="44">
    <w:p w14:paraId="446E5F20" w14:textId="7B068B2A" w:rsidR="00DB4D24" w:rsidRPr="00DB4D24" w:rsidRDefault="00DB4D24">
      <w:pPr>
        <w:pStyle w:val="Textonotapie"/>
      </w:pPr>
      <w:r>
        <w:rPr>
          <w:rStyle w:val="Refdenotaalpie"/>
        </w:rPr>
        <w:footnoteRef/>
      </w:r>
      <w:r>
        <w:t xml:space="preserve"> </w:t>
      </w:r>
      <w:r w:rsidRPr="00DB4D24">
        <w:t xml:space="preserve">For more information about the context of criminalization towards </w:t>
      </w:r>
      <w:r>
        <w:t xml:space="preserve">LBTQ women see decision by CEDAW: </w:t>
      </w:r>
      <w:hyperlink r:id="rId7" w:history="1">
        <w:r w:rsidRPr="00DB4D24">
          <w:rPr>
            <w:rStyle w:val="Hipervnculo"/>
            <w:bCs/>
          </w:rPr>
          <w:t>CEDAW/C/81/D/134/2018</w:t>
        </w:r>
      </w:hyperlink>
      <w:r>
        <w:t xml:space="preserve"> and </w:t>
      </w:r>
      <w:hyperlink r:id="rId8" w:history="1">
        <w:r w:rsidRPr="00D3787F">
          <w:rPr>
            <w:rStyle w:val="Hipervnculo"/>
          </w:rPr>
          <w:t>https://www.ohchr.org/en/press-releases/2022/03/sri-lanka-criminalisation-same-sex-sexual-activity-breached-rights-lgbti</w:t>
        </w:r>
      </w:hyperlink>
    </w:p>
  </w:footnote>
  <w:footnote w:id="45">
    <w:p w14:paraId="4051A07D" w14:textId="0389938A" w:rsidR="00DB4D24" w:rsidRPr="006B282C" w:rsidRDefault="00DB4D24">
      <w:pPr>
        <w:pStyle w:val="Textonotapie"/>
        <w:rPr>
          <w:rFonts w:ascii="Calibri" w:hAnsi="Calibri" w:cs="Calibri"/>
        </w:rPr>
      </w:pPr>
      <w:r w:rsidRPr="006B282C">
        <w:rPr>
          <w:rStyle w:val="Refdenotaalpie"/>
          <w:rFonts w:ascii="Calibri" w:hAnsi="Calibri" w:cs="Calibri"/>
        </w:rPr>
        <w:footnoteRef/>
      </w:r>
      <w:r w:rsidRPr="006B282C">
        <w:rPr>
          <w:rFonts w:ascii="Calibri" w:hAnsi="Calibri" w:cs="Calibri"/>
        </w:rPr>
        <w:t xml:space="preserve"> </w:t>
      </w:r>
      <w:hyperlink r:id="rId9" w:history="1">
        <w:r w:rsidR="006B282C" w:rsidRPr="006B282C">
          <w:rPr>
            <w:rStyle w:val="Hipervnculo"/>
            <w:rFonts w:ascii="Calibri" w:hAnsi="Calibri" w:cs="Calibri"/>
          </w:rPr>
          <w:t>Wattala court dismisses case filed against a lesbian.</w:t>
        </w:r>
      </w:hyperlink>
    </w:p>
  </w:footnote>
  <w:footnote w:id="46">
    <w:p w14:paraId="7832E985" w14:textId="2182215B" w:rsidR="006B282C" w:rsidRPr="006B282C" w:rsidRDefault="006B282C" w:rsidP="00A9222A">
      <w:pPr>
        <w:pStyle w:val="NormalWeb"/>
        <w:spacing w:before="0" w:beforeAutospacing="0" w:after="0" w:afterAutospacing="0"/>
        <w:jc w:val="both"/>
        <w:rPr>
          <w:lang w:val="en-US"/>
        </w:rPr>
      </w:pPr>
      <w:r w:rsidRPr="006B282C">
        <w:rPr>
          <w:rStyle w:val="Refdenotaalpie"/>
          <w:rFonts w:ascii="Calibri" w:hAnsi="Calibri" w:cs="Calibri"/>
          <w:sz w:val="20"/>
          <w:szCs w:val="20"/>
        </w:rPr>
        <w:footnoteRef/>
      </w:r>
      <w:r w:rsidRPr="006B282C">
        <w:rPr>
          <w:rFonts w:ascii="Calibri" w:hAnsi="Calibri" w:cs="Calibri"/>
          <w:sz w:val="20"/>
          <w:szCs w:val="20"/>
          <w:lang w:val="en-US"/>
        </w:rPr>
        <w:t xml:space="preserve"> </w:t>
      </w:r>
      <w:hyperlink r:id="rId10" w:history="1">
        <w:r w:rsidRPr="006B282C">
          <w:rPr>
            <w:rStyle w:val="Hipervnculo"/>
            <w:rFonts w:ascii="Calibri" w:hAnsi="Calibri" w:cs="Calibri"/>
            <w:sz w:val="20"/>
            <w:szCs w:val="20"/>
            <w:lang w:val="en-US"/>
          </w:rPr>
          <w:t>Indo-Lanka lesbian love: Couple held</w:t>
        </w:r>
      </w:hyperlink>
    </w:p>
  </w:footnote>
  <w:footnote w:id="47">
    <w:p w14:paraId="51007862" w14:textId="60B671BC" w:rsidR="00A9222A" w:rsidRPr="00A9222A" w:rsidRDefault="00A9222A" w:rsidP="00A9222A">
      <w:pPr>
        <w:pStyle w:val="Textonotapie"/>
      </w:pPr>
      <w:r>
        <w:rPr>
          <w:rStyle w:val="Refdenotaalpie"/>
        </w:rPr>
        <w:footnoteRef/>
      </w:r>
      <w:r>
        <w:t xml:space="preserve">  HRW</w:t>
      </w:r>
      <w:r w:rsidRPr="00A9222A">
        <w:t xml:space="preserve"> interview with Lakshini (pseudonym), Colombo, November 12, 2015 </w:t>
      </w:r>
    </w:p>
    <w:p w14:paraId="384F8046" w14:textId="4515C690" w:rsidR="00A9222A" w:rsidRPr="00A9222A" w:rsidRDefault="009C11A6">
      <w:pPr>
        <w:pStyle w:val="Textonotapie"/>
      </w:pPr>
      <w:hyperlink r:id="rId11" w:history="1">
        <w:r w:rsidR="00A9222A" w:rsidRPr="00A9222A">
          <w:rPr>
            <w:rStyle w:val="Hipervnculo"/>
          </w:rPr>
          <w:t>"All five fingers are not the same;" Discrimination on the grounds of Gender Identity and Sexual Orientation in Sri Lanka</w:t>
        </w:r>
      </w:hyperlink>
      <w:r w:rsidR="00A9222A">
        <w:t xml:space="preserve"> P.</w:t>
      </w:r>
      <w:r w:rsidR="00A9222A" w:rsidRPr="00A9222A">
        <w:t xml:space="preserve"> 50</w:t>
      </w:r>
    </w:p>
  </w:footnote>
  <w:footnote w:id="48">
    <w:p w14:paraId="1830EDDF" w14:textId="170E4EDD" w:rsidR="00A9222A" w:rsidRPr="00A9222A" w:rsidRDefault="00A9222A" w:rsidP="00A9222A">
      <w:pPr>
        <w:pStyle w:val="Textonotapie"/>
      </w:pPr>
      <w:r>
        <w:rPr>
          <w:rStyle w:val="Refdenotaalpie"/>
        </w:rPr>
        <w:footnoteRef/>
      </w:r>
      <w:r>
        <w:t xml:space="preserve">  HRW </w:t>
      </w:r>
      <w:r w:rsidRPr="00A9222A">
        <w:t>interview with Jeewani (pseudonym), Ambalangoda, November 11, 2015</w:t>
      </w:r>
    </w:p>
    <w:p w14:paraId="282247C0" w14:textId="2538A368" w:rsidR="00A9222A" w:rsidRPr="00A9222A" w:rsidRDefault="009C11A6" w:rsidP="00A9222A">
      <w:pPr>
        <w:pStyle w:val="Textonotapie"/>
      </w:pPr>
      <w:hyperlink r:id="rId12" w:history="1">
        <w:r w:rsidR="00A9222A" w:rsidRPr="00A9222A">
          <w:rPr>
            <w:rStyle w:val="Hipervnculo"/>
          </w:rPr>
          <w:t>"All five fingers are not the same;" Discrimination on the grounds of Gender Identity and Sexual Orientation in Sri Lanka</w:t>
        </w:r>
      </w:hyperlink>
      <w:r w:rsidR="00A9222A">
        <w:t xml:space="preserve"> P. </w:t>
      </w:r>
      <w:r w:rsidR="00A9222A" w:rsidRPr="00A9222A">
        <w:t>39</w:t>
      </w:r>
    </w:p>
    <w:p w14:paraId="50460968" w14:textId="1E6FD6A1" w:rsidR="00A9222A" w:rsidRPr="00A9222A" w:rsidRDefault="00A9222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D5988" w14:textId="3BCD981E" w:rsidR="00B02FF1" w:rsidRDefault="00B02FF1" w:rsidP="00B02FF1">
    <w:pPr>
      <w:pStyle w:val="Encabezado"/>
      <w:tabs>
        <w:tab w:val="clear" w:pos="4419"/>
        <w:tab w:val="clear" w:pos="8838"/>
        <w:tab w:val="left" w:pos="3360"/>
      </w:tabs>
    </w:pPr>
    <w:r>
      <w:rPr>
        <w:noProof/>
        <w:lang w:val="es-MX" w:eastAsia="es-MX"/>
      </w:rPr>
      <w:drawing>
        <wp:anchor distT="0" distB="0" distL="114300" distR="114300" simplePos="0" relativeHeight="251661312" behindDoc="0" locked="0" layoutInCell="1" allowOverlap="1" wp14:anchorId="37C2DD5D" wp14:editId="020349C3">
          <wp:simplePos x="0" y="0"/>
          <wp:positionH relativeFrom="column">
            <wp:posOffset>1123950</wp:posOffset>
          </wp:positionH>
          <wp:positionV relativeFrom="paragraph">
            <wp:posOffset>200025</wp:posOffset>
          </wp:positionV>
          <wp:extent cx="4121150" cy="64008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150" cy="6400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0" locked="0" layoutInCell="1" hidden="0" allowOverlap="1" wp14:anchorId="6885E36B" wp14:editId="59518B7E">
          <wp:simplePos x="0" y="0"/>
          <wp:positionH relativeFrom="column">
            <wp:posOffset>5435600</wp:posOffset>
          </wp:positionH>
          <wp:positionV relativeFrom="paragraph">
            <wp:posOffset>-285750</wp:posOffset>
          </wp:positionV>
          <wp:extent cx="1019175" cy="990600"/>
          <wp:effectExtent l="0" t="0" r="9525" b="0"/>
          <wp:wrapSquare wrapText="bothSides"/>
          <wp:docPr id="8" name="image1.png" descr="Asset 5@logo.png"/>
          <wp:cNvGraphicFramePr/>
          <a:graphic xmlns:a="http://schemas.openxmlformats.org/drawingml/2006/main">
            <a:graphicData uri="http://schemas.openxmlformats.org/drawingml/2006/picture">
              <pic:pic xmlns:pic="http://schemas.openxmlformats.org/drawingml/2006/picture">
                <pic:nvPicPr>
                  <pic:cNvPr id="0" name="image1.png" descr="Asset 5@logo.png"/>
                  <pic:cNvPicPr preferRelativeResize="0"/>
                </pic:nvPicPr>
                <pic:blipFill>
                  <a:blip r:embed="rId2"/>
                  <a:srcRect/>
                  <a:stretch>
                    <a:fillRect/>
                  </a:stretch>
                </pic:blipFill>
                <pic:spPr>
                  <a:xfrm>
                    <a:off x="0" y="0"/>
                    <a:ext cx="1019175" cy="990600"/>
                  </a:xfrm>
                  <a:prstGeom prst="rect">
                    <a:avLst/>
                  </a:prstGeom>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051B"/>
    <w:multiLevelType w:val="multilevel"/>
    <w:tmpl w:val="107E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B19C5"/>
    <w:multiLevelType w:val="multilevel"/>
    <w:tmpl w:val="83A4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C6F36"/>
    <w:multiLevelType w:val="hybridMultilevel"/>
    <w:tmpl w:val="767E228E"/>
    <w:lvl w:ilvl="0" w:tplc="AF5ABE28">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42D4372"/>
    <w:multiLevelType w:val="hybridMultilevel"/>
    <w:tmpl w:val="21EC9FB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C42317"/>
    <w:multiLevelType w:val="multilevel"/>
    <w:tmpl w:val="CA98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86673"/>
    <w:multiLevelType w:val="multilevel"/>
    <w:tmpl w:val="45EA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0338B"/>
    <w:multiLevelType w:val="hybridMultilevel"/>
    <w:tmpl w:val="E30E39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4F73892"/>
    <w:multiLevelType w:val="hybridMultilevel"/>
    <w:tmpl w:val="CD2E101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6A4768A"/>
    <w:multiLevelType w:val="multilevel"/>
    <w:tmpl w:val="B0BC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73EB8"/>
    <w:multiLevelType w:val="multilevel"/>
    <w:tmpl w:val="BE56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353C06"/>
    <w:multiLevelType w:val="hybridMultilevel"/>
    <w:tmpl w:val="60A6234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4B5666"/>
    <w:multiLevelType w:val="hybridMultilevel"/>
    <w:tmpl w:val="40A440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2014825"/>
    <w:multiLevelType w:val="multilevel"/>
    <w:tmpl w:val="D38C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9657E3"/>
    <w:multiLevelType w:val="multilevel"/>
    <w:tmpl w:val="CEC6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CC621D"/>
    <w:multiLevelType w:val="hybridMultilevel"/>
    <w:tmpl w:val="7B1EB3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
  </w:num>
  <w:num w:numId="4">
    <w:abstractNumId w:val="13"/>
  </w:num>
  <w:num w:numId="5">
    <w:abstractNumId w:val="0"/>
  </w:num>
  <w:num w:numId="6">
    <w:abstractNumId w:val="8"/>
  </w:num>
  <w:num w:numId="7">
    <w:abstractNumId w:val="9"/>
  </w:num>
  <w:num w:numId="8">
    <w:abstractNumId w:val="4"/>
  </w:num>
  <w:num w:numId="9">
    <w:abstractNumId w:val="2"/>
  </w:num>
  <w:num w:numId="10">
    <w:abstractNumId w:val="10"/>
  </w:num>
  <w:num w:numId="11">
    <w:abstractNumId w:val="11"/>
  </w:num>
  <w:num w:numId="12">
    <w:abstractNumId w:val="3"/>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FC4C14"/>
    <w:rsid w:val="00192176"/>
    <w:rsid w:val="0023150E"/>
    <w:rsid w:val="00280DD3"/>
    <w:rsid w:val="002F6721"/>
    <w:rsid w:val="005607BA"/>
    <w:rsid w:val="00574BA7"/>
    <w:rsid w:val="005C2195"/>
    <w:rsid w:val="006B282C"/>
    <w:rsid w:val="006D7213"/>
    <w:rsid w:val="0073F676"/>
    <w:rsid w:val="00753C56"/>
    <w:rsid w:val="007A13D4"/>
    <w:rsid w:val="00912FD2"/>
    <w:rsid w:val="009238D2"/>
    <w:rsid w:val="009357E9"/>
    <w:rsid w:val="009A5205"/>
    <w:rsid w:val="009A5E0C"/>
    <w:rsid w:val="009C11A6"/>
    <w:rsid w:val="00A30DDF"/>
    <w:rsid w:val="00A9222A"/>
    <w:rsid w:val="00B02FF1"/>
    <w:rsid w:val="00B31BDA"/>
    <w:rsid w:val="00C00E1D"/>
    <w:rsid w:val="00DB0514"/>
    <w:rsid w:val="00DB4D24"/>
    <w:rsid w:val="00DD023D"/>
    <w:rsid w:val="00E89380"/>
    <w:rsid w:val="00F25EBA"/>
    <w:rsid w:val="00FA15C6"/>
    <w:rsid w:val="00FBFD2C"/>
    <w:rsid w:val="010A6901"/>
    <w:rsid w:val="012A52F4"/>
    <w:rsid w:val="013034BB"/>
    <w:rsid w:val="015E3A9F"/>
    <w:rsid w:val="019E2715"/>
    <w:rsid w:val="01BFA6E9"/>
    <w:rsid w:val="01C193AD"/>
    <w:rsid w:val="01C98133"/>
    <w:rsid w:val="01D66DCF"/>
    <w:rsid w:val="0203B352"/>
    <w:rsid w:val="021BD739"/>
    <w:rsid w:val="021F4EEC"/>
    <w:rsid w:val="028806F2"/>
    <w:rsid w:val="029000EB"/>
    <w:rsid w:val="02BDDB9D"/>
    <w:rsid w:val="02D26F79"/>
    <w:rsid w:val="02F57B97"/>
    <w:rsid w:val="0304E799"/>
    <w:rsid w:val="032E408A"/>
    <w:rsid w:val="035D640E"/>
    <w:rsid w:val="036DDC98"/>
    <w:rsid w:val="03817FE7"/>
    <w:rsid w:val="03A01A28"/>
    <w:rsid w:val="03A0B2D0"/>
    <w:rsid w:val="03A8FCD4"/>
    <w:rsid w:val="03B7FB18"/>
    <w:rsid w:val="03FC7ED4"/>
    <w:rsid w:val="0403DAE9"/>
    <w:rsid w:val="0416F681"/>
    <w:rsid w:val="043B518D"/>
    <w:rsid w:val="0440B3DD"/>
    <w:rsid w:val="044CC64B"/>
    <w:rsid w:val="0458F7C8"/>
    <w:rsid w:val="0474A4DE"/>
    <w:rsid w:val="0498F74C"/>
    <w:rsid w:val="04AA0A22"/>
    <w:rsid w:val="04AD6DD4"/>
    <w:rsid w:val="050A6AED"/>
    <w:rsid w:val="0514BAAE"/>
    <w:rsid w:val="053D146F"/>
    <w:rsid w:val="0544CD35"/>
    <w:rsid w:val="05556615"/>
    <w:rsid w:val="056EDF06"/>
    <w:rsid w:val="057CE6C7"/>
    <w:rsid w:val="05DCAE91"/>
    <w:rsid w:val="05F4C829"/>
    <w:rsid w:val="060A103B"/>
    <w:rsid w:val="06567DF8"/>
    <w:rsid w:val="06690A90"/>
    <w:rsid w:val="0673EA91"/>
    <w:rsid w:val="068B06A4"/>
    <w:rsid w:val="068FBE0D"/>
    <w:rsid w:val="069CF256"/>
    <w:rsid w:val="06B9E2FC"/>
    <w:rsid w:val="06DD7CB6"/>
    <w:rsid w:val="06EF50EF"/>
    <w:rsid w:val="0702996D"/>
    <w:rsid w:val="0750D3C8"/>
    <w:rsid w:val="0782FA70"/>
    <w:rsid w:val="07952413"/>
    <w:rsid w:val="07BF42B2"/>
    <w:rsid w:val="07E57438"/>
    <w:rsid w:val="07EA85E8"/>
    <w:rsid w:val="0801F51F"/>
    <w:rsid w:val="080D961C"/>
    <w:rsid w:val="08172664"/>
    <w:rsid w:val="081C52D6"/>
    <w:rsid w:val="0827C2D5"/>
    <w:rsid w:val="0838C2B7"/>
    <w:rsid w:val="0849222F"/>
    <w:rsid w:val="08703C7A"/>
    <w:rsid w:val="087A2ED3"/>
    <w:rsid w:val="087CB40C"/>
    <w:rsid w:val="087E89D3"/>
    <w:rsid w:val="088E93D4"/>
    <w:rsid w:val="08995F92"/>
    <w:rsid w:val="08BE5A5E"/>
    <w:rsid w:val="08CE8F31"/>
    <w:rsid w:val="08D28A65"/>
    <w:rsid w:val="08EEED1B"/>
    <w:rsid w:val="092C68EB"/>
    <w:rsid w:val="09557D1F"/>
    <w:rsid w:val="098D0F58"/>
    <w:rsid w:val="098E1EBA"/>
    <w:rsid w:val="09A22ADE"/>
    <w:rsid w:val="09D49318"/>
    <w:rsid w:val="09DBCB82"/>
    <w:rsid w:val="09EED2E2"/>
    <w:rsid w:val="0A0E1C5C"/>
    <w:rsid w:val="0A3D813B"/>
    <w:rsid w:val="0A55E2B8"/>
    <w:rsid w:val="0A657863"/>
    <w:rsid w:val="0A87C06C"/>
    <w:rsid w:val="0A8B1E20"/>
    <w:rsid w:val="0AA74A41"/>
    <w:rsid w:val="0AAA937B"/>
    <w:rsid w:val="0AB41A49"/>
    <w:rsid w:val="0ABB2463"/>
    <w:rsid w:val="0AC5573F"/>
    <w:rsid w:val="0AF55303"/>
    <w:rsid w:val="0B1C87E6"/>
    <w:rsid w:val="0B706379"/>
    <w:rsid w:val="0BFBB91E"/>
    <w:rsid w:val="0BFC9C2B"/>
    <w:rsid w:val="0C3C8CC0"/>
    <w:rsid w:val="0C3EC5FB"/>
    <w:rsid w:val="0C5C38E6"/>
    <w:rsid w:val="0CC60A01"/>
    <w:rsid w:val="0CDA604E"/>
    <w:rsid w:val="0CDD7633"/>
    <w:rsid w:val="0CE1F817"/>
    <w:rsid w:val="0CF413C9"/>
    <w:rsid w:val="0D16D996"/>
    <w:rsid w:val="0D25CC84"/>
    <w:rsid w:val="0D53038F"/>
    <w:rsid w:val="0D597D90"/>
    <w:rsid w:val="0D60C88E"/>
    <w:rsid w:val="0D65272C"/>
    <w:rsid w:val="0D8B926B"/>
    <w:rsid w:val="0DC0154C"/>
    <w:rsid w:val="0DD85D21"/>
    <w:rsid w:val="0DDB9977"/>
    <w:rsid w:val="0DF7159A"/>
    <w:rsid w:val="0E027472"/>
    <w:rsid w:val="0E31E880"/>
    <w:rsid w:val="0E7EE272"/>
    <w:rsid w:val="0EB30331"/>
    <w:rsid w:val="0EB90212"/>
    <w:rsid w:val="0EC1ADE3"/>
    <w:rsid w:val="0EE5A126"/>
    <w:rsid w:val="0EE6B763"/>
    <w:rsid w:val="0F60FE66"/>
    <w:rsid w:val="0F6E3EE1"/>
    <w:rsid w:val="0F859B07"/>
    <w:rsid w:val="0FC4CFBF"/>
    <w:rsid w:val="100D6756"/>
    <w:rsid w:val="1020D1F5"/>
    <w:rsid w:val="103E711B"/>
    <w:rsid w:val="10508819"/>
    <w:rsid w:val="106B58A3"/>
    <w:rsid w:val="1084B176"/>
    <w:rsid w:val="1108E398"/>
    <w:rsid w:val="11529688"/>
    <w:rsid w:val="11899C0A"/>
    <w:rsid w:val="118C1CA9"/>
    <w:rsid w:val="11BB9E50"/>
    <w:rsid w:val="11C866AB"/>
    <w:rsid w:val="1201A9BC"/>
    <w:rsid w:val="120B1100"/>
    <w:rsid w:val="1224747E"/>
    <w:rsid w:val="1288526C"/>
    <w:rsid w:val="128D2D0B"/>
    <w:rsid w:val="12C9E0D4"/>
    <w:rsid w:val="12FE122A"/>
    <w:rsid w:val="13256C6B"/>
    <w:rsid w:val="132AE85D"/>
    <w:rsid w:val="13351568"/>
    <w:rsid w:val="13417582"/>
    <w:rsid w:val="135872B7"/>
    <w:rsid w:val="1358DDD7"/>
    <w:rsid w:val="13590069"/>
    <w:rsid w:val="137B57CC"/>
    <w:rsid w:val="138828DB"/>
    <w:rsid w:val="13A1B44A"/>
    <w:rsid w:val="13A79EF2"/>
    <w:rsid w:val="13AB60D9"/>
    <w:rsid w:val="13B2C59A"/>
    <w:rsid w:val="14044079"/>
    <w:rsid w:val="1449C1B8"/>
    <w:rsid w:val="144E226E"/>
    <w:rsid w:val="146CFED5"/>
    <w:rsid w:val="146F1B92"/>
    <w:rsid w:val="14738F09"/>
    <w:rsid w:val="149C5EF8"/>
    <w:rsid w:val="14FF25AE"/>
    <w:rsid w:val="150B9022"/>
    <w:rsid w:val="1512E66A"/>
    <w:rsid w:val="153D84AB"/>
    <w:rsid w:val="15666985"/>
    <w:rsid w:val="156D1378"/>
    <w:rsid w:val="157AB6BA"/>
    <w:rsid w:val="15A925FE"/>
    <w:rsid w:val="15D314B7"/>
    <w:rsid w:val="166CD2E1"/>
    <w:rsid w:val="16769D34"/>
    <w:rsid w:val="1692DD01"/>
    <w:rsid w:val="1695EA98"/>
    <w:rsid w:val="16C23C10"/>
    <w:rsid w:val="16CBA416"/>
    <w:rsid w:val="16D77D4E"/>
    <w:rsid w:val="1708E3D9"/>
    <w:rsid w:val="176A46E1"/>
    <w:rsid w:val="1776BF0C"/>
    <w:rsid w:val="17A6BC54"/>
    <w:rsid w:val="17B92CEC"/>
    <w:rsid w:val="17CA6C59"/>
    <w:rsid w:val="17E26FA5"/>
    <w:rsid w:val="17F50C3D"/>
    <w:rsid w:val="17FCC934"/>
    <w:rsid w:val="184131B7"/>
    <w:rsid w:val="184456F4"/>
    <w:rsid w:val="1844E2A3"/>
    <w:rsid w:val="186D9344"/>
    <w:rsid w:val="19365B38"/>
    <w:rsid w:val="1976CE7D"/>
    <w:rsid w:val="197DD739"/>
    <w:rsid w:val="19815C9C"/>
    <w:rsid w:val="19AF18BE"/>
    <w:rsid w:val="19B5C9DC"/>
    <w:rsid w:val="19E47CC1"/>
    <w:rsid w:val="1A10F5CE"/>
    <w:rsid w:val="1A16D06C"/>
    <w:rsid w:val="1A2D969C"/>
    <w:rsid w:val="1A3A808A"/>
    <w:rsid w:val="1A40849B"/>
    <w:rsid w:val="1A6CCADD"/>
    <w:rsid w:val="1A6E39A5"/>
    <w:rsid w:val="1A89D1A8"/>
    <w:rsid w:val="1A95A8FF"/>
    <w:rsid w:val="1AA8FD0C"/>
    <w:rsid w:val="1ACA7753"/>
    <w:rsid w:val="1AD67AF6"/>
    <w:rsid w:val="1AE4DD61"/>
    <w:rsid w:val="1AE55B91"/>
    <w:rsid w:val="1B12AAC3"/>
    <w:rsid w:val="1B24BF79"/>
    <w:rsid w:val="1B57AEC3"/>
    <w:rsid w:val="1B7204E8"/>
    <w:rsid w:val="1B95AD33"/>
    <w:rsid w:val="1B9B726B"/>
    <w:rsid w:val="1BB8F7AC"/>
    <w:rsid w:val="1BC3823C"/>
    <w:rsid w:val="1BCFD94D"/>
    <w:rsid w:val="1BD86415"/>
    <w:rsid w:val="1BE459D7"/>
    <w:rsid w:val="1BE7681B"/>
    <w:rsid w:val="1C292DDE"/>
    <w:rsid w:val="1C4C38AB"/>
    <w:rsid w:val="1C5BBB06"/>
    <w:rsid w:val="1C95BCA7"/>
    <w:rsid w:val="1CB6EF92"/>
    <w:rsid w:val="1CBDAD66"/>
    <w:rsid w:val="1CCBA478"/>
    <w:rsid w:val="1CCDE248"/>
    <w:rsid w:val="1D03970C"/>
    <w:rsid w:val="1D1FA798"/>
    <w:rsid w:val="1D23D57D"/>
    <w:rsid w:val="1D2D2C41"/>
    <w:rsid w:val="1D3E0E9D"/>
    <w:rsid w:val="1D501943"/>
    <w:rsid w:val="1D6FF794"/>
    <w:rsid w:val="1D7B9F6C"/>
    <w:rsid w:val="1D8098D0"/>
    <w:rsid w:val="1D837235"/>
    <w:rsid w:val="1D85C89F"/>
    <w:rsid w:val="1DD002C5"/>
    <w:rsid w:val="1DD8B624"/>
    <w:rsid w:val="1DDF5491"/>
    <w:rsid w:val="1E09CC5B"/>
    <w:rsid w:val="1E536F29"/>
    <w:rsid w:val="1E54CDBF"/>
    <w:rsid w:val="1E644DC1"/>
    <w:rsid w:val="1E9B7F6D"/>
    <w:rsid w:val="1EB1F614"/>
    <w:rsid w:val="1EB30FA1"/>
    <w:rsid w:val="1EC09D6A"/>
    <w:rsid w:val="1EDB5DF1"/>
    <w:rsid w:val="1EEC0CE3"/>
    <w:rsid w:val="1F03C104"/>
    <w:rsid w:val="1F44CF8C"/>
    <w:rsid w:val="1F4A2DE9"/>
    <w:rsid w:val="1F4BA0D0"/>
    <w:rsid w:val="1F4C187C"/>
    <w:rsid w:val="1F5A59D3"/>
    <w:rsid w:val="1F6CB2A5"/>
    <w:rsid w:val="1F81112F"/>
    <w:rsid w:val="1FBE2B2C"/>
    <w:rsid w:val="1FDD64E1"/>
    <w:rsid w:val="1FE01A2E"/>
    <w:rsid w:val="1FF09E20"/>
    <w:rsid w:val="1FFD6219"/>
    <w:rsid w:val="20374FCE"/>
    <w:rsid w:val="20555684"/>
    <w:rsid w:val="205A98C8"/>
    <w:rsid w:val="20638D6F"/>
    <w:rsid w:val="209F9165"/>
    <w:rsid w:val="20B3402E"/>
    <w:rsid w:val="20FBEAE3"/>
    <w:rsid w:val="2115C75E"/>
    <w:rsid w:val="211CE190"/>
    <w:rsid w:val="21319668"/>
    <w:rsid w:val="217BD297"/>
    <w:rsid w:val="218811F6"/>
    <w:rsid w:val="219BEE83"/>
    <w:rsid w:val="21A6AEC2"/>
    <w:rsid w:val="21A706BF"/>
    <w:rsid w:val="21ADC7EA"/>
    <w:rsid w:val="21B7F668"/>
    <w:rsid w:val="21D60133"/>
    <w:rsid w:val="21DA41AA"/>
    <w:rsid w:val="22076109"/>
    <w:rsid w:val="2212FEB3"/>
    <w:rsid w:val="222A18A0"/>
    <w:rsid w:val="223B61C6"/>
    <w:rsid w:val="223D8142"/>
    <w:rsid w:val="2256E358"/>
    <w:rsid w:val="225A9DC5"/>
    <w:rsid w:val="2265EE05"/>
    <w:rsid w:val="226DEA5C"/>
    <w:rsid w:val="22CAFC8A"/>
    <w:rsid w:val="22F7AC16"/>
    <w:rsid w:val="230B3180"/>
    <w:rsid w:val="232A9119"/>
    <w:rsid w:val="2362B9C7"/>
    <w:rsid w:val="236476B6"/>
    <w:rsid w:val="23725527"/>
    <w:rsid w:val="23908398"/>
    <w:rsid w:val="23A1B13C"/>
    <w:rsid w:val="23E75A6E"/>
    <w:rsid w:val="23F2B3B9"/>
    <w:rsid w:val="23F8FBC7"/>
    <w:rsid w:val="24046F8E"/>
    <w:rsid w:val="2418E53F"/>
    <w:rsid w:val="245EFF75"/>
    <w:rsid w:val="245FF7FD"/>
    <w:rsid w:val="24790DDF"/>
    <w:rsid w:val="24795453"/>
    <w:rsid w:val="24875EB5"/>
    <w:rsid w:val="24A28F66"/>
    <w:rsid w:val="24B51655"/>
    <w:rsid w:val="24C13E77"/>
    <w:rsid w:val="24E236EC"/>
    <w:rsid w:val="24E94437"/>
    <w:rsid w:val="250FCBCD"/>
    <w:rsid w:val="25497AD2"/>
    <w:rsid w:val="257BF45C"/>
    <w:rsid w:val="25DEE256"/>
    <w:rsid w:val="25F27E27"/>
    <w:rsid w:val="25FACFD6"/>
    <w:rsid w:val="261E91B7"/>
    <w:rsid w:val="2620FFDE"/>
    <w:rsid w:val="265482D9"/>
    <w:rsid w:val="2667BA7D"/>
    <w:rsid w:val="26744CFE"/>
    <w:rsid w:val="26A9F5E9"/>
    <w:rsid w:val="26AC70B1"/>
    <w:rsid w:val="26B0EE51"/>
    <w:rsid w:val="26B65B25"/>
    <w:rsid w:val="26ECBFBE"/>
    <w:rsid w:val="26EF0496"/>
    <w:rsid w:val="26F9C42F"/>
    <w:rsid w:val="27012E7F"/>
    <w:rsid w:val="270C551D"/>
    <w:rsid w:val="271EFB30"/>
    <w:rsid w:val="27265D9B"/>
    <w:rsid w:val="2726F529"/>
    <w:rsid w:val="272A547B"/>
    <w:rsid w:val="2737B7B3"/>
    <w:rsid w:val="2764AAA0"/>
    <w:rsid w:val="278FAFE4"/>
    <w:rsid w:val="279F73CA"/>
    <w:rsid w:val="27AB97B8"/>
    <w:rsid w:val="27B3C639"/>
    <w:rsid w:val="27B44D0A"/>
    <w:rsid w:val="27E2BC8F"/>
    <w:rsid w:val="27E8D79C"/>
    <w:rsid w:val="27F207AA"/>
    <w:rsid w:val="2803EAAE"/>
    <w:rsid w:val="283E2D24"/>
    <w:rsid w:val="289CFEE0"/>
    <w:rsid w:val="28ACC2C6"/>
    <w:rsid w:val="28CFA43F"/>
    <w:rsid w:val="295D4309"/>
    <w:rsid w:val="29A45B24"/>
    <w:rsid w:val="29B8D9CF"/>
    <w:rsid w:val="29C9A796"/>
    <w:rsid w:val="29D9FD85"/>
    <w:rsid w:val="29ED5DD1"/>
    <w:rsid w:val="29F9F5FC"/>
    <w:rsid w:val="2A23D93E"/>
    <w:rsid w:val="2A31CE08"/>
    <w:rsid w:val="2A3A9CBF"/>
    <w:rsid w:val="2A5006B5"/>
    <w:rsid w:val="2A6356D9"/>
    <w:rsid w:val="2AA38147"/>
    <w:rsid w:val="2AB048A7"/>
    <w:rsid w:val="2AB7481B"/>
    <w:rsid w:val="2ADB7542"/>
    <w:rsid w:val="2AE3D0EC"/>
    <w:rsid w:val="2AE5B437"/>
    <w:rsid w:val="2AE6D124"/>
    <w:rsid w:val="2AF3E7FE"/>
    <w:rsid w:val="2B0DB572"/>
    <w:rsid w:val="2B7E952D"/>
    <w:rsid w:val="2BA22D65"/>
    <w:rsid w:val="2BB42A25"/>
    <w:rsid w:val="2BC64F72"/>
    <w:rsid w:val="2BE46388"/>
    <w:rsid w:val="2BF48E35"/>
    <w:rsid w:val="2C08098E"/>
    <w:rsid w:val="2C3E9D8A"/>
    <w:rsid w:val="2C6B09E2"/>
    <w:rsid w:val="2C87BE2D"/>
    <w:rsid w:val="2C98FC9B"/>
    <w:rsid w:val="2CA87001"/>
    <w:rsid w:val="2D2FDAAC"/>
    <w:rsid w:val="2D3F98BE"/>
    <w:rsid w:val="2D4AFA65"/>
    <w:rsid w:val="2D4D7F83"/>
    <w:rsid w:val="2D621FD3"/>
    <w:rsid w:val="2D71DF60"/>
    <w:rsid w:val="2D90A917"/>
    <w:rsid w:val="2DA3D9EF"/>
    <w:rsid w:val="2DB2963C"/>
    <w:rsid w:val="2DDA6DEB"/>
    <w:rsid w:val="2DDCE53C"/>
    <w:rsid w:val="2DE2986F"/>
    <w:rsid w:val="2DE7A1EE"/>
    <w:rsid w:val="2DF2DCE5"/>
    <w:rsid w:val="2E0DCF41"/>
    <w:rsid w:val="2E131604"/>
    <w:rsid w:val="2E70D143"/>
    <w:rsid w:val="2E8F15E2"/>
    <w:rsid w:val="2EDC9524"/>
    <w:rsid w:val="2EFA8ABB"/>
    <w:rsid w:val="2EFDF034"/>
    <w:rsid w:val="2F06BC38"/>
    <w:rsid w:val="2F090D5E"/>
    <w:rsid w:val="2F0E70C1"/>
    <w:rsid w:val="2F1A6688"/>
    <w:rsid w:val="2F27BE6C"/>
    <w:rsid w:val="2F4E07BC"/>
    <w:rsid w:val="2F763E4C"/>
    <w:rsid w:val="2F7E2BD2"/>
    <w:rsid w:val="2F838EF5"/>
    <w:rsid w:val="2FA20193"/>
    <w:rsid w:val="2FBF26B2"/>
    <w:rsid w:val="2FBF5EEF"/>
    <w:rsid w:val="2FC1218E"/>
    <w:rsid w:val="2FF92FE6"/>
    <w:rsid w:val="303278CC"/>
    <w:rsid w:val="3041ABD7"/>
    <w:rsid w:val="306544E5"/>
    <w:rsid w:val="307FA0F4"/>
    <w:rsid w:val="3086DFC9"/>
    <w:rsid w:val="309C8CD2"/>
    <w:rsid w:val="30C142E2"/>
    <w:rsid w:val="30CDD76F"/>
    <w:rsid w:val="30D7EE76"/>
    <w:rsid w:val="30DB7AB1"/>
    <w:rsid w:val="31120EAD"/>
    <w:rsid w:val="3125B6DF"/>
    <w:rsid w:val="313C8D5F"/>
    <w:rsid w:val="31457003"/>
    <w:rsid w:val="31849555"/>
    <w:rsid w:val="319B35FD"/>
    <w:rsid w:val="31A0847F"/>
    <w:rsid w:val="31C3EBB4"/>
    <w:rsid w:val="31D69683"/>
    <w:rsid w:val="31F1317F"/>
    <w:rsid w:val="31F3A3AA"/>
    <w:rsid w:val="320B172F"/>
    <w:rsid w:val="320F8E78"/>
    <w:rsid w:val="3220F0A6"/>
    <w:rsid w:val="3225515C"/>
    <w:rsid w:val="3253A50C"/>
    <w:rsid w:val="325F67FD"/>
    <w:rsid w:val="32853433"/>
    <w:rsid w:val="32ADDF0E"/>
    <w:rsid w:val="32B5CC94"/>
    <w:rsid w:val="32D201E5"/>
    <w:rsid w:val="32E14064"/>
    <w:rsid w:val="32E68727"/>
    <w:rsid w:val="32F244EC"/>
    <w:rsid w:val="33070C55"/>
    <w:rsid w:val="330BCB89"/>
    <w:rsid w:val="331B611D"/>
    <w:rsid w:val="3329D5E9"/>
    <w:rsid w:val="332E3FA2"/>
    <w:rsid w:val="3347CC78"/>
    <w:rsid w:val="335FBC15"/>
    <w:rsid w:val="33934BEB"/>
    <w:rsid w:val="33A3951F"/>
    <w:rsid w:val="33CDFBDE"/>
    <w:rsid w:val="33D18135"/>
    <w:rsid w:val="33EC4B89"/>
    <w:rsid w:val="34126423"/>
    <w:rsid w:val="341E31EB"/>
    <w:rsid w:val="343BD79A"/>
    <w:rsid w:val="3458EE40"/>
    <w:rsid w:val="345FAEF0"/>
    <w:rsid w:val="347A952B"/>
    <w:rsid w:val="34C17858"/>
    <w:rsid w:val="34C6D4CB"/>
    <w:rsid w:val="350AC230"/>
    <w:rsid w:val="3513A387"/>
    <w:rsid w:val="354AC353"/>
    <w:rsid w:val="356B998F"/>
    <w:rsid w:val="356FA3C2"/>
    <w:rsid w:val="3583D563"/>
    <w:rsid w:val="358B45CE"/>
    <w:rsid w:val="35B8074F"/>
    <w:rsid w:val="3612547F"/>
    <w:rsid w:val="361B9483"/>
    <w:rsid w:val="362D4DD9"/>
    <w:rsid w:val="363707CA"/>
    <w:rsid w:val="364C0CC7"/>
    <w:rsid w:val="3665E064"/>
    <w:rsid w:val="3669C0AF"/>
    <w:rsid w:val="366BF3CA"/>
    <w:rsid w:val="366EC849"/>
    <w:rsid w:val="36816121"/>
    <w:rsid w:val="369532EA"/>
    <w:rsid w:val="36A0D81A"/>
    <w:rsid w:val="36CA3D6D"/>
    <w:rsid w:val="36DD0A90"/>
    <w:rsid w:val="3721BAEF"/>
    <w:rsid w:val="37226DE5"/>
    <w:rsid w:val="3756D5B6"/>
    <w:rsid w:val="37592517"/>
    <w:rsid w:val="3770A539"/>
    <w:rsid w:val="3771E9ED"/>
    <w:rsid w:val="3793EB1B"/>
    <w:rsid w:val="3796B935"/>
    <w:rsid w:val="37AA3464"/>
    <w:rsid w:val="37F1A29A"/>
    <w:rsid w:val="380FC603"/>
    <w:rsid w:val="383B1ABE"/>
    <w:rsid w:val="383B9054"/>
    <w:rsid w:val="3850CE44"/>
    <w:rsid w:val="3859D7EF"/>
    <w:rsid w:val="386D5AA9"/>
    <w:rsid w:val="388EAB1B"/>
    <w:rsid w:val="38959B2C"/>
    <w:rsid w:val="38C1BAFD"/>
    <w:rsid w:val="38CBA340"/>
    <w:rsid w:val="38F7BB03"/>
    <w:rsid w:val="38FB3D30"/>
    <w:rsid w:val="39328996"/>
    <w:rsid w:val="3937B405"/>
    <w:rsid w:val="3964EE9B"/>
    <w:rsid w:val="39883914"/>
    <w:rsid w:val="3998226F"/>
    <w:rsid w:val="399B3563"/>
    <w:rsid w:val="39AB9664"/>
    <w:rsid w:val="39BE50BE"/>
    <w:rsid w:val="39C042E5"/>
    <w:rsid w:val="39E94E88"/>
    <w:rsid w:val="3A14E98F"/>
    <w:rsid w:val="3A3D3D62"/>
    <w:rsid w:val="3A66A477"/>
    <w:rsid w:val="3A970D91"/>
    <w:rsid w:val="3ACA00F3"/>
    <w:rsid w:val="3ACD3D5E"/>
    <w:rsid w:val="3B038C1B"/>
    <w:rsid w:val="3B09C4C1"/>
    <w:rsid w:val="3B1F7DEA"/>
    <w:rsid w:val="3B3879FE"/>
    <w:rsid w:val="3B475A52"/>
    <w:rsid w:val="3B796A3E"/>
    <w:rsid w:val="3B928C0E"/>
    <w:rsid w:val="3B943FA7"/>
    <w:rsid w:val="3BE42DA2"/>
    <w:rsid w:val="3C0525C1"/>
    <w:rsid w:val="3C43867D"/>
    <w:rsid w:val="3C459351"/>
    <w:rsid w:val="3C474F50"/>
    <w:rsid w:val="3C515C0A"/>
    <w:rsid w:val="3C57C438"/>
    <w:rsid w:val="3C5CAEDA"/>
    <w:rsid w:val="3C5E90ED"/>
    <w:rsid w:val="3C7D36E2"/>
    <w:rsid w:val="3C7FFED5"/>
    <w:rsid w:val="3C836700"/>
    <w:rsid w:val="3C8822AA"/>
    <w:rsid w:val="3C965F3F"/>
    <w:rsid w:val="3C9F5C7C"/>
    <w:rsid w:val="3CBB4E4B"/>
    <w:rsid w:val="3CDB9C97"/>
    <w:rsid w:val="3CDD1073"/>
    <w:rsid w:val="3CF0750F"/>
    <w:rsid w:val="3D005ED4"/>
    <w:rsid w:val="3D053B05"/>
    <w:rsid w:val="3D22D83A"/>
    <w:rsid w:val="3D2713BB"/>
    <w:rsid w:val="3D2E6673"/>
    <w:rsid w:val="3D301008"/>
    <w:rsid w:val="3D39145A"/>
    <w:rsid w:val="3D3F89EE"/>
    <w:rsid w:val="3D43C7ED"/>
    <w:rsid w:val="3D803690"/>
    <w:rsid w:val="3D946D0A"/>
    <w:rsid w:val="3DB3C420"/>
    <w:rsid w:val="3DB6372D"/>
    <w:rsid w:val="3DCDBE70"/>
    <w:rsid w:val="3DE163B2"/>
    <w:rsid w:val="3DF87F3B"/>
    <w:rsid w:val="3E12DAF9"/>
    <w:rsid w:val="3E24B531"/>
    <w:rsid w:val="3E571EAC"/>
    <w:rsid w:val="3E7EFB14"/>
    <w:rsid w:val="3E828196"/>
    <w:rsid w:val="3E8A545F"/>
    <w:rsid w:val="3EB0D74D"/>
    <w:rsid w:val="3F24CD88"/>
    <w:rsid w:val="3F3A159A"/>
    <w:rsid w:val="3F694A58"/>
    <w:rsid w:val="3F72C421"/>
    <w:rsid w:val="3F893ED1"/>
    <w:rsid w:val="3F8F5941"/>
    <w:rsid w:val="3F9C83B5"/>
    <w:rsid w:val="3FA70EC0"/>
    <w:rsid w:val="3FF77A98"/>
    <w:rsid w:val="3FFC6B84"/>
    <w:rsid w:val="4005299A"/>
    <w:rsid w:val="40133D59"/>
    <w:rsid w:val="4018BCE6"/>
    <w:rsid w:val="405E011B"/>
    <w:rsid w:val="40C8C562"/>
    <w:rsid w:val="40E1634B"/>
    <w:rsid w:val="410F200E"/>
    <w:rsid w:val="412490D0"/>
    <w:rsid w:val="412A6919"/>
    <w:rsid w:val="4141968F"/>
    <w:rsid w:val="41488EF7"/>
    <w:rsid w:val="4149B3A0"/>
    <w:rsid w:val="41562B65"/>
    <w:rsid w:val="418F7D67"/>
    <w:rsid w:val="419134E4"/>
    <w:rsid w:val="41A56D72"/>
    <w:rsid w:val="41BE95CF"/>
    <w:rsid w:val="41CC3911"/>
    <w:rsid w:val="41D1970E"/>
    <w:rsid w:val="41E7C306"/>
    <w:rsid w:val="4210488B"/>
    <w:rsid w:val="422567B3"/>
    <w:rsid w:val="423303BF"/>
    <w:rsid w:val="427D94CB"/>
    <w:rsid w:val="42886136"/>
    <w:rsid w:val="429A2E51"/>
    <w:rsid w:val="42BC4CC3"/>
    <w:rsid w:val="42CD5B14"/>
    <w:rsid w:val="42F07591"/>
    <w:rsid w:val="42F7C45C"/>
    <w:rsid w:val="4303A60C"/>
    <w:rsid w:val="430AFC03"/>
    <w:rsid w:val="43112ACF"/>
    <w:rsid w:val="43198A0F"/>
    <w:rsid w:val="432D2223"/>
    <w:rsid w:val="434127E5"/>
    <w:rsid w:val="437BB71B"/>
    <w:rsid w:val="43A43A0C"/>
    <w:rsid w:val="43A55F2D"/>
    <w:rsid w:val="43B9D29C"/>
    <w:rsid w:val="43D2E4D1"/>
    <w:rsid w:val="43D6BE70"/>
    <w:rsid w:val="43E51FD5"/>
    <w:rsid w:val="43E7BE11"/>
    <w:rsid w:val="43FCB222"/>
    <w:rsid w:val="441F3B6F"/>
    <w:rsid w:val="4422141D"/>
    <w:rsid w:val="442F9D22"/>
    <w:rsid w:val="4436A61F"/>
    <w:rsid w:val="4469A2D2"/>
    <w:rsid w:val="448193C2"/>
    <w:rsid w:val="448D8513"/>
    <w:rsid w:val="44957854"/>
    <w:rsid w:val="449A5F18"/>
    <w:rsid w:val="44D3D88D"/>
    <w:rsid w:val="44DBD52F"/>
    <w:rsid w:val="44DD0E34"/>
    <w:rsid w:val="44EB728A"/>
    <w:rsid w:val="44F995E3"/>
    <w:rsid w:val="45217F36"/>
    <w:rsid w:val="45355DE7"/>
    <w:rsid w:val="45552863"/>
    <w:rsid w:val="4565BC7A"/>
    <w:rsid w:val="456EB532"/>
    <w:rsid w:val="4577C5CF"/>
    <w:rsid w:val="4582E5FB"/>
    <w:rsid w:val="4591525C"/>
    <w:rsid w:val="45A3FAE3"/>
    <w:rsid w:val="4612059A"/>
    <w:rsid w:val="46241928"/>
    <w:rsid w:val="462A4946"/>
    <w:rsid w:val="46746B1E"/>
    <w:rsid w:val="46A31CDC"/>
    <w:rsid w:val="46BD1101"/>
    <w:rsid w:val="471EB65C"/>
    <w:rsid w:val="47257B40"/>
    <w:rsid w:val="47C77B52"/>
    <w:rsid w:val="4817D48F"/>
    <w:rsid w:val="4872C2AF"/>
    <w:rsid w:val="487C08EB"/>
    <w:rsid w:val="488E681A"/>
    <w:rsid w:val="48AD3D5D"/>
    <w:rsid w:val="48B53D93"/>
    <w:rsid w:val="48DE505E"/>
    <w:rsid w:val="48F2E787"/>
    <w:rsid w:val="48F4CB87"/>
    <w:rsid w:val="48F8E9D4"/>
    <w:rsid w:val="4975BF78"/>
    <w:rsid w:val="49802073"/>
    <w:rsid w:val="4999CF8F"/>
    <w:rsid w:val="49B3A4F0"/>
    <w:rsid w:val="49CA7444"/>
    <w:rsid w:val="49FEEBA3"/>
    <w:rsid w:val="4A0AD070"/>
    <w:rsid w:val="4A1B2F9B"/>
    <w:rsid w:val="4A1DEADF"/>
    <w:rsid w:val="4A217AF7"/>
    <w:rsid w:val="4A4266A9"/>
    <w:rsid w:val="4AC850B8"/>
    <w:rsid w:val="4AFBDEBB"/>
    <w:rsid w:val="4B1D4343"/>
    <w:rsid w:val="4B2431ED"/>
    <w:rsid w:val="4B3F5A92"/>
    <w:rsid w:val="4B419D51"/>
    <w:rsid w:val="4B44B529"/>
    <w:rsid w:val="4B5C00F6"/>
    <w:rsid w:val="4B657815"/>
    <w:rsid w:val="4BB250F7"/>
    <w:rsid w:val="4BBB59B1"/>
    <w:rsid w:val="4C308A96"/>
    <w:rsid w:val="4C365610"/>
    <w:rsid w:val="4C40AABD"/>
    <w:rsid w:val="4C4B2F72"/>
    <w:rsid w:val="4C849D96"/>
    <w:rsid w:val="4CBDBE63"/>
    <w:rsid w:val="4CD47205"/>
    <w:rsid w:val="4CD7B094"/>
    <w:rsid w:val="4CF4A02B"/>
    <w:rsid w:val="4CFC1B08"/>
    <w:rsid w:val="4D1AC1D7"/>
    <w:rsid w:val="4D1FAF6D"/>
    <w:rsid w:val="4D2EFD80"/>
    <w:rsid w:val="4D4E2158"/>
    <w:rsid w:val="4D7577FA"/>
    <w:rsid w:val="4D79D992"/>
    <w:rsid w:val="4D7DD5A1"/>
    <w:rsid w:val="4DA4C926"/>
    <w:rsid w:val="4DDBE30C"/>
    <w:rsid w:val="4DE6B22E"/>
    <w:rsid w:val="4E567998"/>
    <w:rsid w:val="4E58C263"/>
    <w:rsid w:val="4E659C84"/>
    <w:rsid w:val="4E7F3FB3"/>
    <w:rsid w:val="4E80E752"/>
    <w:rsid w:val="4E8F0399"/>
    <w:rsid w:val="4E8FF761"/>
    <w:rsid w:val="4EB1A584"/>
    <w:rsid w:val="4EC36582"/>
    <w:rsid w:val="4EC84C46"/>
    <w:rsid w:val="4EE0F56C"/>
    <w:rsid w:val="4EEFAFFC"/>
    <w:rsid w:val="4EF2FA73"/>
    <w:rsid w:val="4EFEA752"/>
    <w:rsid w:val="4F15A9F3"/>
    <w:rsid w:val="4F19A602"/>
    <w:rsid w:val="4F6E646E"/>
    <w:rsid w:val="4F7018DE"/>
    <w:rsid w:val="4F7E6C08"/>
    <w:rsid w:val="4F9307B1"/>
    <w:rsid w:val="4F972063"/>
    <w:rsid w:val="4FADC8C9"/>
    <w:rsid w:val="4FB69AC5"/>
    <w:rsid w:val="4FBC3E58"/>
    <w:rsid w:val="4FC5C622"/>
    <w:rsid w:val="4FD54BD3"/>
    <w:rsid w:val="4FDC835B"/>
    <w:rsid w:val="4FE22566"/>
    <w:rsid w:val="4FE49958"/>
    <w:rsid w:val="4FFF65C4"/>
    <w:rsid w:val="5047C750"/>
    <w:rsid w:val="50529083"/>
    <w:rsid w:val="50593242"/>
    <w:rsid w:val="5072E006"/>
    <w:rsid w:val="509979FF"/>
    <w:rsid w:val="50A6FE82"/>
    <w:rsid w:val="50B17A54"/>
    <w:rsid w:val="50D329D0"/>
    <w:rsid w:val="50DF30E5"/>
    <w:rsid w:val="513F2442"/>
    <w:rsid w:val="5153C469"/>
    <w:rsid w:val="5158DEB1"/>
    <w:rsid w:val="517ED589"/>
    <w:rsid w:val="519C21CC"/>
    <w:rsid w:val="51A4A7B7"/>
    <w:rsid w:val="51A6B11C"/>
    <w:rsid w:val="51E4C951"/>
    <w:rsid w:val="520809AD"/>
    <w:rsid w:val="523FEDBE"/>
    <w:rsid w:val="5248B0E0"/>
    <w:rsid w:val="5248E91D"/>
    <w:rsid w:val="526CD062"/>
    <w:rsid w:val="527A9038"/>
    <w:rsid w:val="527E3341"/>
    <w:rsid w:val="528B8170"/>
    <w:rsid w:val="529FCC1A"/>
    <w:rsid w:val="52F3DF1A"/>
    <w:rsid w:val="5307F770"/>
    <w:rsid w:val="531DAB0B"/>
    <w:rsid w:val="53220EF3"/>
    <w:rsid w:val="532AD455"/>
    <w:rsid w:val="5352B0D6"/>
    <w:rsid w:val="5362AE75"/>
    <w:rsid w:val="53633E0A"/>
    <w:rsid w:val="536504DF"/>
    <w:rsid w:val="5380DFF2"/>
    <w:rsid w:val="53821EE0"/>
    <w:rsid w:val="53956682"/>
    <w:rsid w:val="539ADD9A"/>
    <w:rsid w:val="539EEB00"/>
    <w:rsid w:val="53BA7B6E"/>
    <w:rsid w:val="53BC2E41"/>
    <w:rsid w:val="53C01C58"/>
    <w:rsid w:val="53D2BD92"/>
    <w:rsid w:val="53D900E2"/>
    <w:rsid w:val="5409FA06"/>
    <w:rsid w:val="540EC8D7"/>
    <w:rsid w:val="5412E68F"/>
    <w:rsid w:val="54293259"/>
    <w:rsid w:val="542C587C"/>
    <w:rsid w:val="544CD752"/>
    <w:rsid w:val="545B4DBB"/>
    <w:rsid w:val="54C3A331"/>
    <w:rsid w:val="54D4DE08"/>
    <w:rsid w:val="54ED3E3B"/>
    <w:rsid w:val="5502E33C"/>
    <w:rsid w:val="55092350"/>
    <w:rsid w:val="551DEF41"/>
    <w:rsid w:val="5520E708"/>
    <w:rsid w:val="552651E7"/>
    <w:rsid w:val="554A1DA8"/>
    <w:rsid w:val="554E07E2"/>
    <w:rsid w:val="555C9C07"/>
    <w:rsid w:val="5565FA9D"/>
    <w:rsid w:val="558BE196"/>
    <w:rsid w:val="55AB7D26"/>
    <w:rsid w:val="55B2DE30"/>
    <w:rsid w:val="55BC8407"/>
    <w:rsid w:val="55DC9E59"/>
    <w:rsid w:val="55E2B1F8"/>
    <w:rsid w:val="55FD9682"/>
    <w:rsid w:val="55FE38C3"/>
    <w:rsid w:val="566402E5"/>
    <w:rsid w:val="566814E2"/>
    <w:rsid w:val="566F92EF"/>
    <w:rsid w:val="56B6E021"/>
    <w:rsid w:val="56BC5216"/>
    <w:rsid w:val="56E7755B"/>
    <w:rsid w:val="56F5039E"/>
    <w:rsid w:val="570D2551"/>
    <w:rsid w:val="570D94E6"/>
    <w:rsid w:val="5714D788"/>
    <w:rsid w:val="5720BBD8"/>
    <w:rsid w:val="57387F22"/>
    <w:rsid w:val="574EAE91"/>
    <w:rsid w:val="5760BCCF"/>
    <w:rsid w:val="5782C552"/>
    <w:rsid w:val="57870BF9"/>
    <w:rsid w:val="57953927"/>
    <w:rsid w:val="579966E3"/>
    <w:rsid w:val="57BDF8ED"/>
    <w:rsid w:val="57FB43F3"/>
    <w:rsid w:val="58033179"/>
    <w:rsid w:val="580D1481"/>
    <w:rsid w:val="58251144"/>
    <w:rsid w:val="584F47F5"/>
    <w:rsid w:val="58521EAA"/>
    <w:rsid w:val="5863ED81"/>
    <w:rsid w:val="58647BFE"/>
    <w:rsid w:val="58751D3A"/>
    <w:rsid w:val="5876F784"/>
    <w:rsid w:val="58915A4D"/>
    <w:rsid w:val="58AA38CA"/>
    <w:rsid w:val="58AA6C1E"/>
    <w:rsid w:val="58BC8C39"/>
    <w:rsid w:val="58D366C6"/>
    <w:rsid w:val="58D57B77"/>
    <w:rsid w:val="58D8980D"/>
    <w:rsid w:val="58EA7EF2"/>
    <w:rsid w:val="5925CCBA"/>
    <w:rsid w:val="59626DED"/>
    <w:rsid w:val="59B6C085"/>
    <w:rsid w:val="59C0E1A5"/>
    <w:rsid w:val="59D10365"/>
    <w:rsid w:val="59F4582B"/>
    <w:rsid w:val="5A2E7A7C"/>
    <w:rsid w:val="5A64625F"/>
    <w:rsid w:val="5A6BDE25"/>
    <w:rsid w:val="5A7E28DA"/>
    <w:rsid w:val="5AB9294C"/>
    <w:rsid w:val="5ADDCD49"/>
    <w:rsid w:val="5AFF3B31"/>
    <w:rsid w:val="5B08BFD6"/>
    <w:rsid w:val="5B1DF0BD"/>
    <w:rsid w:val="5B42B8FE"/>
    <w:rsid w:val="5B65211F"/>
    <w:rsid w:val="5B66094F"/>
    <w:rsid w:val="5B6BE8DF"/>
    <w:rsid w:val="5B86E8B7"/>
    <w:rsid w:val="5BA4DA08"/>
    <w:rsid w:val="5BA65017"/>
    <w:rsid w:val="5BAE9846"/>
    <w:rsid w:val="5BC8C2DC"/>
    <w:rsid w:val="5BF2B3F2"/>
    <w:rsid w:val="5BFC4C14"/>
    <w:rsid w:val="5C0D1C39"/>
    <w:rsid w:val="5C259221"/>
    <w:rsid w:val="5C31DF31"/>
    <w:rsid w:val="5C33A975"/>
    <w:rsid w:val="5C4AB433"/>
    <w:rsid w:val="5C6CD806"/>
    <w:rsid w:val="5CB6C73C"/>
    <w:rsid w:val="5CD62D81"/>
    <w:rsid w:val="5CEBE36F"/>
    <w:rsid w:val="5CF02EA5"/>
    <w:rsid w:val="5D03FAC7"/>
    <w:rsid w:val="5D063169"/>
    <w:rsid w:val="5D19BA82"/>
    <w:rsid w:val="5D3C4328"/>
    <w:rsid w:val="5D3ED50F"/>
    <w:rsid w:val="5D458B70"/>
    <w:rsid w:val="5D4E596B"/>
    <w:rsid w:val="5D56DB45"/>
    <w:rsid w:val="5D8E0FB6"/>
    <w:rsid w:val="5DBDF015"/>
    <w:rsid w:val="5DCF0571"/>
    <w:rsid w:val="5DD3C908"/>
    <w:rsid w:val="5DDCEF27"/>
    <w:rsid w:val="5DF0D775"/>
    <w:rsid w:val="5DF3FB36"/>
    <w:rsid w:val="5DFD53AE"/>
    <w:rsid w:val="5E38E76D"/>
    <w:rsid w:val="5E524F58"/>
    <w:rsid w:val="5E7272FD"/>
    <w:rsid w:val="5E79AA38"/>
    <w:rsid w:val="5E79F515"/>
    <w:rsid w:val="5E88470F"/>
    <w:rsid w:val="5E8E713C"/>
    <w:rsid w:val="5E90D7D9"/>
    <w:rsid w:val="5ED8AF9B"/>
    <w:rsid w:val="5EE63908"/>
    <w:rsid w:val="5EFC607C"/>
    <w:rsid w:val="5EFFF9C2"/>
    <w:rsid w:val="5F1EB3D9"/>
    <w:rsid w:val="5F1EE121"/>
    <w:rsid w:val="5F48E062"/>
    <w:rsid w:val="5F4AA3EA"/>
    <w:rsid w:val="5F623CA4"/>
    <w:rsid w:val="5F67B2EF"/>
    <w:rsid w:val="5F863CA8"/>
    <w:rsid w:val="5FC889F2"/>
    <w:rsid w:val="5FC9717D"/>
    <w:rsid w:val="5FD0280E"/>
    <w:rsid w:val="5FE2DDED"/>
    <w:rsid w:val="5FF957BE"/>
    <w:rsid w:val="6003617B"/>
    <w:rsid w:val="60395EB4"/>
    <w:rsid w:val="60834CEC"/>
    <w:rsid w:val="608672E8"/>
    <w:rsid w:val="60BEC9A4"/>
    <w:rsid w:val="60CA311B"/>
    <w:rsid w:val="60F33A68"/>
    <w:rsid w:val="60F6EFDA"/>
    <w:rsid w:val="611BA768"/>
    <w:rsid w:val="611F6C54"/>
    <w:rsid w:val="61445C56"/>
    <w:rsid w:val="614C7B05"/>
    <w:rsid w:val="615CA3A8"/>
    <w:rsid w:val="616360C2"/>
    <w:rsid w:val="61B8B5A4"/>
    <w:rsid w:val="61BA9029"/>
    <w:rsid w:val="61CDF9C0"/>
    <w:rsid w:val="61DCC825"/>
    <w:rsid w:val="61F74107"/>
    <w:rsid w:val="6235AEA4"/>
    <w:rsid w:val="6240EE72"/>
    <w:rsid w:val="62B6199E"/>
    <w:rsid w:val="62BEE074"/>
    <w:rsid w:val="62C8D74B"/>
    <w:rsid w:val="62E6BEC8"/>
    <w:rsid w:val="630BD38B"/>
    <w:rsid w:val="63252312"/>
    <w:rsid w:val="636BCB7C"/>
    <w:rsid w:val="636DDCC1"/>
    <w:rsid w:val="63733C4B"/>
    <w:rsid w:val="6388AA26"/>
    <w:rsid w:val="63C71776"/>
    <w:rsid w:val="63FEA32E"/>
    <w:rsid w:val="64198A9A"/>
    <w:rsid w:val="643471E9"/>
    <w:rsid w:val="64593414"/>
    <w:rsid w:val="64782E3A"/>
    <w:rsid w:val="6482FBF6"/>
    <w:rsid w:val="64A14D83"/>
    <w:rsid w:val="64B70F24"/>
    <w:rsid w:val="64D9C6FB"/>
    <w:rsid w:val="64E1B481"/>
    <w:rsid w:val="64F8CE58"/>
    <w:rsid w:val="65344861"/>
    <w:rsid w:val="65727360"/>
    <w:rsid w:val="65886097"/>
    <w:rsid w:val="658AC080"/>
    <w:rsid w:val="65A4B79C"/>
    <w:rsid w:val="65B13A4E"/>
    <w:rsid w:val="65B35351"/>
    <w:rsid w:val="65B6F9FA"/>
    <w:rsid w:val="6611A568"/>
    <w:rsid w:val="661BA7D2"/>
    <w:rsid w:val="66369C55"/>
    <w:rsid w:val="664E59ED"/>
    <w:rsid w:val="6665A883"/>
    <w:rsid w:val="6674AD12"/>
    <w:rsid w:val="667D84E2"/>
    <w:rsid w:val="668693EE"/>
    <w:rsid w:val="66AB90FE"/>
    <w:rsid w:val="66D018C2"/>
    <w:rsid w:val="66D4D48D"/>
    <w:rsid w:val="66D5A828"/>
    <w:rsid w:val="671D0E34"/>
    <w:rsid w:val="67280642"/>
    <w:rsid w:val="6757F02B"/>
    <w:rsid w:val="675ABBA2"/>
    <w:rsid w:val="67998BF8"/>
    <w:rsid w:val="67A6E7DA"/>
    <w:rsid w:val="681081B0"/>
    <w:rsid w:val="68184F26"/>
    <w:rsid w:val="682B00AB"/>
    <w:rsid w:val="684AD531"/>
    <w:rsid w:val="686E6E41"/>
    <w:rsid w:val="68806B0D"/>
    <w:rsid w:val="68924302"/>
    <w:rsid w:val="689EA205"/>
    <w:rsid w:val="68A2DE61"/>
    <w:rsid w:val="68C52E96"/>
    <w:rsid w:val="68ECF40F"/>
    <w:rsid w:val="68FF91AF"/>
    <w:rsid w:val="69083C0A"/>
    <w:rsid w:val="6908F29E"/>
    <w:rsid w:val="6915A33A"/>
    <w:rsid w:val="6922D427"/>
    <w:rsid w:val="69534894"/>
    <w:rsid w:val="69626E87"/>
    <w:rsid w:val="699647F8"/>
    <w:rsid w:val="699A0939"/>
    <w:rsid w:val="69A36005"/>
    <w:rsid w:val="69BDFA19"/>
    <w:rsid w:val="69E02668"/>
    <w:rsid w:val="69E340AB"/>
    <w:rsid w:val="69F1001D"/>
    <w:rsid w:val="69FD91C8"/>
    <w:rsid w:val="6A0A3EA2"/>
    <w:rsid w:val="6A0AE09C"/>
    <w:rsid w:val="6A0D65AE"/>
    <w:rsid w:val="6A5FA704"/>
    <w:rsid w:val="6A61C2DA"/>
    <w:rsid w:val="6AA4A4F8"/>
    <w:rsid w:val="6AC2AE59"/>
    <w:rsid w:val="6ACF1D85"/>
    <w:rsid w:val="6AFDDAB5"/>
    <w:rsid w:val="6B48789F"/>
    <w:rsid w:val="6B4C4258"/>
    <w:rsid w:val="6B553A12"/>
    <w:rsid w:val="6B5A0467"/>
    <w:rsid w:val="6B61AAFD"/>
    <w:rsid w:val="6B705AB0"/>
    <w:rsid w:val="6B7B6433"/>
    <w:rsid w:val="6B8CE2F9"/>
    <w:rsid w:val="6BB6E797"/>
    <w:rsid w:val="6BDB518A"/>
    <w:rsid w:val="6BFFEADC"/>
    <w:rsid w:val="6C4F02CC"/>
    <w:rsid w:val="6C5B1F68"/>
    <w:rsid w:val="6C5F7586"/>
    <w:rsid w:val="6C64BFB0"/>
    <w:rsid w:val="6C6D5A49"/>
    <w:rsid w:val="6CB93321"/>
    <w:rsid w:val="6CC5FA81"/>
    <w:rsid w:val="6CE6A630"/>
    <w:rsid w:val="6D01940A"/>
    <w:rsid w:val="6D12DE14"/>
    <w:rsid w:val="6D25EB7E"/>
    <w:rsid w:val="6D2FDA44"/>
    <w:rsid w:val="6D3CE739"/>
    <w:rsid w:val="6D3F5A46"/>
    <w:rsid w:val="6D4FA903"/>
    <w:rsid w:val="6D5005F0"/>
    <w:rsid w:val="6D83F947"/>
    <w:rsid w:val="6D906C1B"/>
    <w:rsid w:val="6D9747C6"/>
    <w:rsid w:val="6DA4F24F"/>
    <w:rsid w:val="6DA71F1B"/>
    <w:rsid w:val="6DBDFBDA"/>
    <w:rsid w:val="6DC725A8"/>
    <w:rsid w:val="6DCCA39D"/>
    <w:rsid w:val="6DDC834C"/>
    <w:rsid w:val="6DFA4F1B"/>
    <w:rsid w:val="6E26B9B7"/>
    <w:rsid w:val="6E483D2D"/>
    <w:rsid w:val="6E80BBBC"/>
    <w:rsid w:val="6E916B8D"/>
    <w:rsid w:val="6E9D7A86"/>
    <w:rsid w:val="6EAA98FB"/>
    <w:rsid w:val="6EBDDC78"/>
    <w:rsid w:val="6ED97637"/>
    <w:rsid w:val="6F062C6B"/>
    <w:rsid w:val="6F185505"/>
    <w:rsid w:val="6F2B7A24"/>
    <w:rsid w:val="6F3DFABD"/>
    <w:rsid w:val="6F40C2B0"/>
    <w:rsid w:val="6F7A9DEA"/>
    <w:rsid w:val="6F9AFC88"/>
    <w:rsid w:val="6FC1ACF2"/>
    <w:rsid w:val="70397AEF"/>
    <w:rsid w:val="7073FC12"/>
    <w:rsid w:val="70754698"/>
    <w:rsid w:val="70AAA633"/>
    <w:rsid w:val="70E6CF31"/>
    <w:rsid w:val="70FC8515"/>
    <w:rsid w:val="710FE7F1"/>
    <w:rsid w:val="711F0876"/>
    <w:rsid w:val="71293B42"/>
    <w:rsid w:val="7136AA47"/>
    <w:rsid w:val="71445891"/>
    <w:rsid w:val="7169A69B"/>
    <w:rsid w:val="7176E716"/>
    <w:rsid w:val="718BC638"/>
    <w:rsid w:val="71CAFBCB"/>
    <w:rsid w:val="71F3E8DA"/>
    <w:rsid w:val="723BEB1A"/>
    <w:rsid w:val="723D9347"/>
    <w:rsid w:val="723DCD2D"/>
    <w:rsid w:val="724AB91B"/>
    <w:rsid w:val="725C7322"/>
    <w:rsid w:val="72759B7F"/>
    <w:rsid w:val="727D2D48"/>
    <w:rsid w:val="729A8A8B"/>
    <w:rsid w:val="72A5AC5E"/>
    <w:rsid w:val="72B83E73"/>
    <w:rsid w:val="72FA2ADA"/>
    <w:rsid w:val="731684FD"/>
    <w:rsid w:val="73351130"/>
    <w:rsid w:val="734BC5D7"/>
    <w:rsid w:val="735B21DD"/>
    <w:rsid w:val="736F9E3C"/>
    <w:rsid w:val="73BD6FC5"/>
    <w:rsid w:val="743498B2"/>
    <w:rsid w:val="743A7189"/>
    <w:rsid w:val="7466314D"/>
    <w:rsid w:val="74831BC4"/>
    <w:rsid w:val="7495FB3B"/>
    <w:rsid w:val="74AE1E3E"/>
    <w:rsid w:val="74B0287B"/>
    <w:rsid w:val="74B06A91"/>
    <w:rsid w:val="74D0E191"/>
    <w:rsid w:val="74F7D84B"/>
    <w:rsid w:val="75047D1B"/>
    <w:rsid w:val="752D1DFC"/>
    <w:rsid w:val="7532921E"/>
    <w:rsid w:val="753F3CDE"/>
    <w:rsid w:val="755D0AA3"/>
    <w:rsid w:val="7567B06C"/>
    <w:rsid w:val="7586D203"/>
    <w:rsid w:val="75DC8382"/>
    <w:rsid w:val="75E1C7D5"/>
    <w:rsid w:val="75E9DF6E"/>
    <w:rsid w:val="76149286"/>
    <w:rsid w:val="761E895D"/>
    <w:rsid w:val="7620C432"/>
    <w:rsid w:val="7627C932"/>
    <w:rsid w:val="7680FD2D"/>
    <w:rsid w:val="7692C29F"/>
    <w:rsid w:val="76C8EE5D"/>
    <w:rsid w:val="76F0AE1F"/>
    <w:rsid w:val="774C0ADD"/>
    <w:rsid w:val="775D4CBC"/>
    <w:rsid w:val="7766A02E"/>
    <w:rsid w:val="77C39993"/>
    <w:rsid w:val="77C70E98"/>
    <w:rsid w:val="77DD7D7A"/>
    <w:rsid w:val="77E19A0E"/>
    <w:rsid w:val="77E34CD0"/>
    <w:rsid w:val="77E4F979"/>
    <w:rsid w:val="77FBE5C8"/>
    <w:rsid w:val="7815FBF0"/>
    <w:rsid w:val="78278B87"/>
    <w:rsid w:val="78349960"/>
    <w:rsid w:val="7838255E"/>
    <w:rsid w:val="7865F528"/>
    <w:rsid w:val="78783ACF"/>
    <w:rsid w:val="78884603"/>
    <w:rsid w:val="78A32FBC"/>
    <w:rsid w:val="78A5ACCF"/>
    <w:rsid w:val="78F91D1D"/>
    <w:rsid w:val="790335FA"/>
    <w:rsid w:val="7922AAA1"/>
    <w:rsid w:val="792E3982"/>
    <w:rsid w:val="79A452B4"/>
    <w:rsid w:val="79AEA9F2"/>
    <w:rsid w:val="79B681C7"/>
    <w:rsid w:val="79BC6E04"/>
    <w:rsid w:val="79C35BE8"/>
    <w:rsid w:val="79E8EF40"/>
    <w:rsid w:val="7A008F1F"/>
    <w:rsid w:val="7A241664"/>
    <w:rsid w:val="7A277E80"/>
    <w:rsid w:val="7A2C1912"/>
    <w:rsid w:val="7A3522BD"/>
    <w:rsid w:val="7A41D76C"/>
    <w:rsid w:val="7A4CFF29"/>
    <w:rsid w:val="7A9C94F1"/>
    <w:rsid w:val="7AD3F020"/>
    <w:rsid w:val="7AFA9B90"/>
    <w:rsid w:val="7B0D4150"/>
    <w:rsid w:val="7B2B9F67"/>
    <w:rsid w:val="7B32D26C"/>
    <w:rsid w:val="7B447CCA"/>
    <w:rsid w:val="7B4F95C5"/>
    <w:rsid w:val="7B5F2C49"/>
    <w:rsid w:val="7B6719CF"/>
    <w:rsid w:val="7B81F5A4"/>
    <w:rsid w:val="7BA5F9D0"/>
    <w:rsid w:val="7BB093B4"/>
    <w:rsid w:val="7BC23C05"/>
    <w:rsid w:val="7BC42C17"/>
    <w:rsid w:val="7BE4AF73"/>
    <w:rsid w:val="7BF5F3C8"/>
    <w:rsid w:val="7C1396B6"/>
    <w:rsid w:val="7C20AB18"/>
    <w:rsid w:val="7C29C1B2"/>
    <w:rsid w:val="7C499A43"/>
    <w:rsid w:val="7C4C5CDE"/>
    <w:rsid w:val="7C64DF8F"/>
    <w:rsid w:val="7C7C900A"/>
    <w:rsid w:val="7CA99C14"/>
    <w:rsid w:val="7CBDE8E4"/>
    <w:rsid w:val="7CC500C0"/>
    <w:rsid w:val="7CE7A807"/>
    <w:rsid w:val="7D357758"/>
    <w:rsid w:val="7D47441D"/>
    <w:rsid w:val="7D557E10"/>
    <w:rsid w:val="7D66CC15"/>
    <w:rsid w:val="7D703B9F"/>
    <w:rsid w:val="7D8C9494"/>
    <w:rsid w:val="7DC45C69"/>
    <w:rsid w:val="7E3AC89D"/>
    <w:rsid w:val="7E4EA5EB"/>
    <w:rsid w:val="7E54E0E0"/>
    <w:rsid w:val="7E58D1CB"/>
    <w:rsid w:val="7E9DD484"/>
    <w:rsid w:val="7E9EBA91"/>
    <w:rsid w:val="7EA5325E"/>
    <w:rsid w:val="7EA97ED3"/>
    <w:rsid w:val="7EBE9A62"/>
    <w:rsid w:val="7EDBA3BD"/>
    <w:rsid w:val="7EE7AE29"/>
    <w:rsid w:val="7EF26017"/>
    <w:rsid w:val="7EF78787"/>
    <w:rsid w:val="7F07EC78"/>
    <w:rsid w:val="7F28D93E"/>
    <w:rsid w:val="7F5979C7"/>
    <w:rsid w:val="7F910E34"/>
    <w:rsid w:val="7FA190EC"/>
    <w:rsid w:val="7FD698FE"/>
    <w:rsid w:val="7FF38986"/>
    <w:rsid w:val="7FFB1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C4C14"/>
  <w15:chartTrackingRefBased/>
  <w15:docId w15:val="{C3D27BBB-821A-4664-A651-42A320E3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6D72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styleId="Hipervnculo">
    <w:name w:val="Hyperlink"/>
    <w:basedOn w:val="Fuentedeprrafopredeter"/>
    <w:uiPriority w:val="99"/>
    <w:unhideWhenUsed/>
    <w:rPr>
      <w:color w:val="0563C1" w:themeColor="hyperlink"/>
      <w:u w:val="single"/>
    </w:rPr>
  </w:style>
  <w:style w:type="character" w:customStyle="1" w:styleId="Ttulo2Car">
    <w:name w:val="Título 2 Car"/>
    <w:basedOn w:val="Fuentedeprrafopredeter"/>
    <w:link w:val="Ttulo2"/>
    <w:uiPriority w:val="9"/>
    <w:semiHidden/>
    <w:rsid w:val="006D721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F25E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EBA"/>
  </w:style>
  <w:style w:type="paragraph" w:styleId="Piedepgina">
    <w:name w:val="footer"/>
    <w:basedOn w:val="Normal"/>
    <w:link w:val="PiedepginaCar"/>
    <w:uiPriority w:val="99"/>
    <w:unhideWhenUsed/>
    <w:rsid w:val="00F25E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EBA"/>
  </w:style>
  <w:style w:type="paragraph" w:styleId="NormalWeb">
    <w:name w:val="Normal (Web)"/>
    <w:basedOn w:val="Normal"/>
    <w:uiPriority w:val="99"/>
    <w:unhideWhenUsed/>
    <w:rsid w:val="00DB4D2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comentario">
    <w:name w:val="annotation reference"/>
    <w:basedOn w:val="Fuentedeprrafopredeter"/>
    <w:uiPriority w:val="99"/>
    <w:semiHidden/>
    <w:unhideWhenUsed/>
    <w:rsid w:val="00574BA7"/>
    <w:rPr>
      <w:sz w:val="16"/>
      <w:szCs w:val="16"/>
    </w:rPr>
  </w:style>
  <w:style w:type="paragraph" w:styleId="Textocomentario">
    <w:name w:val="annotation text"/>
    <w:basedOn w:val="Normal"/>
    <w:link w:val="TextocomentarioCar"/>
    <w:uiPriority w:val="99"/>
    <w:semiHidden/>
    <w:unhideWhenUsed/>
    <w:rsid w:val="00574B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4BA7"/>
    <w:rPr>
      <w:sz w:val="20"/>
      <w:szCs w:val="20"/>
    </w:rPr>
  </w:style>
  <w:style w:type="paragraph" w:styleId="Asuntodelcomentario">
    <w:name w:val="annotation subject"/>
    <w:basedOn w:val="Textocomentario"/>
    <w:next w:val="Textocomentario"/>
    <w:link w:val="AsuntodelcomentarioCar"/>
    <w:uiPriority w:val="99"/>
    <w:semiHidden/>
    <w:unhideWhenUsed/>
    <w:rsid w:val="00574BA7"/>
    <w:rPr>
      <w:b/>
      <w:bCs/>
    </w:rPr>
  </w:style>
  <w:style w:type="character" w:customStyle="1" w:styleId="AsuntodelcomentarioCar">
    <w:name w:val="Asunto del comentario Car"/>
    <w:basedOn w:val="TextocomentarioCar"/>
    <w:link w:val="Asuntodelcomentario"/>
    <w:uiPriority w:val="99"/>
    <w:semiHidden/>
    <w:rsid w:val="00574BA7"/>
    <w:rPr>
      <w:b/>
      <w:bCs/>
      <w:sz w:val="20"/>
      <w:szCs w:val="20"/>
    </w:rPr>
  </w:style>
  <w:style w:type="paragraph" w:styleId="Textodeglobo">
    <w:name w:val="Balloon Text"/>
    <w:basedOn w:val="Normal"/>
    <w:link w:val="TextodegloboCar"/>
    <w:uiPriority w:val="99"/>
    <w:semiHidden/>
    <w:unhideWhenUsed/>
    <w:rsid w:val="00574B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BA7"/>
    <w:rPr>
      <w:rFonts w:ascii="Segoe UI" w:hAnsi="Segoe UI" w:cs="Segoe UI"/>
      <w:sz w:val="18"/>
      <w:szCs w:val="18"/>
    </w:rPr>
  </w:style>
  <w:style w:type="character" w:customStyle="1" w:styleId="Ttulo3Car">
    <w:name w:val="Título 3 Car"/>
    <w:basedOn w:val="Fuentedeprrafopredeter"/>
    <w:link w:val="Ttulo3"/>
    <w:uiPriority w:val="9"/>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560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364413">
      <w:bodyDiv w:val="1"/>
      <w:marLeft w:val="0"/>
      <w:marRight w:val="0"/>
      <w:marTop w:val="0"/>
      <w:marBottom w:val="0"/>
      <w:divBdr>
        <w:top w:val="none" w:sz="0" w:space="0" w:color="auto"/>
        <w:left w:val="none" w:sz="0" w:space="0" w:color="auto"/>
        <w:bottom w:val="none" w:sz="0" w:space="0" w:color="auto"/>
        <w:right w:val="none" w:sz="0" w:space="0" w:color="auto"/>
      </w:divBdr>
    </w:div>
    <w:div w:id="1402168183">
      <w:bodyDiv w:val="1"/>
      <w:marLeft w:val="0"/>
      <w:marRight w:val="0"/>
      <w:marTop w:val="0"/>
      <w:marBottom w:val="0"/>
      <w:divBdr>
        <w:top w:val="none" w:sz="0" w:space="0" w:color="auto"/>
        <w:left w:val="none" w:sz="0" w:space="0" w:color="auto"/>
        <w:bottom w:val="none" w:sz="0" w:space="0" w:color="auto"/>
        <w:right w:val="none" w:sz="0" w:space="0" w:color="auto"/>
      </w:divBdr>
    </w:div>
    <w:div w:id="1851287104">
      <w:bodyDiv w:val="1"/>
      <w:marLeft w:val="0"/>
      <w:marRight w:val="0"/>
      <w:marTop w:val="0"/>
      <w:marBottom w:val="0"/>
      <w:divBdr>
        <w:top w:val="none" w:sz="0" w:space="0" w:color="auto"/>
        <w:left w:val="none" w:sz="0" w:space="0" w:color="auto"/>
        <w:bottom w:val="none" w:sz="0" w:space="0" w:color="auto"/>
        <w:right w:val="none" w:sz="0" w:space="0" w:color="auto"/>
      </w:divBdr>
    </w:div>
    <w:div w:id="18681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adbde7036eb94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hchr.org/en/calls-for-input/2022/call-inputs-mandate-working-group-discrimination-against-women-and-girls-its-0" TargetMode="External"/><Relationship Id="rId4" Type="http://schemas.openxmlformats.org/officeDocument/2006/relationships/settings" Target="settings.xml"/><Relationship Id="rId9" Type="http://schemas.openxmlformats.org/officeDocument/2006/relationships/hyperlink" Target="https://www.ohchr.org/EN/Issues/Women/SRWomen/Pages/CFI-taking-stock-femicide.aspx" TargetMode="External"/><Relationship Id="Re2d4dbe7d76e4c01"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en/press-releases/2022/03/sri-lanka-criminalisation-same-sex-sexual-activity-breached-rights-lgbti" TargetMode="External"/><Relationship Id="rId3" Type="http://schemas.openxmlformats.org/officeDocument/2006/relationships/hyperlink" Target="https://transrespect.org/en/tmm-update-tdor-2021/" TargetMode="External"/><Relationship Id="rId7" Type="http://schemas.openxmlformats.org/officeDocument/2006/relationships/hyperlink" Target="https://tbinternet.ohchr.org/_layouts/15/treatybodyexternal/Download.aspx?symbolno=CEDAW%2fC%2f81%2fD%2f134%2f2018&amp;Lang=en" TargetMode="External"/><Relationship Id="rId12" Type="http://schemas.openxmlformats.org/officeDocument/2006/relationships/hyperlink" Target="https://www.hrw.org/sites/default/files/report_pdf/srilanka0816web.pdf" TargetMode="External"/><Relationship Id="rId2" Type="http://schemas.openxmlformats.org/officeDocument/2006/relationships/hyperlink" Target="https://www.ilo.org/gender/Informationresources/Publications/WCMS_368962/lang--en/index.htm" TargetMode="External"/><Relationship Id="rId1" Type="http://schemas.openxmlformats.org/officeDocument/2006/relationships/hyperlink" Target="https://www.hrc.org/resources/lgbtq-womens-wage-gap" TargetMode="External"/><Relationship Id="rId6" Type="http://schemas.openxmlformats.org/officeDocument/2006/relationships/hyperlink" Target="http://internap.hrw.org/features/features/lgbt_laws/" TargetMode="External"/><Relationship Id="rId11" Type="http://schemas.openxmlformats.org/officeDocument/2006/relationships/hyperlink" Target="https://www.hrw.org/sites/default/files/report_pdf/srilanka0816web.pdf" TargetMode="External"/><Relationship Id="rId5" Type="http://schemas.openxmlformats.org/officeDocument/2006/relationships/hyperlink" Target="file:///C:/Users/User/Downloads/journal.pone.0260063.pdf" TargetMode="External"/><Relationship Id="rId10" Type="http://schemas.openxmlformats.org/officeDocument/2006/relationships/hyperlink" Target="https://www.sundaytimes.lk/220626/news/indo-lanka-lesbian-love-couple-held-487294.html" TargetMode="External"/><Relationship Id="rId4" Type="http://schemas.openxmlformats.org/officeDocument/2006/relationships/hyperlink" Target="https://nhchc.org/wp-content/uploads/2019/08/nhchc-health-disparities-lgbtq-women-homelessness.pdf" TargetMode="External"/><Relationship Id="rId9" Type="http://schemas.openxmlformats.org/officeDocument/2006/relationships/hyperlink" Target="https://www.newswire.lk/2022/08/02/wattala-court-dismisses-case-filed-against-a-lesbi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80BB-F15F-4D5B-856C-F796BA07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3704</Words>
  <Characters>20373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Burke</dc:creator>
  <cp:keywords/>
  <dc:description/>
  <cp:lastModifiedBy>Cuenta Microsoft</cp:lastModifiedBy>
  <cp:revision>11</cp:revision>
  <cp:lastPrinted>2022-10-20T13:40:00Z</cp:lastPrinted>
  <dcterms:created xsi:type="dcterms:W3CDTF">2022-10-14T10:42:00Z</dcterms:created>
  <dcterms:modified xsi:type="dcterms:W3CDTF">2022-10-20T13:41:00Z</dcterms:modified>
</cp:coreProperties>
</file>