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CD39" w14:textId="5BEF6681" w:rsidR="00C40D1A" w:rsidRDefault="00C40D1A" w:rsidP="00750FBD">
      <w:pPr>
        <w:rPr>
          <w:rFonts w:ascii="Calibri Light" w:hAnsi="Calibri Light" w:cs="Calibri Light"/>
        </w:rPr>
      </w:pPr>
    </w:p>
    <w:p w14:paraId="0A3C4A0B" w14:textId="77777777" w:rsidR="0038414E" w:rsidRDefault="0038414E" w:rsidP="00750FBD">
      <w:pPr>
        <w:rPr>
          <w:rFonts w:ascii="Calibri Light" w:hAnsi="Calibri Light" w:cs="Calibri Light"/>
        </w:rPr>
      </w:pPr>
    </w:p>
    <w:p w14:paraId="0F5BA8C3" w14:textId="4F397E08" w:rsidR="00082F29" w:rsidRPr="00750FBD" w:rsidRDefault="00493D0C" w:rsidP="00750FBD">
      <w:pPr>
        <w:rPr>
          <w:rFonts w:ascii="Calibri Light" w:hAnsi="Calibri Light" w:cs="Calibri Light"/>
        </w:rPr>
      </w:pPr>
      <w:r>
        <w:rPr>
          <w:rFonts w:ascii="Calibri Light" w:hAnsi="Calibri Light" w:cs="Calibri Light"/>
        </w:rPr>
        <w:t>3</w:t>
      </w:r>
      <w:r w:rsidR="00C76246">
        <w:rPr>
          <w:rFonts w:ascii="Calibri Light" w:hAnsi="Calibri Light" w:cs="Calibri Light"/>
        </w:rPr>
        <w:t>1 October</w:t>
      </w:r>
      <w:r w:rsidR="00F57B4B">
        <w:rPr>
          <w:rFonts w:ascii="Calibri Light" w:hAnsi="Calibri Light" w:cs="Calibri Light"/>
        </w:rPr>
        <w:t xml:space="preserve"> 2022</w:t>
      </w:r>
    </w:p>
    <w:p w14:paraId="4A660373" w14:textId="77777777" w:rsidR="00340CD5" w:rsidRPr="00750FBD" w:rsidRDefault="00340CD5" w:rsidP="00750FBD"/>
    <w:p w14:paraId="469F3EF9" w14:textId="76332982" w:rsidR="00340CD5" w:rsidRPr="008C5845" w:rsidRDefault="00122C16" w:rsidP="00E75BFB">
      <w:pPr>
        <w:pStyle w:val="Title"/>
        <w:ind w:left="0" w:firstLine="0"/>
        <w:jc w:val="center"/>
        <w:rPr>
          <w:sz w:val="40"/>
          <w:szCs w:val="40"/>
        </w:rPr>
      </w:pPr>
      <w:r w:rsidRPr="008C5845">
        <w:rPr>
          <w:sz w:val="40"/>
          <w:szCs w:val="40"/>
        </w:rPr>
        <w:t xml:space="preserve">Submission to </w:t>
      </w:r>
      <w:r w:rsidR="00C76246">
        <w:rPr>
          <w:sz w:val="40"/>
          <w:szCs w:val="40"/>
        </w:rPr>
        <w:t xml:space="preserve">the </w:t>
      </w:r>
      <w:r w:rsidR="00C76246" w:rsidRPr="00C76246">
        <w:rPr>
          <w:sz w:val="40"/>
          <w:szCs w:val="40"/>
        </w:rPr>
        <w:t>Working Group on discrimination</w:t>
      </w:r>
      <w:r w:rsidR="00E75BFB">
        <w:rPr>
          <w:sz w:val="40"/>
          <w:szCs w:val="40"/>
        </w:rPr>
        <w:t xml:space="preserve"> </w:t>
      </w:r>
      <w:r w:rsidR="00C76246" w:rsidRPr="00C76246">
        <w:rPr>
          <w:sz w:val="40"/>
          <w:szCs w:val="40"/>
        </w:rPr>
        <w:t xml:space="preserve">against women and girls </w:t>
      </w:r>
      <w:r w:rsidR="00C76246">
        <w:rPr>
          <w:sz w:val="40"/>
          <w:szCs w:val="40"/>
        </w:rPr>
        <w:t>on</w:t>
      </w:r>
      <w:r w:rsidR="00C76246" w:rsidRPr="00C76246">
        <w:rPr>
          <w:sz w:val="40"/>
          <w:szCs w:val="40"/>
        </w:rPr>
        <w:t xml:space="preserve"> </w:t>
      </w:r>
      <w:r w:rsidR="00E75BFB">
        <w:rPr>
          <w:sz w:val="40"/>
          <w:szCs w:val="40"/>
        </w:rPr>
        <w:t>h</w:t>
      </w:r>
      <w:r w:rsidR="00C76246" w:rsidRPr="00C76246">
        <w:rPr>
          <w:sz w:val="40"/>
          <w:szCs w:val="40"/>
        </w:rPr>
        <w:t xml:space="preserve">uman </w:t>
      </w:r>
      <w:r w:rsidR="00E75BFB">
        <w:rPr>
          <w:sz w:val="40"/>
          <w:szCs w:val="40"/>
        </w:rPr>
        <w:t>s</w:t>
      </w:r>
      <w:r w:rsidR="00C76246" w:rsidRPr="00C76246">
        <w:rPr>
          <w:sz w:val="40"/>
          <w:szCs w:val="40"/>
        </w:rPr>
        <w:t xml:space="preserve">ecurity of </w:t>
      </w:r>
      <w:r w:rsidR="00E75BFB" w:rsidRPr="00C76246">
        <w:rPr>
          <w:sz w:val="40"/>
          <w:szCs w:val="40"/>
        </w:rPr>
        <w:t>women and girls in the context of poverty and inequality</w:t>
      </w:r>
    </w:p>
    <w:p w14:paraId="663FBB62" w14:textId="77777777" w:rsidR="00082F29" w:rsidRDefault="00082F29" w:rsidP="00750FBD"/>
    <w:p w14:paraId="36049224" w14:textId="283582B0" w:rsidR="00750FBD" w:rsidRPr="0084337C" w:rsidRDefault="004A5EF8" w:rsidP="00B74C17">
      <w:pPr>
        <w:rPr>
          <w:b/>
          <w:bCs/>
        </w:rPr>
      </w:pPr>
      <w:r w:rsidRPr="0084337C">
        <w:rPr>
          <w:b/>
          <w:bCs/>
        </w:rPr>
        <w:t xml:space="preserve">Penal Reform International </w:t>
      </w:r>
      <w:r w:rsidR="00245A00">
        <w:rPr>
          <w:b/>
          <w:bCs/>
        </w:rPr>
        <w:t xml:space="preserve">(PRI) </w:t>
      </w:r>
      <w:r w:rsidRPr="0084337C">
        <w:rPr>
          <w:b/>
          <w:bCs/>
        </w:rPr>
        <w:t xml:space="preserve">welcomes the </w:t>
      </w:r>
      <w:r w:rsidR="00453A25">
        <w:rPr>
          <w:b/>
          <w:bCs/>
        </w:rPr>
        <w:t>opportunity</w:t>
      </w:r>
      <w:r w:rsidR="00047FE6">
        <w:rPr>
          <w:b/>
          <w:bCs/>
        </w:rPr>
        <w:t xml:space="preserve"> to provide information </w:t>
      </w:r>
      <w:r w:rsidR="00453A25">
        <w:rPr>
          <w:b/>
          <w:bCs/>
        </w:rPr>
        <w:t>to the Working Group for its upcoming report</w:t>
      </w:r>
      <w:r w:rsidR="00BD259F" w:rsidRPr="00BD259F">
        <w:t xml:space="preserve"> </w:t>
      </w:r>
      <w:r w:rsidR="00BD259F" w:rsidRPr="00BD259F">
        <w:rPr>
          <w:b/>
          <w:bCs/>
        </w:rPr>
        <w:t>“Human Security of Women and Girls in the Context of Poverty and Inequality”</w:t>
      </w:r>
      <w:r w:rsidR="0033249E">
        <w:rPr>
          <w:b/>
          <w:bCs/>
        </w:rPr>
        <w:t xml:space="preserve">. </w:t>
      </w:r>
      <w:r w:rsidR="00F10931">
        <w:rPr>
          <w:b/>
          <w:bCs/>
        </w:rPr>
        <w:t>Th</w:t>
      </w:r>
      <w:r w:rsidR="0018100C">
        <w:rPr>
          <w:b/>
          <w:bCs/>
        </w:rPr>
        <w:t>is</w:t>
      </w:r>
      <w:r w:rsidR="00F10931">
        <w:rPr>
          <w:b/>
          <w:bCs/>
        </w:rPr>
        <w:t xml:space="preserve"> submission is based on PRI’s work </w:t>
      </w:r>
      <w:r w:rsidR="00BF3E64" w:rsidRPr="00BF3E64">
        <w:rPr>
          <w:b/>
          <w:bCs/>
        </w:rPr>
        <w:t>to make criminal justice systems non-discriminatory and protect the rights of disadvantaged people</w:t>
      </w:r>
      <w:r w:rsidR="00BF3E64">
        <w:rPr>
          <w:b/>
          <w:bCs/>
        </w:rPr>
        <w:t>, including our</w:t>
      </w:r>
      <w:r w:rsidR="00BF3E64" w:rsidRPr="00BF3E64">
        <w:rPr>
          <w:b/>
          <w:bCs/>
        </w:rPr>
        <w:t xml:space="preserve"> practical human rights programmes</w:t>
      </w:r>
      <w:r w:rsidR="00BF3E64">
        <w:rPr>
          <w:b/>
          <w:bCs/>
        </w:rPr>
        <w:t xml:space="preserve"> in a number of regions</w:t>
      </w:r>
      <w:r w:rsidR="0098484F">
        <w:rPr>
          <w:b/>
          <w:bCs/>
        </w:rPr>
        <w:t xml:space="preserve"> and our work as a member of the global Campaign to Decriminalise Poverty and Status</w:t>
      </w:r>
      <w:r w:rsidR="00053A34">
        <w:rPr>
          <w:b/>
          <w:bCs/>
        </w:rPr>
        <w:t xml:space="preserve">. </w:t>
      </w:r>
    </w:p>
    <w:p w14:paraId="2AF8D152" w14:textId="6925AC3A" w:rsidR="0038414E" w:rsidRDefault="0038414E" w:rsidP="00753DF3"/>
    <w:p w14:paraId="654D1EE2" w14:textId="5ED33B7A" w:rsidR="00013CCE" w:rsidRDefault="00013CCE" w:rsidP="00753DF3"/>
    <w:p w14:paraId="689DA6BD" w14:textId="29EB3DF0" w:rsidR="003F5072" w:rsidRDefault="00A65E09" w:rsidP="00D27CD4">
      <w:pPr>
        <w:pStyle w:val="Heading1"/>
      </w:pPr>
      <w:r>
        <w:rPr>
          <w:sz w:val="28"/>
          <w:szCs w:val="28"/>
        </w:rPr>
        <w:t>Disproportionate criminalisation of women and girls living in poverty</w:t>
      </w:r>
    </w:p>
    <w:p w14:paraId="0A72979F" w14:textId="455BB7B8" w:rsidR="00502A34" w:rsidRDefault="00502A34" w:rsidP="00753DF3"/>
    <w:p w14:paraId="36BAD2C7" w14:textId="0367E8FA" w:rsidR="00014449" w:rsidRDefault="00B15F26" w:rsidP="00753DF3">
      <w:r>
        <w:t>Women represent a small but increasing proportion of people in prison worldwide</w:t>
      </w:r>
      <w:r w:rsidR="00366B11">
        <w:t>: there are over</w:t>
      </w:r>
      <w:r w:rsidR="006A438B">
        <w:t xml:space="preserve"> 740,000 women </w:t>
      </w:r>
      <w:r w:rsidR="00366B11">
        <w:t xml:space="preserve">and girls held in penal institutions throughout the world – </w:t>
      </w:r>
      <w:r w:rsidR="00321AFB">
        <w:t>making up</w:t>
      </w:r>
      <w:r w:rsidR="00F64DEB">
        <w:t xml:space="preserve"> 6.9% of the global prison population</w:t>
      </w:r>
      <w:r w:rsidR="00F91565">
        <w:t>. The number of women and girls in prison worldwide has increased by nearly 60% since 2000</w:t>
      </w:r>
      <w:r w:rsidR="00622CA8">
        <w:t>, compared to a</w:t>
      </w:r>
      <w:r w:rsidR="00F91565">
        <w:t xml:space="preserve"> 22%</w:t>
      </w:r>
      <w:r w:rsidR="00F070CC">
        <w:t xml:space="preserve"> </w:t>
      </w:r>
      <w:r w:rsidR="00622CA8">
        <w:t xml:space="preserve">increase </w:t>
      </w:r>
      <w:r w:rsidR="009940CC">
        <w:t xml:space="preserve">among men in prison </w:t>
      </w:r>
      <w:r w:rsidR="00F91565">
        <w:t xml:space="preserve">and general population growth </w:t>
      </w:r>
      <w:r w:rsidR="009940CC">
        <w:t>of</w:t>
      </w:r>
      <w:r w:rsidR="00F91565">
        <w:t xml:space="preserve"> around 30%</w:t>
      </w:r>
      <w:r w:rsidR="009940CC">
        <w:t xml:space="preserve"> over the same period</w:t>
      </w:r>
      <w:r w:rsidR="00F070CC">
        <w:t>.</w:t>
      </w:r>
      <w:r w:rsidR="009940CC">
        <w:rPr>
          <w:rStyle w:val="FootnoteReference"/>
        </w:rPr>
        <w:footnoteReference w:id="2"/>
      </w:r>
      <w:r w:rsidR="00F070CC">
        <w:t xml:space="preserve"> </w:t>
      </w:r>
      <w:r w:rsidR="00B77465">
        <w:t>Most women in prison globally are charged or convicted for non-violent offences, and their imprisonment is often also related to poverty and the inability to pay fines or to afford bail. Many women are serving short prison sentences, despite a wealth of evidence showing that any period of imprisonment is damaging and disruptive for women and their families, especially any children.</w:t>
      </w:r>
    </w:p>
    <w:p w14:paraId="6412680D" w14:textId="77777777" w:rsidR="00014449" w:rsidRDefault="00014449" w:rsidP="00753DF3"/>
    <w:p w14:paraId="177A387C" w14:textId="11FC8238" w:rsidR="00416C20" w:rsidRDefault="00863197" w:rsidP="00753DF3">
      <w:r>
        <w:t>L</w:t>
      </w:r>
      <w:r w:rsidR="00927EB2">
        <w:t>aws in m</w:t>
      </w:r>
      <w:r w:rsidR="00416C20">
        <w:t xml:space="preserve">any countries </w:t>
      </w:r>
      <w:r w:rsidR="002B1FBC">
        <w:t>criminalis</w:t>
      </w:r>
      <w:r w:rsidR="00EC7645">
        <w:t>e</w:t>
      </w:r>
      <w:r w:rsidR="002B1FBC">
        <w:t xml:space="preserve"> and lead</w:t>
      </w:r>
      <w:r w:rsidR="00416C20">
        <w:t xml:space="preserve"> to imprisonment for acts associated with poverty and survival with little connection to public safety</w:t>
      </w:r>
      <w:r w:rsidR="00EC7645">
        <w:t xml:space="preserve">, resulting in the poorest and most marginalised members of society </w:t>
      </w:r>
      <w:r w:rsidR="00793E3B">
        <w:t>being</w:t>
      </w:r>
      <w:r w:rsidR="00EC7645">
        <w:t xml:space="preserve"> consistently over-represented in prisons and criminal justice systems</w:t>
      </w:r>
      <w:r w:rsidR="00416C20">
        <w:t>.</w:t>
      </w:r>
      <w:r w:rsidR="002B1FBC">
        <w:t xml:space="preserve"> </w:t>
      </w:r>
      <w:r w:rsidR="00D16701">
        <w:t xml:space="preserve">These laws disproportionately affect people who experience discrimination and social exclusion because of their </w:t>
      </w:r>
      <w:r w:rsidR="00D4546E">
        <w:t xml:space="preserve">economic or social </w:t>
      </w:r>
      <w:r w:rsidR="00D16701">
        <w:t>status, including</w:t>
      </w:r>
      <w:r w:rsidR="00D4546E">
        <w:t xml:space="preserve"> women and girls living in poverty</w:t>
      </w:r>
      <w:r w:rsidR="000D2F36">
        <w:t>,</w:t>
      </w:r>
      <w:r w:rsidR="00D16701">
        <w:t xml:space="preserve"> </w:t>
      </w:r>
      <w:r w:rsidR="000D2F36">
        <w:t xml:space="preserve">those </w:t>
      </w:r>
      <w:r w:rsidR="00793E3B">
        <w:t xml:space="preserve">who use drugs, are </w:t>
      </w:r>
      <w:r w:rsidR="00D16701">
        <w:t xml:space="preserve">experiencing homelessness, informal traders, sex workers and </w:t>
      </w:r>
      <w:r w:rsidR="007F702D">
        <w:t xml:space="preserve">members of the </w:t>
      </w:r>
      <w:r w:rsidR="00D16701">
        <w:t xml:space="preserve">LGBTQ+ </w:t>
      </w:r>
      <w:r w:rsidR="007F702D">
        <w:t xml:space="preserve">community.  </w:t>
      </w:r>
    </w:p>
    <w:p w14:paraId="16F7AF46" w14:textId="18AAD0C8" w:rsidR="00B21960" w:rsidRDefault="00575687" w:rsidP="00575687">
      <w:r>
        <w:lastRenderedPageBreak/>
        <w:t>Drug‐related offences have a disproportionate impact on women. In 2018</w:t>
      </w:r>
      <w:r w:rsidR="00A50431">
        <w:t>,</w:t>
      </w:r>
      <w:r>
        <w:t xml:space="preserve"> </w:t>
      </w:r>
      <w:r w:rsidR="00576D6F">
        <w:t>UNODC</w:t>
      </w:r>
      <w:r>
        <w:t xml:space="preserve"> estimated that 35</w:t>
      </w:r>
      <w:r w:rsidR="00A50431">
        <w:t>%</w:t>
      </w:r>
      <w:r>
        <w:t xml:space="preserve"> of women in prison worldwide are imprisoned for drug offences, compared to 19</w:t>
      </w:r>
      <w:r w:rsidR="00A50431">
        <w:t>%</w:t>
      </w:r>
      <w:r>
        <w:t xml:space="preserve"> of men.</w:t>
      </w:r>
      <w:r w:rsidR="00576D6F">
        <w:rPr>
          <w:rStyle w:val="FootnoteReference"/>
        </w:rPr>
        <w:footnoteReference w:id="3"/>
      </w:r>
      <w:r>
        <w:t xml:space="preserve"> This proportion increases dramatically in Latin American</w:t>
      </w:r>
      <w:r w:rsidR="00A50431">
        <w:t xml:space="preserve"> </w:t>
      </w:r>
      <w:r>
        <w:t>and Asian countries</w:t>
      </w:r>
      <w:r w:rsidR="00CD6B1A">
        <w:t>, however</w:t>
      </w:r>
      <w:r>
        <w:t>. In Brazil, for example, 62</w:t>
      </w:r>
      <w:r w:rsidR="00CD6B1A">
        <w:t>%</w:t>
      </w:r>
      <w:r>
        <w:t xml:space="preserve"> of women in prison in 2017 were there because of</w:t>
      </w:r>
      <w:r w:rsidR="00A50431">
        <w:t xml:space="preserve"> </w:t>
      </w:r>
      <w:r>
        <w:t>drug‐related offences</w:t>
      </w:r>
      <w:r w:rsidR="00936E71">
        <w:t>,</w:t>
      </w:r>
      <w:r>
        <w:t xml:space="preserve"> compared to a quarter of men.</w:t>
      </w:r>
      <w:r w:rsidR="00CD6B1A">
        <w:rPr>
          <w:rStyle w:val="FootnoteReference"/>
        </w:rPr>
        <w:footnoteReference w:id="4"/>
      </w:r>
      <w:r w:rsidR="00642F26">
        <w:t xml:space="preserve"> The reasons for women’s involvement in illegal drug markets are complex and thread with violence, coercion</w:t>
      </w:r>
      <w:r w:rsidR="00936E71">
        <w:t>,</w:t>
      </w:r>
      <w:r w:rsidR="00642F26">
        <w:t xml:space="preserve"> and situations of vulnerability. In most cases, for all their lives these women have been excluded from the basic services, protection and support that is expected from the state.</w:t>
      </w:r>
      <w:r w:rsidR="00507A57">
        <w:rPr>
          <w:rStyle w:val="FootnoteReference"/>
        </w:rPr>
        <w:footnoteReference w:id="5"/>
      </w:r>
      <w:r w:rsidR="00642F26">
        <w:t xml:space="preserve"> These intersecting vulnerabilities are compounded when women are detained and tried in a foreign country.</w:t>
      </w:r>
      <w:r w:rsidR="00B21960">
        <w:t xml:space="preserve"> </w:t>
      </w:r>
      <w:r w:rsidR="005D3D6A">
        <w:t>Punitive drug laws that criminalise</w:t>
      </w:r>
      <w:r w:rsidR="00B21960">
        <w:t xml:space="preserve"> people who use drugs </w:t>
      </w:r>
      <w:r w:rsidR="005D3D6A">
        <w:t>are</w:t>
      </w:r>
      <w:r w:rsidR="00B21960">
        <w:t xml:space="preserve"> </w:t>
      </w:r>
      <w:r w:rsidR="003A10A1">
        <w:t xml:space="preserve">also </w:t>
      </w:r>
      <w:r w:rsidR="00B21960">
        <w:t>a major contributor</w:t>
      </w:r>
      <w:r w:rsidR="00401401">
        <w:t xml:space="preserve"> to the detention of women and girls for drug-related offences. </w:t>
      </w:r>
    </w:p>
    <w:p w14:paraId="24AC6E86" w14:textId="77777777" w:rsidR="00575687" w:rsidRDefault="00575687" w:rsidP="00575687"/>
    <w:p w14:paraId="31DA27C5" w14:textId="46912DAE" w:rsidR="0044543F" w:rsidRDefault="006B64CF" w:rsidP="00DB4EEA">
      <w:r>
        <w:t>May countries also criminalise and imprison</w:t>
      </w:r>
      <w:r w:rsidR="0044543F">
        <w:t xml:space="preserve"> women </w:t>
      </w:r>
      <w:r w:rsidR="000D6956">
        <w:t xml:space="preserve">and girls </w:t>
      </w:r>
      <w:r w:rsidR="0044543F">
        <w:t>for ‘status offences’ which only or disproportionately apply to women</w:t>
      </w:r>
      <w:r>
        <w:t xml:space="preserve">, such as </w:t>
      </w:r>
      <w:r w:rsidR="00097A06">
        <w:t>abortion, adultery</w:t>
      </w:r>
      <w:r w:rsidR="00BF5B40">
        <w:t>,</w:t>
      </w:r>
      <w:r w:rsidR="00097A06">
        <w:t xml:space="preserve"> prostitution</w:t>
      </w:r>
      <w:r w:rsidR="00BF5B40">
        <w:t>, and witchcraft</w:t>
      </w:r>
      <w:r w:rsidR="000D6956">
        <w:t>.</w:t>
      </w:r>
      <w:r w:rsidR="00ED3E35">
        <w:rPr>
          <w:rStyle w:val="FootnoteReference"/>
        </w:rPr>
        <w:footnoteReference w:id="6"/>
      </w:r>
      <w:r w:rsidR="0044543F">
        <w:t xml:space="preserve"> </w:t>
      </w:r>
      <w:r w:rsidR="00DB4EEA">
        <w:t xml:space="preserve">For example, a law passed in Guatemala in March 2022 punishes abortion with up to 25 years in prison. </w:t>
      </w:r>
      <w:r>
        <w:t>T</w:t>
      </w:r>
      <w:r w:rsidR="0044543F">
        <w:t>he UN Working Group on Arbitrary Detention</w:t>
      </w:r>
      <w:r w:rsidR="006464AC">
        <w:t xml:space="preserve"> recently</w:t>
      </w:r>
      <w:r w:rsidR="0044543F">
        <w:t xml:space="preserve"> specifically recommended urgent reform of </w:t>
      </w:r>
      <w:r w:rsidR="006464AC">
        <w:t xml:space="preserve">such </w:t>
      </w:r>
      <w:r w:rsidR="0044543F">
        <w:t>laws</w:t>
      </w:r>
      <w:r w:rsidR="00E70FD6">
        <w:rPr>
          <w:rStyle w:val="FootnoteReference"/>
        </w:rPr>
        <w:footnoteReference w:id="7"/>
      </w:r>
      <w:r w:rsidR="0044543F">
        <w:t xml:space="preserve"> </w:t>
      </w:r>
      <w:r w:rsidR="00720F6F">
        <w:t>and t</w:t>
      </w:r>
      <w:r w:rsidR="0044543F">
        <w:t>he Inter</w:t>
      </w:r>
      <w:r w:rsidR="00E70FD6">
        <w:t>-</w:t>
      </w:r>
      <w:r w:rsidR="0044543F">
        <w:t>American Court of Human Rights</w:t>
      </w:r>
      <w:r w:rsidR="00720F6F">
        <w:t xml:space="preserve">, in a case </w:t>
      </w:r>
      <w:r w:rsidR="002142B1">
        <w:t>involving</w:t>
      </w:r>
      <w:r w:rsidR="00720F6F">
        <w:t xml:space="preserve"> El Salvador </w:t>
      </w:r>
      <w:r w:rsidR="002142B1">
        <w:t xml:space="preserve">in 2021, </w:t>
      </w:r>
      <w:r w:rsidR="0044543F">
        <w:t>established for the first time that healthcare staff can no longer refer women to law enforcement who come to the hospital seeking reproductive healthcare, including abortion.</w:t>
      </w:r>
      <w:r w:rsidR="00A022ED">
        <w:rPr>
          <w:rStyle w:val="FootnoteReference"/>
        </w:rPr>
        <w:footnoteReference w:id="8"/>
      </w:r>
    </w:p>
    <w:p w14:paraId="597582CF" w14:textId="0C282AA6" w:rsidR="00921544" w:rsidRDefault="00921544" w:rsidP="00753DF3"/>
    <w:p w14:paraId="21FD6F2A" w14:textId="6DB0ED30" w:rsidR="003F1921" w:rsidRDefault="00C443C2" w:rsidP="00753DF3">
      <w:r>
        <w:t xml:space="preserve">Ethnic minority and indigenous women are disproportionately </w:t>
      </w:r>
      <w:r w:rsidR="00CC3BD2">
        <w:t>represented in prisons and criminal justice systems</w:t>
      </w:r>
      <w:r>
        <w:t xml:space="preserve"> in many countries. Indigenous women make up 60% of female prison populations in New Zealand and 48% in Canada</w:t>
      </w:r>
      <w:r w:rsidR="000463FE">
        <w:t>.</w:t>
      </w:r>
      <w:r>
        <w:t xml:space="preserve"> </w:t>
      </w:r>
      <w:r w:rsidR="00140833" w:rsidRPr="006B3A9D">
        <w:t>In the US, African American women were imprisoned at nearly twice the rate of white women in 202</w:t>
      </w:r>
      <w:r w:rsidR="00EA0581">
        <w:t>0 (</w:t>
      </w:r>
      <w:r w:rsidR="00140833" w:rsidRPr="006B3A9D">
        <w:t>a sharp decline from 2000 when Black women were six times as likely to be imprisoned</w:t>
      </w:r>
      <w:r w:rsidR="00EA0581">
        <w:t>);</w:t>
      </w:r>
      <w:r w:rsidR="00140833" w:rsidRPr="006B3A9D">
        <w:t xml:space="preserve"> </w:t>
      </w:r>
      <w:r w:rsidR="00EA0581" w:rsidRPr="006B3A9D">
        <w:t xml:space="preserve">African American girls are </w:t>
      </w:r>
      <w:r w:rsidR="00EA0581">
        <w:t xml:space="preserve">also </w:t>
      </w:r>
      <w:r w:rsidR="00EA0581" w:rsidRPr="006B3A9D">
        <w:t>more than three times as likely</w:t>
      </w:r>
      <w:r w:rsidR="00EA0581">
        <w:t xml:space="preserve">, and </w:t>
      </w:r>
      <w:r w:rsidR="00FB4801" w:rsidRPr="006B3A9D">
        <w:t>Tribal girls are more than four times as likely</w:t>
      </w:r>
      <w:r w:rsidR="00EA0581">
        <w:t xml:space="preserve"> </w:t>
      </w:r>
      <w:r w:rsidR="00FB4801" w:rsidRPr="006B3A9D">
        <w:t>as white girls to be incarcerated.</w:t>
      </w:r>
      <w:r w:rsidR="00EA0581">
        <w:rPr>
          <w:rStyle w:val="FootnoteReference"/>
        </w:rPr>
        <w:footnoteReference w:id="9"/>
      </w:r>
      <w:r w:rsidR="00FB4801" w:rsidRPr="006B3A9D">
        <w:t xml:space="preserve"> </w:t>
      </w:r>
      <w:r w:rsidR="009A03B5" w:rsidRPr="006B3A9D">
        <w:t>In Ireland,</w:t>
      </w:r>
      <w:r w:rsidR="009A03B5">
        <w:t xml:space="preserve"> Traveller women are 18-22 times more likely to be imprisoned </w:t>
      </w:r>
      <w:r w:rsidR="00630776">
        <w:t xml:space="preserve">compared </w:t>
      </w:r>
      <w:r w:rsidR="009A03B5">
        <w:t>to their settled-majority counterparts</w:t>
      </w:r>
      <w:r w:rsidR="00630776">
        <w:t xml:space="preserve"> (while </w:t>
      </w:r>
      <w:r w:rsidR="009A03B5">
        <w:t>Traveller males are 5-11 times more likely</w:t>
      </w:r>
      <w:r w:rsidR="00630776">
        <w:t>).</w:t>
      </w:r>
      <w:r w:rsidR="003F1921">
        <w:rPr>
          <w:rStyle w:val="FootnoteReference"/>
        </w:rPr>
        <w:footnoteReference w:id="10"/>
      </w:r>
    </w:p>
    <w:p w14:paraId="5527A467" w14:textId="77777777" w:rsidR="00B15F26" w:rsidRDefault="00B15F26" w:rsidP="00753DF3"/>
    <w:p w14:paraId="429A79B2" w14:textId="7B29B417" w:rsidR="00C37367" w:rsidRPr="00921544" w:rsidRDefault="00C66AF5" w:rsidP="00921544">
      <w:pPr>
        <w:pStyle w:val="Heading1"/>
        <w:rPr>
          <w:sz w:val="28"/>
          <w:szCs w:val="28"/>
        </w:rPr>
      </w:pPr>
      <w:r w:rsidRPr="00921544">
        <w:rPr>
          <w:sz w:val="28"/>
          <w:szCs w:val="28"/>
        </w:rPr>
        <w:t>Human security of women and girls in detention</w:t>
      </w:r>
    </w:p>
    <w:p w14:paraId="09EECDB8" w14:textId="146D965C" w:rsidR="00C66AF5" w:rsidRDefault="00C66AF5" w:rsidP="007E06E4"/>
    <w:p w14:paraId="63281CB3" w14:textId="1D23F5A0" w:rsidR="00AC6F11" w:rsidRDefault="00F15457" w:rsidP="007E06E4">
      <w:r>
        <w:t>W</w:t>
      </w:r>
      <w:r w:rsidR="00315F69">
        <w:t xml:space="preserve">omen and girls in detention often do not have access to healthcare and other services that are </w:t>
      </w:r>
      <w:r w:rsidR="00D326FD" w:rsidRPr="00D326FD">
        <w:t>gender-sensitive and respond to their specific needs and challenges, including the high proportion of women in conflict with the law who have experienced violence, trauma</w:t>
      </w:r>
      <w:r w:rsidR="00E55998">
        <w:t>,</w:t>
      </w:r>
      <w:r w:rsidR="00D326FD" w:rsidRPr="00D326FD">
        <w:t xml:space="preserve"> or abuse</w:t>
      </w:r>
      <w:r w:rsidR="00A46E44" w:rsidRPr="00D326FD">
        <w:t xml:space="preserve">. In Uganda, </w:t>
      </w:r>
      <w:r w:rsidR="00D326FD">
        <w:lastRenderedPageBreak/>
        <w:t xml:space="preserve">for example, </w:t>
      </w:r>
      <w:r w:rsidR="00A46E44" w:rsidRPr="00D326FD">
        <w:t>PRI found that 19% of women convicted for murder and manslaughter had killed</w:t>
      </w:r>
      <w:r w:rsidR="00A46E44">
        <w:t xml:space="preserve"> a male partner or family member</w:t>
      </w:r>
      <w:r w:rsidR="00D91912">
        <w:t xml:space="preserve"> in a context</w:t>
      </w:r>
      <w:r w:rsidR="00A46E44">
        <w:t xml:space="preserve"> of domestic violence</w:t>
      </w:r>
      <w:r w:rsidR="006D54EA">
        <w:t>. Y</w:t>
      </w:r>
      <w:r w:rsidR="00D91912">
        <w:t>et</w:t>
      </w:r>
      <w:r w:rsidR="00A46E44">
        <w:t xml:space="preserve">, these women </w:t>
      </w:r>
      <w:r w:rsidR="00481049">
        <w:t>have</w:t>
      </w:r>
      <w:r w:rsidR="00A46E44">
        <w:t xml:space="preserve"> limited access to psychosocial services due to an absence of qualified health practitioners in women’s prisons.</w:t>
      </w:r>
      <w:r w:rsidR="00DC3CC6">
        <w:rPr>
          <w:rStyle w:val="FootnoteReference"/>
        </w:rPr>
        <w:footnoteReference w:id="11"/>
      </w:r>
      <w:r w:rsidR="00057FFA">
        <w:t xml:space="preserve"> </w:t>
      </w:r>
      <w:r w:rsidR="00057FFA" w:rsidRPr="00057FFA">
        <w:t xml:space="preserve">Research shows that </w:t>
      </w:r>
      <w:r w:rsidR="00057FFA">
        <w:t>criminal justice systems</w:t>
      </w:r>
      <w:r w:rsidR="00057FFA" w:rsidRPr="00057FFA">
        <w:t xml:space="preserve"> do not take into account the complexities of intimate partner violence in law or practice in cases where women have fatally attacked their abuser</w:t>
      </w:r>
      <w:r w:rsidR="00096569">
        <w:t>.</w:t>
      </w:r>
      <w:r w:rsidR="00B03F2F">
        <w:rPr>
          <w:rStyle w:val="FootnoteReference"/>
        </w:rPr>
        <w:footnoteReference w:id="12"/>
      </w:r>
    </w:p>
    <w:p w14:paraId="2D474AF9" w14:textId="2313FA3E" w:rsidR="005F79E1" w:rsidRDefault="005F79E1" w:rsidP="007E06E4"/>
    <w:p w14:paraId="1E071702" w14:textId="1B59003D" w:rsidR="003A58A0" w:rsidRPr="005E511C" w:rsidRDefault="00945803" w:rsidP="007E06E4">
      <w:r w:rsidRPr="005E511C">
        <w:t>It is well evidenced that i</w:t>
      </w:r>
      <w:r w:rsidR="003A58A0" w:rsidRPr="005E511C">
        <w:t xml:space="preserve">n prison, sexual gender-based violence is often a reality for women particularly when they are held in a ‘wing’ of a male facility and </w:t>
      </w:r>
      <w:r w:rsidR="001354D9">
        <w:t>have</w:t>
      </w:r>
      <w:r w:rsidR="003A58A0" w:rsidRPr="005E511C">
        <w:t xml:space="preserve"> to use </w:t>
      </w:r>
      <w:r w:rsidR="001354D9">
        <w:t>common</w:t>
      </w:r>
      <w:r w:rsidR="003A58A0" w:rsidRPr="005E511C">
        <w:t xml:space="preserve"> areas</w:t>
      </w:r>
      <w:r w:rsidR="00E640D0">
        <w:t xml:space="preserve"> (such as outdoor areas or to access water)</w:t>
      </w:r>
      <w:r w:rsidR="00D348C0" w:rsidRPr="005E511C">
        <w:t xml:space="preserve"> or are supervised by male staff</w:t>
      </w:r>
      <w:r w:rsidR="00104EB7">
        <w:t xml:space="preserve"> (</w:t>
      </w:r>
      <w:r w:rsidR="00D918C0">
        <w:t>including having to dress in cells in view or being watched by male guards)</w:t>
      </w:r>
      <w:r w:rsidR="00D348C0" w:rsidRPr="005E511C">
        <w:t xml:space="preserve">. Body searches, medical examinations, or even going to the toilet or showering are </w:t>
      </w:r>
      <w:r w:rsidRPr="005E511C">
        <w:t>known to be high risk</w:t>
      </w:r>
      <w:r w:rsidR="00D348C0" w:rsidRPr="005E511C">
        <w:t xml:space="preserve"> </w:t>
      </w:r>
      <w:r w:rsidRPr="005E511C">
        <w:t xml:space="preserve">situations for women in detention. There are even reported cases of women being used as prostitutes by prison </w:t>
      </w:r>
      <w:r w:rsidR="005E511C" w:rsidRPr="005E511C">
        <w:t>guards</w:t>
      </w:r>
      <w:r w:rsidRPr="005E511C">
        <w:t xml:space="preserve">, </w:t>
      </w:r>
      <w:r w:rsidR="005E511C" w:rsidRPr="005E511C">
        <w:t xml:space="preserve">either inside the facility or </w:t>
      </w:r>
      <w:r w:rsidRPr="005E511C">
        <w:t>taken out of the facilities at night and forced to work.</w:t>
      </w:r>
      <w:r w:rsidR="007C2374" w:rsidRPr="005E511C">
        <w:rPr>
          <w:rStyle w:val="FootnoteReference"/>
        </w:rPr>
        <w:footnoteReference w:id="13"/>
      </w:r>
      <w:r w:rsidRPr="005E511C">
        <w:t xml:space="preserve"> </w:t>
      </w:r>
    </w:p>
    <w:p w14:paraId="5598E8B7" w14:textId="77777777" w:rsidR="003A58A0" w:rsidRDefault="003A58A0" w:rsidP="007E06E4"/>
    <w:p w14:paraId="09B14BB9" w14:textId="39A968FB" w:rsidR="002D74DD" w:rsidRDefault="00A94DBC" w:rsidP="005F79E1">
      <w:r>
        <w:t>M</w:t>
      </w:r>
      <w:r w:rsidR="00C14D7C">
        <w:t>any countries still permit the imprisonment of pregnant woman</w:t>
      </w:r>
      <w:r w:rsidR="005F79E1">
        <w:t xml:space="preserve">, </w:t>
      </w:r>
      <w:r>
        <w:t xml:space="preserve">with laws remaining silent on the issue, </w:t>
      </w:r>
      <w:r w:rsidR="005F79E1">
        <w:t>despite the UN Rules for the Treatment of Women Prisoners and Non-custodial Measures for Women Offenders (the Bangkok Rules) encouraging non-custodial sanctions for pregnant women.</w:t>
      </w:r>
      <w:r w:rsidR="0032123E">
        <w:t xml:space="preserve"> In recent years, there have been reports of women giving birth alone in prison cells, including in the US and Australia. In Sierra Leone, the death of a 17-month-old baby in a police cell with her detained mother in December 2021 led to </w:t>
      </w:r>
      <w:r w:rsidR="005F53BC">
        <w:t>calls for</w:t>
      </w:r>
      <w:r w:rsidR="0032123E">
        <w:t xml:space="preserve"> urgent review </w:t>
      </w:r>
      <w:r w:rsidR="005F53BC">
        <w:t xml:space="preserve">of </w:t>
      </w:r>
      <w:r w:rsidR="0032123E">
        <w:t xml:space="preserve">all cases of pregnant women and women with young children detained in police stations and correctional facilities </w:t>
      </w:r>
      <w:r w:rsidR="005C27BE">
        <w:t>in</w:t>
      </w:r>
      <w:r w:rsidR="0032123E">
        <w:t xml:space="preserve"> the country.</w:t>
      </w:r>
      <w:r w:rsidR="005F53BC">
        <w:rPr>
          <w:rStyle w:val="FootnoteReference"/>
        </w:rPr>
        <w:footnoteReference w:id="14"/>
      </w:r>
      <w:r w:rsidR="0032123E">
        <w:t xml:space="preserve"> In England, the death of a baby after an 18-year-old gave birth alone in her prison cell, and another incident where a woman who did not know she was pregnant gave birth to a still-born baby in a prison toilet, triggered investigations by the Prisons and Probation Ombudsman which identified key failings in healthcare provided to the women.</w:t>
      </w:r>
      <w:r w:rsidR="00613A0E">
        <w:rPr>
          <w:rStyle w:val="FootnoteReference"/>
        </w:rPr>
        <w:footnoteReference w:id="15"/>
      </w:r>
    </w:p>
    <w:p w14:paraId="7114ABDA" w14:textId="77777777" w:rsidR="002D74DD" w:rsidRDefault="002D74DD" w:rsidP="005F79E1"/>
    <w:p w14:paraId="5073D073" w14:textId="1BA1928E" w:rsidR="005F79E1" w:rsidRDefault="0032123E" w:rsidP="007E06E4">
      <w:r>
        <w:t>Despite international standards that prohibit the use of shackles or other restraints during transfers to hospitals, gynaecological examinations and birth,</w:t>
      </w:r>
      <w:r w:rsidR="00C25924">
        <w:rPr>
          <w:rStyle w:val="FootnoteReference"/>
        </w:rPr>
        <w:footnoteReference w:id="16"/>
      </w:r>
      <w:r>
        <w:t xml:space="preserve"> the practice persists in some limited places. In the US, at least 13 states fail to prohibit the shackling of detained pregnant women despite a prohibition in federal prisons. In Canada, where there is no specific legislation or policy in place to prohibit these practices, several women have reported being placed in solitary confinement or restraints like handcuffs and shackles while pregnant in prison.</w:t>
      </w:r>
      <w:r w:rsidR="00C25924">
        <w:rPr>
          <w:rStyle w:val="FootnoteReference"/>
        </w:rPr>
        <w:footnoteReference w:id="17"/>
      </w:r>
    </w:p>
    <w:p w14:paraId="39B39284" w14:textId="77777777" w:rsidR="00AC6F11" w:rsidRDefault="00AC6F11" w:rsidP="007E06E4"/>
    <w:p w14:paraId="4B2E0D1B" w14:textId="629F5D42" w:rsidR="00C66AF5" w:rsidRDefault="00C66AF5" w:rsidP="007E06E4">
      <w:r>
        <w:t xml:space="preserve">Ethnic minorities and indigenous </w:t>
      </w:r>
      <w:r w:rsidR="00EF0D52">
        <w:t>women</w:t>
      </w:r>
      <w:r>
        <w:t xml:space="preserve"> commonly face harsher treatment in prison compared to their white peers. A recent report detailed how Māori and Pacific women in New Zealand were </w:t>
      </w:r>
      <w:r>
        <w:lastRenderedPageBreak/>
        <w:t>disproportionately segregated in units used for control and punishment. In one women’s prison, up to 78% of segregations were of Māori women</w:t>
      </w:r>
      <w:r w:rsidR="00EF0D52">
        <w:t>, and</w:t>
      </w:r>
      <w:r>
        <w:t xml:space="preserve"> 93% of segregations lasting 15 days or longer (a period defined as ‘prolonged’ and prohibited by the UN Nelson Mandela Rules as a form of torture or cruel, inhuman or degrading treatment or punishment) were of Māori or Pacific descent.</w:t>
      </w:r>
      <w:r w:rsidR="00C77D44">
        <w:rPr>
          <w:rStyle w:val="FootnoteReference"/>
        </w:rPr>
        <w:footnoteReference w:id="18"/>
      </w:r>
    </w:p>
    <w:p w14:paraId="16C9882B" w14:textId="4C798F45" w:rsidR="00301E84" w:rsidRDefault="00301E84" w:rsidP="007E06E4"/>
    <w:p w14:paraId="6E7A2600" w14:textId="7AFF0FF0" w:rsidR="00301E84" w:rsidRPr="00D86F04" w:rsidRDefault="00301E84" w:rsidP="00D86F04">
      <w:pPr>
        <w:pStyle w:val="Heading1"/>
        <w:rPr>
          <w:sz w:val="28"/>
          <w:szCs w:val="28"/>
        </w:rPr>
      </w:pPr>
      <w:r w:rsidRPr="00D86F04">
        <w:rPr>
          <w:sz w:val="28"/>
          <w:szCs w:val="28"/>
        </w:rPr>
        <w:t>Recommendations to improve</w:t>
      </w:r>
      <w:r w:rsidR="00D86F04" w:rsidRPr="00D86F04">
        <w:rPr>
          <w:sz w:val="28"/>
          <w:szCs w:val="28"/>
        </w:rPr>
        <w:t xml:space="preserve"> the human security of</w:t>
      </w:r>
      <w:r w:rsidRPr="00D86F04">
        <w:rPr>
          <w:sz w:val="28"/>
          <w:szCs w:val="28"/>
        </w:rPr>
        <w:t xml:space="preserve"> women</w:t>
      </w:r>
      <w:r w:rsidR="00D86F04" w:rsidRPr="00D86F04">
        <w:rPr>
          <w:sz w:val="28"/>
          <w:szCs w:val="28"/>
        </w:rPr>
        <w:t xml:space="preserve"> and girls </w:t>
      </w:r>
    </w:p>
    <w:p w14:paraId="261360A7" w14:textId="506FA0E3" w:rsidR="00D86F04" w:rsidRDefault="00D86F04" w:rsidP="007E06E4"/>
    <w:p w14:paraId="657C0379" w14:textId="5B63655B" w:rsidR="00D86F04" w:rsidRDefault="004E4A0B" w:rsidP="00E83C50">
      <w:pPr>
        <w:pStyle w:val="ListParagraph"/>
        <w:numPr>
          <w:ilvl w:val="0"/>
          <w:numId w:val="6"/>
        </w:numPr>
      </w:pPr>
      <w:r>
        <w:t xml:space="preserve">Full implementation of the </w:t>
      </w:r>
      <w:r w:rsidR="009E5E41">
        <w:t xml:space="preserve">UN Rules for the Treatment of Women Prisoners and Non-custodial Measures for Women Offenders (the Bangkok Rules), including </w:t>
      </w:r>
      <w:r w:rsidR="007A6CC1" w:rsidRPr="007A6CC1">
        <w:t>reduc</w:t>
      </w:r>
      <w:r w:rsidR="00E51EF5">
        <w:t>ed</w:t>
      </w:r>
      <w:r w:rsidR="007A6CC1" w:rsidRPr="007A6CC1">
        <w:t xml:space="preserve"> use of imprisonment </w:t>
      </w:r>
      <w:r w:rsidR="00E51EF5">
        <w:t>in favour of</w:t>
      </w:r>
      <w:r w:rsidR="007A6CC1" w:rsidRPr="007A6CC1">
        <w:t xml:space="preserve"> </w:t>
      </w:r>
      <w:r w:rsidR="00E51EF5">
        <w:t xml:space="preserve">improved </w:t>
      </w:r>
      <w:r w:rsidR="007A6CC1" w:rsidRPr="007A6CC1">
        <w:t>non-custodial measures for women</w:t>
      </w:r>
      <w:r w:rsidR="005C072D">
        <w:t>, and the provision of gender-responsive healthcare, harm reduction services</w:t>
      </w:r>
      <w:r w:rsidR="00A57999">
        <w:t>, and rehabilitation.</w:t>
      </w:r>
      <w:r w:rsidR="005D50A3">
        <w:rPr>
          <w:rStyle w:val="FootnoteReference"/>
        </w:rPr>
        <w:footnoteReference w:id="19"/>
      </w:r>
      <w:r w:rsidR="00A57999">
        <w:t xml:space="preserve"> </w:t>
      </w:r>
    </w:p>
    <w:p w14:paraId="0F3438EA" w14:textId="736CB698" w:rsidR="00B85276" w:rsidRDefault="00234684" w:rsidP="00E83C50">
      <w:pPr>
        <w:pStyle w:val="ListParagraph"/>
        <w:numPr>
          <w:ilvl w:val="0"/>
          <w:numId w:val="6"/>
        </w:numPr>
      </w:pPr>
      <w:r>
        <w:t xml:space="preserve">Repeal or reform laws that </w:t>
      </w:r>
      <w:r w:rsidR="00042B5E">
        <w:t>criminalise acts associated with poverty and life-sustaining activities</w:t>
      </w:r>
      <w:r w:rsidR="00C519D4">
        <w:t xml:space="preserve">, status offences, </w:t>
      </w:r>
      <w:r>
        <w:t xml:space="preserve">and other offences </w:t>
      </w:r>
      <w:r w:rsidRPr="00234684">
        <w:t xml:space="preserve">that </w:t>
      </w:r>
      <w:r w:rsidR="009E274C">
        <w:t>disproportionately impact</w:t>
      </w:r>
      <w:r w:rsidRPr="00234684">
        <w:t xml:space="preserve"> poor and </w:t>
      </w:r>
      <w:r w:rsidR="009E274C">
        <w:t>marginalised</w:t>
      </w:r>
      <w:r w:rsidRPr="00234684">
        <w:t xml:space="preserve"> populations</w:t>
      </w:r>
      <w:r w:rsidR="008947D4">
        <w:t>, including women and girls living in poverty</w:t>
      </w:r>
      <w:r w:rsidR="009E274C">
        <w:t xml:space="preserve">. </w:t>
      </w:r>
    </w:p>
    <w:p w14:paraId="171D4096" w14:textId="552280B5" w:rsidR="00B655BD" w:rsidRDefault="00B655BD" w:rsidP="00E83C50">
      <w:pPr>
        <w:pStyle w:val="ListParagraph"/>
        <w:numPr>
          <w:ilvl w:val="0"/>
          <w:numId w:val="6"/>
        </w:numPr>
      </w:pPr>
      <w:r>
        <w:t xml:space="preserve">Reform drug laws and policies to ensure they are gender-sensitive </w:t>
      </w:r>
      <w:r w:rsidR="008D27D1">
        <w:t>and respond to the particular backgrounds and needs of women and girls</w:t>
      </w:r>
      <w:r w:rsidR="008947D4">
        <w:t>.</w:t>
      </w:r>
      <w:r w:rsidR="00EC3844">
        <w:rPr>
          <w:rStyle w:val="FootnoteReference"/>
        </w:rPr>
        <w:footnoteReference w:id="20"/>
      </w:r>
      <w:r w:rsidR="008947D4">
        <w:t xml:space="preserve"> </w:t>
      </w:r>
    </w:p>
    <w:p w14:paraId="26513C78" w14:textId="77777777" w:rsidR="00F8254C" w:rsidRDefault="00F8254C" w:rsidP="00F8254C"/>
    <w:p w14:paraId="52926E95" w14:textId="77777777" w:rsidR="00D27CD4" w:rsidRDefault="00D27CD4" w:rsidP="007E06E4"/>
    <w:p w14:paraId="603261F1" w14:textId="6798995D" w:rsidR="00D27CD4" w:rsidRPr="00D27CD4" w:rsidRDefault="001C291D" w:rsidP="00D27CD4">
      <w:pPr>
        <w:pStyle w:val="Heading1"/>
        <w:rPr>
          <w:sz w:val="28"/>
          <w:szCs w:val="28"/>
        </w:rPr>
      </w:pPr>
      <w:r>
        <w:rPr>
          <w:sz w:val="28"/>
          <w:szCs w:val="28"/>
        </w:rPr>
        <w:t>Promising practices for women’s r</w:t>
      </w:r>
      <w:r w:rsidR="00D27CD4" w:rsidRPr="00D27CD4">
        <w:rPr>
          <w:sz w:val="28"/>
          <w:szCs w:val="28"/>
        </w:rPr>
        <w:t xml:space="preserve">ehabilitation and reintegration </w:t>
      </w:r>
    </w:p>
    <w:p w14:paraId="01AAEE1F" w14:textId="77777777" w:rsidR="00D54CB8" w:rsidRDefault="00D54CB8" w:rsidP="007E06E4"/>
    <w:p w14:paraId="55CAE0C9" w14:textId="77777777" w:rsidR="009B0BB1" w:rsidRDefault="00B15F26" w:rsidP="00C226DB">
      <w:r>
        <w:t>As a minority in prison</w:t>
      </w:r>
      <w:r w:rsidR="002A1FB7">
        <w:t xml:space="preserve"> populations, w</w:t>
      </w:r>
      <w:r w:rsidR="00492C02">
        <w:t>omen</w:t>
      </w:r>
      <w:r w:rsidR="007E06E4">
        <w:t xml:space="preserve"> face</w:t>
      </w:r>
      <w:r w:rsidR="001A60FB">
        <w:t xml:space="preserve"> </w:t>
      </w:r>
      <w:r w:rsidR="007E06E4">
        <w:t>specific barriers in accessing programmes and services in prisons</w:t>
      </w:r>
      <w:r w:rsidR="00EF2DA7">
        <w:t xml:space="preserve">, with </w:t>
      </w:r>
      <w:r w:rsidR="007E06E4">
        <w:t>limited</w:t>
      </w:r>
      <w:r w:rsidR="001A60FB">
        <w:t xml:space="preserve"> </w:t>
      </w:r>
      <w:r w:rsidR="007E06E4">
        <w:t>rehabilitation opportunities available to them. Programmes that do exist are often heavily gendered</w:t>
      </w:r>
      <w:r w:rsidR="001A60FB">
        <w:t xml:space="preserve"> </w:t>
      </w:r>
      <w:r w:rsidR="007E06E4">
        <w:t xml:space="preserve">and do not cater for their particular backgrounds </w:t>
      </w:r>
      <w:r w:rsidR="00751169">
        <w:t>or</w:t>
      </w:r>
      <w:r w:rsidR="007E06E4">
        <w:t xml:space="preserve"> needs</w:t>
      </w:r>
      <w:r w:rsidR="00603865">
        <w:t xml:space="preserve">, especially for women with multiple or overlapping needs such as girls, pregnant women, women with children in prison, foreign nationals, ethnic </w:t>
      </w:r>
      <w:r w:rsidR="000B16FD">
        <w:t>or</w:t>
      </w:r>
      <w:r w:rsidR="00603865">
        <w:t xml:space="preserve"> racial minority and indigenous women, women with physical disabilities or mental healthcare needs, members of the LBGTQ+ community, and older women</w:t>
      </w:r>
      <w:r w:rsidR="007E06E4">
        <w:t xml:space="preserve">. </w:t>
      </w:r>
    </w:p>
    <w:p w14:paraId="2123A07D" w14:textId="77777777" w:rsidR="009B0BB1" w:rsidRDefault="009B0BB1" w:rsidP="00C226DB"/>
    <w:p w14:paraId="6F5173A6" w14:textId="631E6C0A" w:rsidR="002840A7" w:rsidRDefault="00F84BC5" w:rsidP="00C226DB">
      <w:r>
        <w:t>In line with the United Nations Rules for the Treatment of Women Prisoners and Non-custodial Measures for Women Offenders (the Bangkok Rules), f</w:t>
      </w:r>
      <w:r w:rsidR="00F11AE7">
        <w:t>or</w:t>
      </w:r>
      <w:r w:rsidR="00DE6C95">
        <w:t xml:space="preserve"> </w:t>
      </w:r>
      <w:r w:rsidR="007E06E4">
        <w:t>the vast majority of</w:t>
      </w:r>
      <w:r w:rsidR="00DE6C95">
        <w:t xml:space="preserve"> </w:t>
      </w:r>
      <w:r w:rsidR="00F11AE7">
        <w:t xml:space="preserve">women </w:t>
      </w:r>
      <w:r w:rsidR="00D94C6A">
        <w:t>that c</w:t>
      </w:r>
      <w:r w:rsidR="00810DF3">
        <w:t>ome into contact with the criminal justice system</w:t>
      </w:r>
      <w:r w:rsidR="007E06E4">
        <w:t>, community-based alternatives that provide assistance, support and treatment</w:t>
      </w:r>
      <w:r w:rsidR="00DE6C95">
        <w:t xml:space="preserve"> </w:t>
      </w:r>
      <w:r w:rsidR="007E06E4">
        <w:t>are the most effective way of helping them build positive lives away from crime in the future</w:t>
      </w:r>
      <w:r w:rsidR="00D92DF9">
        <w:t>.</w:t>
      </w:r>
      <w:r w:rsidR="000A6AE4">
        <w:rPr>
          <w:rStyle w:val="FootnoteReference"/>
        </w:rPr>
        <w:footnoteReference w:id="21"/>
      </w:r>
    </w:p>
    <w:p w14:paraId="7B474E7C" w14:textId="77777777" w:rsidR="00E93D0E" w:rsidRDefault="00E93D0E" w:rsidP="00C226DB"/>
    <w:p w14:paraId="5D28BA2E" w14:textId="77777777" w:rsidR="009B0BB1" w:rsidRDefault="000B07AE" w:rsidP="00753DF3">
      <w:r>
        <w:t>The Sustainable Development Agenda</w:t>
      </w:r>
      <w:r w:rsidR="008C66BC">
        <w:t xml:space="preserve"> through</w:t>
      </w:r>
      <w:r w:rsidR="00A6146E">
        <w:t xml:space="preserve"> </w:t>
      </w:r>
      <w:r w:rsidR="00E63E1C">
        <w:t>SDG</w:t>
      </w:r>
      <w:r w:rsidR="00D47043">
        <w:t xml:space="preserve"> 16 </w:t>
      </w:r>
      <w:r w:rsidR="009B2F33">
        <w:t>recognise</w:t>
      </w:r>
      <w:r w:rsidR="00D47043">
        <w:t>s</w:t>
      </w:r>
      <w:r w:rsidR="009B2F33">
        <w:t xml:space="preserve"> that development efforts are closely linked with the justice sector</w:t>
      </w:r>
      <w:r w:rsidR="008C66BC">
        <w:t>. To employ a</w:t>
      </w:r>
      <w:r w:rsidR="009B2F33">
        <w:t xml:space="preserve"> development-led approach</w:t>
      </w:r>
      <w:r w:rsidR="00E03DC1">
        <w:t xml:space="preserve"> to the </w:t>
      </w:r>
      <w:r w:rsidR="00246A14">
        <w:t>rehabilitation and reintegration of offenders</w:t>
      </w:r>
      <w:r w:rsidR="004B0299">
        <w:t>, initiatives must</w:t>
      </w:r>
      <w:r w:rsidR="00246A14">
        <w:t xml:space="preserve"> focus not only on changing the behaviour and improving the situation of an individual (e.g., through housing or employment) but </w:t>
      </w:r>
      <w:r w:rsidR="009B2F33">
        <w:t xml:space="preserve">also </w:t>
      </w:r>
      <w:r w:rsidR="00131AC6">
        <w:t xml:space="preserve">consider </w:t>
      </w:r>
      <w:r w:rsidR="009B2F33">
        <w:t xml:space="preserve">the impact on their community and wider society. </w:t>
      </w:r>
    </w:p>
    <w:p w14:paraId="5D4691F4" w14:textId="77777777" w:rsidR="009B0BB1" w:rsidRDefault="009B0BB1" w:rsidP="00753DF3"/>
    <w:p w14:paraId="450D719A" w14:textId="72AA4842" w:rsidR="0038414E" w:rsidRDefault="003E01A2" w:rsidP="00753DF3">
      <w:r>
        <w:t xml:space="preserve">The following initiatives illustrate how targeted interventions </w:t>
      </w:r>
      <w:r w:rsidR="00AC2028">
        <w:t xml:space="preserve">with an integrated multi-agency approach </w:t>
      </w:r>
      <w:r w:rsidR="002D5CEB">
        <w:t>that</w:t>
      </w:r>
      <w:r w:rsidR="00AC2028">
        <w:t xml:space="preserve"> focus on </w:t>
      </w:r>
      <w:r w:rsidR="002D5CEB">
        <w:t xml:space="preserve">addressing </w:t>
      </w:r>
      <w:r w:rsidR="00AC2028">
        <w:t xml:space="preserve">discrimination and social exclusion </w:t>
      </w:r>
      <w:r>
        <w:t xml:space="preserve">can contribute to </w:t>
      </w:r>
      <w:r w:rsidR="00463C7A">
        <w:t xml:space="preserve">improved security for women and girls in contexts of poverty and inequality </w:t>
      </w:r>
      <w:r w:rsidR="00A75C1D">
        <w:t>that come into contact with the criminal justice system</w:t>
      </w:r>
      <w:r>
        <w:t xml:space="preserve">. </w:t>
      </w:r>
      <w:r w:rsidR="002D5CEB">
        <w:t xml:space="preserve">For </w:t>
      </w:r>
      <w:r w:rsidR="00CA0BA6">
        <w:t xml:space="preserve">more examples see PRI’s </w:t>
      </w:r>
      <w:r w:rsidR="00BC5AC4">
        <w:t>recent s</w:t>
      </w:r>
      <w:r w:rsidR="00BC5AC4" w:rsidRPr="00BC5AC4">
        <w:t>ubmission to UNODC on reducing reoffending through rehabilitation and reintegration</w:t>
      </w:r>
      <w:r>
        <w:t>.</w:t>
      </w:r>
      <w:r w:rsidR="00BC5AC4">
        <w:rPr>
          <w:rStyle w:val="FootnoteReference"/>
        </w:rPr>
        <w:footnoteReference w:id="22"/>
      </w:r>
    </w:p>
    <w:p w14:paraId="53CBB125" w14:textId="77777777" w:rsidR="00CD0D31" w:rsidRDefault="00CD0D31" w:rsidP="00753DF3"/>
    <w:p w14:paraId="4981DF18" w14:textId="77777777" w:rsidR="00CD0D31" w:rsidRPr="00424761" w:rsidRDefault="00CD0D31" w:rsidP="00CD0D31">
      <w:pPr>
        <w:pStyle w:val="Heading3"/>
        <w:rPr>
          <w:color w:val="460A68"/>
        </w:rPr>
      </w:pPr>
      <w:r w:rsidRPr="00424761">
        <w:rPr>
          <w:color w:val="460A68"/>
        </w:rPr>
        <w:t>Working in partnership for women’s rehabilitation in Georgia</w:t>
      </w:r>
    </w:p>
    <w:p w14:paraId="16586FCB" w14:textId="77777777" w:rsidR="00CD0D31" w:rsidRDefault="00CD0D31" w:rsidP="00CD0D31"/>
    <w:p w14:paraId="72CEC3FC" w14:textId="293DA2F7" w:rsidR="00CD0D31" w:rsidRDefault="00CD0D31" w:rsidP="00CD0D31">
      <w:r>
        <w:t xml:space="preserve">In Georgia, PRI has worked with local partner organisations to deliver rehabilitation and support services to women in prison (and their children) who have experienced violence, stigma, and discrimination. </w:t>
      </w:r>
      <w:r w:rsidR="002851A0">
        <w:t>Aimed</w:t>
      </w:r>
      <w:r>
        <w:t xml:space="preserve"> to empower women through </w:t>
      </w:r>
      <w:r w:rsidR="00DC25FF">
        <w:t>improved</w:t>
      </w:r>
      <w:r>
        <w:t xml:space="preserve"> access to psychosocial, legal, and medical support services, as well as enhance their opportunities for rehabilitation and protection</w:t>
      </w:r>
      <w:r w:rsidR="00A06934">
        <w:t>, t</w:t>
      </w:r>
      <w:r>
        <w:t>he range of interventions is designed to break the chain of violence and inequality experienced by women in prison, which can begin prior to their offending and continue post-release. As part of this, PRI opened a day nursery at the women’s prison in Tbilisi</w:t>
      </w:r>
      <w:r w:rsidR="00546A2B">
        <w:t xml:space="preserve"> (</w:t>
      </w:r>
      <w:r>
        <w:t>where young children up to the age of three live with their mothers</w:t>
      </w:r>
      <w:r w:rsidR="00546A2B">
        <w:t>) and t</w:t>
      </w:r>
      <w:r>
        <w:t>he Women in Business Association (GAWB) organises vocational training courses and business education for women in prison and formerly imprisoned women</w:t>
      </w:r>
      <w:r w:rsidR="00F13822">
        <w:t xml:space="preserve">. </w:t>
      </w:r>
      <w:r w:rsidR="000A44D0">
        <w:t>Upon</w:t>
      </w:r>
      <w:r>
        <w:t xml:space="preserve"> complet</w:t>
      </w:r>
      <w:r w:rsidR="000A44D0">
        <w:t xml:space="preserve">ion of </w:t>
      </w:r>
      <w:r w:rsidR="000B16D2">
        <w:t>the</w:t>
      </w:r>
      <w:r>
        <w:t xml:space="preserve"> business education course</w:t>
      </w:r>
      <w:r w:rsidR="000B16D2">
        <w:t xml:space="preserve">, the women </w:t>
      </w:r>
      <w:r>
        <w:t>prepare their business plans</w:t>
      </w:r>
      <w:r w:rsidR="000B16D2">
        <w:t xml:space="preserve"> and </w:t>
      </w:r>
      <w:r w:rsidR="00F13822">
        <w:t xml:space="preserve">GAWB </w:t>
      </w:r>
      <w:r>
        <w:t xml:space="preserve">provides small </w:t>
      </w:r>
      <w:r w:rsidR="000B16D2">
        <w:t xml:space="preserve">start-up </w:t>
      </w:r>
      <w:r>
        <w:t xml:space="preserve">grants. GAWB has also established a shelter to accommodate formerly imprisoned women who are experiencing homelessness, to provide a safe place to live until they can support themselves. The project also pays for medicine and </w:t>
      </w:r>
      <w:r w:rsidR="00CC5B15">
        <w:t>health</w:t>
      </w:r>
      <w:r>
        <w:t xml:space="preserve"> services for beneficiaries if state programmes do not cover the costs.</w:t>
      </w:r>
      <w:r w:rsidR="000A36B0">
        <w:t xml:space="preserve"> </w:t>
      </w:r>
      <w:r>
        <w:t xml:space="preserve">To date, the project has </w:t>
      </w:r>
      <w:r w:rsidR="00597F44">
        <w:t>reached</w:t>
      </w:r>
      <w:r>
        <w:t xml:space="preserve"> over 600 beneficiaries, including 40 children of imprisoned women. </w:t>
      </w:r>
    </w:p>
    <w:p w14:paraId="275AC19F" w14:textId="77777777" w:rsidR="00A96FC9" w:rsidRDefault="00A96FC9" w:rsidP="00753DF3"/>
    <w:p w14:paraId="2CA89477" w14:textId="03F5B0CF" w:rsidR="009D2D17" w:rsidRPr="00424761" w:rsidRDefault="009D2D17" w:rsidP="009D2D17">
      <w:pPr>
        <w:pStyle w:val="Heading3"/>
        <w:rPr>
          <w:color w:val="460A68"/>
        </w:rPr>
      </w:pPr>
      <w:r w:rsidRPr="00424761">
        <w:rPr>
          <w:color w:val="460A68"/>
        </w:rPr>
        <w:t xml:space="preserve">Economic empowerment </w:t>
      </w:r>
      <w:r w:rsidR="000A76E5">
        <w:rPr>
          <w:color w:val="460A68"/>
        </w:rPr>
        <w:t>through targeted</w:t>
      </w:r>
      <w:r w:rsidRPr="00424761">
        <w:rPr>
          <w:color w:val="460A68"/>
        </w:rPr>
        <w:t xml:space="preserve"> community sentences in Kenya</w:t>
      </w:r>
      <w:r w:rsidRPr="00424761">
        <w:rPr>
          <w:color w:val="460A68"/>
          <w:vertAlign w:val="superscript"/>
        </w:rPr>
        <w:footnoteReference w:id="23"/>
      </w:r>
      <w:r w:rsidRPr="00424761">
        <w:rPr>
          <w:color w:val="460A68"/>
        </w:rPr>
        <w:t xml:space="preserve"> </w:t>
      </w:r>
    </w:p>
    <w:p w14:paraId="5A546342" w14:textId="77777777" w:rsidR="009D2D17" w:rsidRDefault="009D2D17" w:rsidP="009D2D17"/>
    <w:p w14:paraId="700863DD" w14:textId="647DBB0B" w:rsidR="009D2D17" w:rsidRDefault="00597F44" w:rsidP="009D2D17">
      <w:r>
        <w:t xml:space="preserve">In </w:t>
      </w:r>
      <w:r>
        <w:t>2014–2016</w:t>
      </w:r>
      <w:r>
        <w:t>, PRI, t</w:t>
      </w:r>
      <w:r w:rsidR="009D2D17">
        <w:t xml:space="preserve">ogether with the Kenya Probation and Aftercare Service, implemented an innovative project </w:t>
      </w:r>
      <w:r w:rsidR="002B0877">
        <w:t>with</w:t>
      </w:r>
      <w:r w:rsidR="005A4698">
        <w:t xml:space="preserve"> </w:t>
      </w:r>
      <w:r w:rsidR="002B0877">
        <w:t xml:space="preserve">a development-led approach </w:t>
      </w:r>
      <w:r>
        <w:t>to</w:t>
      </w:r>
      <w:r w:rsidR="00A01CB4">
        <w:t xml:space="preserve"> tackle poverty, inequality and gender disempowerment </w:t>
      </w:r>
      <w:r>
        <w:t>and</w:t>
      </w:r>
      <w:r w:rsidR="009D2D17">
        <w:t xml:space="preserve"> disrupt the poverty-prison cycle. The</w:t>
      </w:r>
      <w:r w:rsidR="00301786">
        <w:t xml:space="preserve"> project sought to reduce the unnecessary use of imprisonment </w:t>
      </w:r>
      <w:r w:rsidR="00C4561C">
        <w:t>(</w:t>
      </w:r>
      <w:r w:rsidR="00A73DE0">
        <w:t>and its negative effects on</w:t>
      </w:r>
      <w:r w:rsidR="00C4561C">
        <w:t xml:space="preserve"> famil</w:t>
      </w:r>
      <w:r w:rsidR="00A73DE0">
        <w:t>ies</w:t>
      </w:r>
      <w:r w:rsidR="00C4561C">
        <w:t xml:space="preserve"> and communities, including being unable to pay for food or school fees, stigmatisation, and for women in prison, greater chance of losing their home, livelihood, partner, and access to their children) </w:t>
      </w:r>
      <w:r w:rsidR="00301786">
        <w:t>in favour</w:t>
      </w:r>
      <w:r w:rsidR="009D2D17">
        <w:t xml:space="preserve"> of community service orders which </w:t>
      </w:r>
      <w:r w:rsidR="007E1DEA">
        <w:t>involve</w:t>
      </w:r>
      <w:r w:rsidR="00BF0123">
        <w:t>d</w:t>
      </w:r>
      <w:r w:rsidR="009D2D17">
        <w:t xml:space="preserve"> economic empower</w:t>
      </w:r>
      <w:r w:rsidR="007E1DEA">
        <w:t>ment</w:t>
      </w:r>
      <w:r w:rsidR="00D17623">
        <w:t xml:space="preserve">. </w:t>
      </w:r>
      <w:r w:rsidR="009D2D17">
        <w:t xml:space="preserve">Entrepreneurial training was provided alongside a small investment to allow individuals to open a basic business, so that they could support themselves and their families, thereby reducing reoffending. Probation officers worked closely with individuals to identify what kind of investment would help. </w:t>
      </w:r>
      <w:r w:rsidR="0013065E">
        <w:t>T</w:t>
      </w:r>
      <w:r w:rsidR="009D2D17">
        <w:t>o address stigma</w:t>
      </w:r>
      <w:r w:rsidR="0013065E">
        <w:t>,</w:t>
      </w:r>
      <w:r w:rsidR="009D2D17">
        <w:t xml:space="preserve"> th</w:t>
      </w:r>
      <w:r w:rsidR="00D07FF1">
        <w:t>e</w:t>
      </w:r>
      <w:r w:rsidR="009D2D17">
        <w:t xml:space="preserve"> project also improved public awareness and understanding of community service</w:t>
      </w:r>
      <w:r w:rsidR="0035508A">
        <w:t xml:space="preserve"> through</w:t>
      </w:r>
      <w:r w:rsidR="009D2D17">
        <w:t xml:space="preserve"> court open days </w:t>
      </w:r>
      <w:r w:rsidR="0035508A">
        <w:t>and</w:t>
      </w:r>
      <w:r w:rsidR="009D2D17">
        <w:t xml:space="preserve"> engagement with the media </w:t>
      </w:r>
      <w:r w:rsidR="0035508A">
        <w:t xml:space="preserve">to </w:t>
      </w:r>
      <w:r w:rsidR="009D2D17">
        <w:t xml:space="preserve">increase positive coverage of community-based sentences in the press. </w:t>
      </w:r>
    </w:p>
    <w:p w14:paraId="2FC53135" w14:textId="77777777" w:rsidR="00B8746E" w:rsidRDefault="00B8746E" w:rsidP="00753DF3"/>
    <w:p w14:paraId="6E94BBE3" w14:textId="77777777" w:rsidR="00904812" w:rsidRDefault="00904812" w:rsidP="00753DF3"/>
    <w:p w14:paraId="5024E9A2" w14:textId="77777777" w:rsidR="00CE47F4" w:rsidRDefault="00CE47F4" w:rsidP="00750FBD"/>
    <w:p w14:paraId="3323C864" w14:textId="77777777" w:rsidR="00CE47F4" w:rsidRPr="007E4F17" w:rsidRDefault="00CE47F4" w:rsidP="00CE47F4">
      <w:pPr>
        <w:spacing w:after="120"/>
        <w:rPr>
          <w:rFonts w:ascii="Calibri Light" w:hAnsi="Calibri Light" w:cs="Calibri Light"/>
          <w:b/>
          <w:bCs/>
          <w:color w:val="470A68"/>
          <w:sz w:val="20"/>
          <w:szCs w:val="20"/>
        </w:rPr>
      </w:pPr>
      <w:r w:rsidRPr="007E4F17">
        <w:rPr>
          <w:rFonts w:ascii="Calibri Light" w:hAnsi="Calibri Light" w:cs="Calibri Light"/>
          <w:b/>
          <w:bCs/>
          <w:color w:val="470A68"/>
          <w:sz w:val="20"/>
          <w:szCs w:val="20"/>
        </w:rPr>
        <w:lastRenderedPageBreak/>
        <w:t>Penal Reform International briefing note</w:t>
      </w:r>
    </w:p>
    <w:p w14:paraId="7ECB6450" w14:textId="77777777" w:rsidR="00CE47F4" w:rsidRPr="007E4F17" w:rsidRDefault="00CE47F4" w:rsidP="00CE47F4">
      <w:pPr>
        <w:rPr>
          <w:rFonts w:ascii="Calibri Light" w:hAnsi="Calibri Light" w:cs="Calibri Light"/>
          <w:color w:val="470A68"/>
          <w:sz w:val="20"/>
          <w:szCs w:val="20"/>
        </w:rPr>
      </w:pPr>
      <w:r w:rsidRPr="007E4F17">
        <w:rPr>
          <w:rFonts w:ascii="Calibri Light" w:hAnsi="Calibri Light" w:cs="Calibri Light"/>
          <w:color w:val="470A68"/>
          <w:sz w:val="20"/>
          <w:szCs w:val="20"/>
        </w:rPr>
        <w:t>Contact person at PRI:</w:t>
      </w:r>
    </w:p>
    <w:p w14:paraId="28A86B27" w14:textId="77777777" w:rsidR="00F45A5B" w:rsidRDefault="0058381F" w:rsidP="00CE47F4">
      <w:pPr>
        <w:rPr>
          <w:rFonts w:ascii="Calibri Light" w:hAnsi="Calibri Light" w:cs="Calibri Light"/>
          <w:sz w:val="20"/>
          <w:szCs w:val="20"/>
        </w:rPr>
      </w:pPr>
      <w:r>
        <w:rPr>
          <w:rFonts w:ascii="Calibri Light" w:hAnsi="Calibri Light" w:cs="Calibri Light"/>
          <w:sz w:val="20"/>
          <w:szCs w:val="20"/>
        </w:rPr>
        <w:t>Tríona Lenihan</w:t>
      </w:r>
    </w:p>
    <w:p w14:paraId="5BD455E9" w14:textId="183E49F8" w:rsidR="00CE47F4" w:rsidRDefault="0058381F" w:rsidP="00CE47F4">
      <w:pPr>
        <w:rPr>
          <w:rFonts w:ascii="Calibri Light" w:hAnsi="Calibri Light" w:cs="Calibri Light"/>
          <w:sz w:val="20"/>
          <w:szCs w:val="20"/>
        </w:rPr>
      </w:pPr>
      <w:r>
        <w:rPr>
          <w:rFonts w:ascii="Calibri Light" w:hAnsi="Calibri Light" w:cs="Calibri Light"/>
          <w:sz w:val="20"/>
          <w:szCs w:val="20"/>
        </w:rPr>
        <w:t>Policy and International Advocacy Manager</w:t>
      </w:r>
    </w:p>
    <w:p w14:paraId="2557045F" w14:textId="65782615" w:rsidR="00CE47F4" w:rsidRPr="00E3286A" w:rsidRDefault="0058381F" w:rsidP="00CE47F4">
      <w:pPr>
        <w:rPr>
          <w:rFonts w:ascii="Calibri Light" w:hAnsi="Calibri Light" w:cs="Calibri Light"/>
          <w:color w:val="470A68"/>
          <w:sz w:val="20"/>
          <w:szCs w:val="20"/>
        </w:rPr>
      </w:pPr>
      <w:r w:rsidRPr="00E3286A">
        <w:rPr>
          <w:rFonts w:ascii="Calibri Light" w:hAnsi="Calibri Light" w:cs="Calibri Light"/>
          <w:color w:val="470A68"/>
          <w:sz w:val="20"/>
          <w:szCs w:val="20"/>
        </w:rPr>
        <w:t>tlenihan@penalreform.org</w:t>
      </w:r>
    </w:p>
    <w:p w14:paraId="4D59F1F5" w14:textId="77777777" w:rsidR="00F45A5B" w:rsidRPr="00563D1E" w:rsidRDefault="00F45A5B" w:rsidP="00CE47F4">
      <w:pPr>
        <w:rPr>
          <w:rFonts w:asciiTheme="majorHAnsi" w:hAnsiTheme="majorHAnsi" w:cstheme="majorHAnsi"/>
          <w:sz w:val="20"/>
          <w:szCs w:val="20"/>
        </w:rPr>
      </w:pPr>
    </w:p>
    <w:p w14:paraId="164F7560" w14:textId="7512D064" w:rsidR="00CE47F4" w:rsidRPr="00563D1E" w:rsidRDefault="00011B18" w:rsidP="00750FBD">
      <w:pPr>
        <w:rPr>
          <w:rFonts w:asciiTheme="majorHAnsi" w:hAnsiTheme="majorHAnsi" w:cstheme="majorHAnsi"/>
          <w:color w:val="470A68"/>
          <w:sz w:val="20"/>
          <w:szCs w:val="20"/>
        </w:rPr>
      </w:pPr>
      <w:hyperlink r:id="rId13" w:history="1">
        <w:r w:rsidRPr="00563D1E">
          <w:rPr>
            <w:rFonts w:asciiTheme="majorHAnsi" w:hAnsiTheme="majorHAnsi" w:cstheme="majorHAnsi"/>
            <w:color w:val="470A68"/>
            <w:sz w:val="20"/>
            <w:szCs w:val="20"/>
          </w:rPr>
          <w:t>www.penalreform.org</w:t>
        </w:r>
      </w:hyperlink>
    </w:p>
    <w:p w14:paraId="6A404238" w14:textId="77777777" w:rsidR="00011B18" w:rsidRPr="00563D1E" w:rsidRDefault="00011B18" w:rsidP="00750FBD">
      <w:pPr>
        <w:rPr>
          <w:rFonts w:asciiTheme="majorHAnsi" w:hAnsiTheme="majorHAnsi" w:cstheme="majorHAnsi"/>
          <w:color w:val="470A68"/>
          <w:sz w:val="20"/>
          <w:szCs w:val="20"/>
        </w:rPr>
      </w:pPr>
    </w:p>
    <w:p w14:paraId="45B92894" w14:textId="77777777" w:rsidR="00011B18" w:rsidRPr="00563D1E" w:rsidRDefault="00011B18" w:rsidP="001D0C41">
      <w:pPr>
        <w:rPr>
          <w:rFonts w:asciiTheme="majorHAnsi" w:hAnsiTheme="majorHAnsi" w:cstheme="majorHAnsi"/>
          <w:sz w:val="20"/>
          <w:szCs w:val="20"/>
        </w:rPr>
      </w:pPr>
    </w:p>
    <w:p w14:paraId="179759A9" w14:textId="15D156DE" w:rsidR="001D0C41" w:rsidRPr="00563D1E" w:rsidRDefault="001D0C41" w:rsidP="001D0C41">
      <w:pPr>
        <w:rPr>
          <w:rFonts w:asciiTheme="majorHAnsi" w:hAnsiTheme="majorHAnsi" w:cstheme="majorHAnsi"/>
          <w:sz w:val="20"/>
          <w:szCs w:val="20"/>
        </w:rPr>
      </w:pPr>
      <w:r w:rsidRPr="00563D1E">
        <w:rPr>
          <w:rFonts w:asciiTheme="majorHAnsi" w:hAnsiTheme="majorHAnsi" w:cstheme="majorHAnsi"/>
          <w:sz w:val="20"/>
          <w:szCs w:val="20"/>
        </w:rPr>
        <w:t xml:space="preserve">Penal Reform International (PRI) is a non-governmental organisation </w:t>
      </w:r>
      <w:r w:rsidRPr="00563D1E">
        <w:rPr>
          <w:rFonts w:asciiTheme="majorHAnsi" w:hAnsiTheme="majorHAnsi" w:cstheme="majorHAnsi"/>
          <w:sz w:val="20"/>
          <w:szCs w:val="20"/>
        </w:rPr>
        <w:t xml:space="preserve">that </w:t>
      </w:r>
      <w:r w:rsidRPr="00563D1E">
        <w:rPr>
          <w:rFonts w:asciiTheme="majorHAnsi" w:hAnsiTheme="majorHAnsi" w:cstheme="majorHAnsi"/>
          <w:sz w:val="20"/>
          <w:szCs w:val="20"/>
        </w:rPr>
        <w:t>enjoys ECOSOC Special Consultative Status since 1993. Registered in The Netherlands (registration no 40025979), PRI operates globally with offices in multiple locations </w:t>
      </w:r>
      <w:r w:rsidRPr="00563D1E">
        <w:rPr>
          <w:rFonts w:asciiTheme="majorHAnsi" w:hAnsiTheme="majorHAnsi" w:cstheme="majorHAnsi"/>
          <w:sz w:val="20"/>
          <w:szCs w:val="20"/>
        </w:rPr>
        <w:t xml:space="preserve">and is a member of the Campaign to Decriminalise Poverty and Status. </w:t>
      </w:r>
    </w:p>
    <w:p w14:paraId="267A8F45" w14:textId="77777777" w:rsidR="001D0C41" w:rsidRPr="00563D1E" w:rsidRDefault="001D0C41" w:rsidP="001D0C41">
      <w:pPr>
        <w:rPr>
          <w:rFonts w:asciiTheme="majorHAnsi" w:hAnsiTheme="majorHAnsi" w:cstheme="majorHAnsi"/>
          <w:sz w:val="20"/>
          <w:szCs w:val="20"/>
        </w:rPr>
      </w:pPr>
    </w:p>
    <w:p w14:paraId="46866D15" w14:textId="77777777" w:rsidR="001D0C41" w:rsidRPr="00563D1E" w:rsidRDefault="001D0C41" w:rsidP="001D0C41">
      <w:pPr>
        <w:rPr>
          <w:rFonts w:asciiTheme="majorHAnsi" w:hAnsiTheme="majorHAnsi" w:cstheme="majorHAnsi"/>
          <w:sz w:val="20"/>
          <w:szCs w:val="20"/>
        </w:rPr>
      </w:pPr>
    </w:p>
    <w:p w14:paraId="456EBD39" w14:textId="4FC33A95" w:rsidR="00011B18" w:rsidRPr="001D0C41" w:rsidRDefault="001D0C41" w:rsidP="001D0C41">
      <w:pPr>
        <w:rPr>
          <w:sz w:val="20"/>
          <w:szCs w:val="20"/>
        </w:rPr>
      </w:pPr>
      <w:r>
        <w:rPr>
          <w:noProof/>
          <w:sz w:val="20"/>
          <w:szCs w:val="20"/>
        </w:rPr>
        <w:drawing>
          <wp:inline distT="0" distB="0" distL="0" distR="0" wp14:anchorId="0FAB5061" wp14:editId="2295B993">
            <wp:extent cx="2062132" cy="8572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1218" cy="861027"/>
                    </a:xfrm>
                    <a:prstGeom prst="rect">
                      <a:avLst/>
                    </a:prstGeom>
                  </pic:spPr>
                </pic:pic>
              </a:graphicData>
            </a:graphic>
          </wp:inline>
        </w:drawing>
      </w:r>
    </w:p>
    <w:sectPr w:rsidR="00011B18" w:rsidRPr="001D0C41" w:rsidSect="00750FBD">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E1CE" w14:textId="77777777" w:rsidR="003871C3" w:rsidRDefault="003871C3" w:rsidP="00750FBD">
      <w:r>
        <w:separator/>
      </w:r>
    </w:p>
  </w:endnote>
  <w:endnote w:type="continuationSeparator" w:id="0">
    <w:p w14:paraId="66BAC1FE" w14:textId="77777777" w:rsidR="003871C3" w:rsidRDefault="003871C3" w:rsidP="00750FBD">
      <w:r>
        <w:continuationSeparator/>
      </w:r>
    </w:p>
  </w:endnote>
  <w:endnote w:type="continuationNotice" w:id="1">
    <w:p w14:paraId="1495B59F" w14:textId="77777777" w:rsidR="003871C3" w:rsidRDefault="00387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7D69" w14:textId="77777777" w:rsidR="001579BF" w:rsidRDefault="0015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ECCF" w14:textId="77777777" w:rsidR="00082F29" w:rsidRPr="003363CA" w:rsidRDefault="00082F29" w:rsidP="003363CA">
    <w:pPr>
      <w:pStyle w:val="Footer"/>
      <w:jc w:val="center"/>
      <w:rPr>
        <w:rFonts w:ascii="Calibri Light" w:hAnsi="Calibri Light" w:cs="Calibri Light"/>
        <w:sz w:val="16"/>
        <w:szCs w:val="16"/>
      </w:rPr>
    </w:pPr>
  </w:p>
  <w:p w14:paraId="2AB88B9B" w14:textId="77777777" w:rsidR="00082F29" w:rsidRPr="003363CA" w:rsidRDefault="00082F29" w:rsidP="003363CA">
    <w:pPr>
      <w:pStyle w:val="Footer"/>
      <w:spacing w:after="120"/>
      <w:jc w:val="center"/>
      <w:rPr>
        <w:rFonts w:ascii="Calibri Light" w:hAnsi="Calibri Light" w:cs="Calibri Light"/>
        <w:sz w:val="16"/>
        <w:szCs w:val="16"/>
      </w:rPr>
    </w:pPr>
    <w:r w:rsidRPr="003363CA">
      <w:rPr>
        <w:rFonts w:ascii="Calibri Light" w:hAnsi="Calibri Light" w:cs="Calibri Light"/>
        <w:sz w:val="16"/>
        <w:szCs w:val="16"/>
      </w:rPr>
      <w:t xml:space="preserve">Page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PAGE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r w:rsidRPr="003363CA">
      <w:rPr>
        <w:rFonts w:ascii="Calibri Light" w:hAnsi="Calibri Light" w:cs="Calibri Light"/>
        <w:sz w:val="16"/>
        <w:szCs w:val="16"/>
      </w:rPr>
      <w:t xml:space="preserve"> of </w:t>
    </w:r>
    <w:r w:rsidRPr="003363CA">
      <w:rPr>
        <w:rFonts w:ascii="Calibri Light" w:hAnsi="Calibri Light" w:cs="Calibri Light"/>
        <w:sz w:val="16"/>
        <w:szCs w:val="16"/>
      </w:rPr>
      <w:fldChar w:fldCharType="begin"/>
    </w:r>
    <w:r w:rsidRPr="003363CA">
      <w:rPr>
        <w:rFonts w:ascii="Calibri Light" w:hAnsi="Calibri Light" w:cs="Calibri Light"/>
        <w:sz w:val="16"/>
        <w:szCs w:val="16"/>
      </w:rPr>
      <w:instrText xml:space="preserve"> NUMPAGES </w:instrText>
    </w:r>
    <w:r w:rsidRPr="003363CA">
      <w:rPr>
        <w:rFonts w:ascii="Calibri Light" w:hAnsi="Calibri Light" w:cs="Calibri Light"/>
        <w:sz w:val="16"/>
        <w:szCs w:val="16"/>
      </w:rPr>
      <w:fldChar w:fldCharType="separate"/>
    </w:r>
    <w:r w:rsidRPr="003363CA">
      <w:rPr>
        <w:rFonts w:ascii="Calibri Light" w:hAnsi="Calibri Light" w:cs="Calibri Light"/>
        <w:sz w:val="16"/>
        <w:szCs w:val="16"/>
      </w:rPr>
      <w:t>2</w:t>
    </w:r>
    <w:r w:rsidRPr="003363CA">
      <w:rPr>
        <w:rFonts w:ascii="Calibri Light" w:hAnsi="Calibri Light" w:cs="Calibri Light"/>
        <w:sz w:val="16"/>
        <w:szCs w:val="16"/>
      </w:rPr>
      <w:fldChar w:fldCharType="end"/>
    </w:r>
  </w:p>
  <w:p w14:paraId="04D07AF3"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CF31" w14:textId="77777777" w:rsidR="00082F29" w:rsidRPr="003363CA" w:rsidRDefault="00082F29" w:rsidP="003363CA">
    <w:pPr>
      <w:pStyle w:val="Footer"/>
      <w:jc w:val="center"/>
      <w:rPr>
        <w:rFonts w:ascii="Calibri Light" w:hAnsi="Calibri Light" w:cs="Calibri Light"/>
        <w:sz w:val="16"/>
        <w:szCs w:val="16"/>
      </w:rPr>
    </w:pPr>
  </w:p>
  <w:p w14:paraId="1C0E5A01" w14:textId="77777777" w:rsidR="00082F29" w:rsidRPr="003363CA" w:rsidRDefault="00082F29" w:rsidP="003363CA">
    <w:pPr>
      <w:pStyle w:val="Footer"/>
      <w:spacing w:after="120"/>
      <w:jc w:val="center"/>
      <w:rPr>
        <w:rFonts w:ascii="Calibri Light" w:hAnsi="Calibri Light" w:cs="Calibri Light"/>
        <w:sz w:val="16"/>
        <w:szCs w:val="16"/>
        <w:lang w:val="en-US"/>
      </w:rPr>
    </w:pPr>
    <w:r w:rsidRPr="003363CA">
      <w:rPr>
        <w:rFonts w:ascii="Calibri Light" w:hAnsi="Calibri Light" w:cs="Calibri Light"/>
        <w:sz w:val="16"/>
        <w:szCs w:val="16"/>
        <w:lang w:val="en-US"/>
      </w:rPr>
      <w:t>PRI is a non-profit association, registered in the Netherlands (Registration no 40025979)</w:t>
    </w:r>
  </w:p>
  <w:p w14:paraId="6D9F8B9D" w14:textId="77777777" w:rsidR="00082F29" w:rsidRPr="003363CA" w:rsidRDefault="00082F29" w:rsidP="003363CA">
    <w:pPr>
      <w:pStyle w:val="Footer"/>
      <w:jc w:val="center"/>
      <w:rPr>
        <w:rFonts w:ascii="Calibri Light" w:hAnsi="Calibri Light" w:cs="Calibri Light"/>
        <w:color w:val="470A68"/>
        <w:sz w:val="16"/>
        <w:szCs w:val="16"/>
      </w:rPr>
    </w:pPr>
    <w:r w:rsidRPr="003363CA">
      <w:rPr>
        <w:rFonts w:ascii="Calibri Light" w:hAnsi="Calibri Light" w:cs="Calibri Light"/>
        <w:color w:val="470A68"/>
        <w:sz w:val="16"/>
        <w:szCs w:val="16"/>
      </w:rPr>
      <w:t>www.penalreform.org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8CA2" w14:textId="77777777" w:rsidR="003871C3" w:rsidRDefault="003871C3" w:rsidP="00750FBD">
      <w:r>
        <w:separator/>
      </w:r>
    </w:p>
  </w:footnote>
  <w:footnote w:type="continuationSeparator" w:id="0">
    <w:p w14:paraId="5B28117E" w14:textId="77777777" w:rsidR="003871C3" w:rsidRDefault="003871C3" w:rsidP="00750FBD">
      <w:r>
        <w:continuationSeparator/>
      </w:r>
    </w:p>
  </w:footnote>
  <w:footnote w:type="continuationNotice" w:id="1">
    <w:p w14:paraId="060A2BB0" w14:textId="77777777" w:rsidR="003871C3" w:rsidRDefault="003871C3"/>
  </w:footnote>
  <w:footnote w:id="2">
    <w:p w14:paraId="3A8DB3B1" w14:textId="28991FCE" w:rsidR="009940CC" w:rsidRDefault="009940CC" w:rsidP="00040A74">
      <w:pPr>
        <w:pStyle w:val="FootnoteText"/>
      </w:pPr>
      <w:r>
        <w:rPr>
          <w:rStyle w:val="FootnoteReference"/>
        </w:rPr>
        <w:footnoteRef/>
      </w:r>
      <w:r>
        <w:t xml:space="preserve"> </w:t>
      </w:r>
      <w:r w:rsidR="00040A74">
        <w:t xml:space="preserve">Helen Fair and Roy Walmsley, </w:t>
      </w:r>
      <w:r w:rsidR="00040A74" w:rsidRPr="003B767F">
        <w:rPr>
          <w:i/>
          <w:iCs/>
        </w:rPr>
        <w:t>World Female Imprisonment List</w:t>
      </w:r>
      <w:r w:rsidR="0033798F" w:rsidRPr="003B767F">
        <w:rPr>
          <w:i/>
          <w:iCs/>
        </w:rPr>
        <w:t xml:space="preserve">: </w:t>
      </w:r>
      <w:r w:rsidR="00040A74" w:rsidRPr="003B767F">
        <w:rPr>
          <w:i/>
          <w:iCs/>
        </w:rPr>
        <w:t>fifth edition</w:t>
      </w:r>
      <w:r w:rsidR="0033798F">
        <w:t>,</w:t>
      </w:r>
      <w:r w:rsidR="00921544" w:rsidRPr="00921544">
        <w:t xml:space="preserve"> Institute for Crime &amp; Justice Policy Research</w:t>
      </w:r>
      <w:r w:rsidR="00921544">
        <w:t xml:space="preserve">, </w:t>
      </w:r>
      <w:r w:rsidR="003B767F">
        <w:t>2022</w:t>
      </w:r>
      <w:r w:rsidR="0033798F">
        <w:t>.</w:t>
      </w:r>
    </w:p>
  </w:footnote>
  <w:footnote w:id="3">
    <w:p w14:paraId="75C6BFED" w14:textId="217EB93C" w:rsidR="00576D6F" w:rsidRDefault="00576D6F">
      <w:pPr>
        <w:pStyle w:val="FootnoteText"/>
      </w:pPr>
      <w:r>
        <w:rPr>
          <w:rStyle w:val="FootnoteReference"/>
        </w:rPr>
        <w:footnoteRef/>
      </w:r>
      <w:r>
        <w:t xml:space="preserve"> </w:t>
      </w:r>
      <w:r w:rsidRPr="00576D6F">
        <w:t xml:space="preserve">United Nations Office on Drugs and Crime, </w:t>
      </w:r>
      <w:r w:rsidRPr="00576D6F">
        <w:rPr>
          <w:i/>
          <w:iCs/>
        </w:rPr>
        <w:t>World Drug Report 2018</w:t>
      </w:r>
      <w:r w:rsidRPr="00576D6F">
        <w:t>, p.9</w:t>
      </w:r>
      <w:r>
        <w:t xml:space="preserve">. </w:t>
      </w:r>
    </w:p>
  </w:footnote>
  <w:footnote w:id="4">
    <w:p w14:paraId="7C80D311" w14:textId="18361B2A" w:rsidR="00CD6B1A" w:rsidRDefault="00CD6B1A" w:rsidP="00CD6B1A">
      <w:pPr>
        <w:pStyle w:val="FootnoteText"/>
      </w:pPr>
      <w:r>
        <w:rPr>
          <w:rStyle w:val="FootnoteReference"/>
        </w:rPr>
        <w:footnoteRef/>
      </w:r>
      <w:r>
        <w:t xml:space="preserve"> Washington Office on Latin America, W</w:t>
      </w:r>
      <w:r w:rsidRPr="00CD6B1A">
        <w:rPr>
          <w:i/>
          <w:iCs/>
        </w:rPr>
        <w:t>omen Behind Bars for Drug Offences in Latin America: What the Numbers Make Clear</w:t>
      </w:r>
      <w:r>
        <w:t>, November 2020.</w:t>
      </w:r>
    </w:p>
  </w:footnote>
  <w:footnote w:id="5">
    <w:p w14:paraId="124DE147" w14:textId="7F58246A" w:rsidR="00507A57" w:rsidRDefault="00507A57">
      <w:pPr>
        <w:pStyle w:val="FootnoteText"/>
      </w:pPr>
      <w:r>
        <w:rPr>
          <w:rStyle w:val="FootnoteReference"/>
        </w:rPr>
        <w:footnoteRef/>
      </w:r>
      <w:r>
        <w:t xml:space="preserve"> Giacomello, C. (2020), </w:t>
      </w:r>
      <w:r w:rsidRPr="000B2E4B">
        <w:rPr>
          <w:i/>
          <w:iCs/>
        </w:rPr>
        <w:t>Chapter 12 - The gendered impacts of drug policy on women: Case studies from Mexico</w:t>
      </w:r>
      <w:r>
        <w:t xml:space="preserve">, in: Buxton, J., </w:t>
      </w:r>
      <w:proofErr w:type="spellStart"/>
      <w:r>
        <w:t>Chinery</w:t>
      </w:r>
      <w:proofErr w:type="spellEnd"/>
      <w:r>
        <w:t xml:space="preserve">-Hesse, M &amp; Tinasti, K. (Eds.), </w:t>
      </w:r>
      <w:r w:rsidRPr="000B2E4B">
        <w:rPr>
          <w:i/>
          <w:iCs/>
        </w:rPr>
        <w:t>Drug Policies and Development: Conflict and Coexistence</w:t>
      </w:r>
      <w:r>
        <w:t xml:space="preserve">, August 2020, p. 206-245. </w:t>
      </w:r>
    </w:p>
  </w:footnote>
  <w:footnote w:id="6">
    <w:p w14:paraId="4A9256AF" w14:textId="13F14540" w:rsidR="00ED3E35" w:rsidRDefault="00ED3E35" w:rsidP="00674FCD">
      <w:pPr>
        <w:pStyle w:val="FootnoteText"/>
      </w:pPr>
      <w:r>
        <w:rPr>
          <w:rStyle w:val="FootnoteReference"/>
        </w:rPr>
        <w:footnoteRef/>
      </w:r>
      <w:r>
        <w:t xml:space="preserve"> </w:t>
      </w:r>
      <w:r w:rsidR="00674FCD">
        <w:t>Penal Reform International,</w:t>
      </w:r>
      <w:r w:rsidR="00674FCD" w:rsidRPr="00674FCD">
        <w:t xml:space="preserve"> </w:t>
      </w:r>
      <w:r w:rsidR="00674FCD" w:rsidRPr="00F20D52">
        <w:rPr>
          <w:i/>
          <w:iCs/>
        </w:rPr>
        <w:t>Submission to OHCHR on human rights violations related to accusations of witchcraft and ritual attacks, as well as stigmatisation</w:t>
      </w:r>
      <w:r w:rsidR="00F20D52">
        <w:t>, September 2022,</w:t>
      </w:r>
      <w:r w:rsidR="00674FCD">
        <w:t xml:space="preserve"> </w:t>
      </w:r>
      <w:hyperlink r:id="rId1" w:history="1">
        <w:r w:rsidR="00674FCD" w:rsidRPr="00F92F69">
          <w:rPr>
            <w:rStyle w:val="Hyperlink"/>
          </w:rPr>
          <w:t>https://www.penalreform.org/wp-content/uploads/2022/10/PRI-submission-to-OHCHR-on-accusations-of-witchcraft-and-ritual-attacks.pdf</w:t>
        </w:r>
      </w:hyperlink>
      <w:r w:rsidR="00674FCD">
        <w:t xml:space="preserve">. </w:t>
      </w:r>
    </w:p>
  </w:footnote>
  <w:footnote w:id="7">
    <w:p w14:paraId="0310A6BB" w14:textId="22A8DA7E" w:rsidR="00E70FD6" w:rsidRDefault="00E70FD6">
      <w:pPr>
        <w:pStyle w:val="FootnoteText"/>
      </w:pPr>
      <w:r>
        <w:rPr>
          <w:rStyle w:val="FootnoteReference"/>
        </w:rPr>
        <w:footnoteRef/>
      </w:r>
      <w:r>
        <w:t xml:space="preserve"> United Nations, </w:t>
      </w:r>
      <w:r w:rsidRPr="00E70FD6">
        <w:rPr>
          <w:i/>
          <w:iCs/>
        </w:rPr>
        <w:t>Report of the Working Group on Arbitrary Detention</w:t>
      </w:r>
      <w:r>
        <w:t>, A/HRC/48/55, 6 August 2021, para. 18.</w:t>
      </w:r>
    </w:p>
  </w:footnote>
  <w:footnote w:id="8">
    <w:p w14:paraId="7C47BB25" w14:textId="35196AE7" w:rsidR="00A022ED" w:rsidRDefault="00A022ED" w:rsidP="00A022ED">
      <w:pPr>
        <w:pStyle w:val="FootnoteText"/>
      </w:pPr>
      <w:r>
        <w:rPr>
          <w:rStyle w:val="FootnoteReference"/>
        </w:rPr>
        <w:footnoteRef/>
      </w:r>
      <w:r>
        <w:t xml:space="preserve"> ‘Inter-American Court of Human Rights Orders El Salvador to Reform Policies That Criminalize Women for Accessing Reproductive Health Care’, </w:t>
      </w:r>
      <w:r w:rsidRPr="00665DA0">
        <w:rPr>
          <w:i/>
          <w:iCs/>
        </w:rPr>
        <w:t>Centre for Reproductive Rights</w:t>
      </w:r>
      <w:r>
        <w:t xml:space="preserve">, 30 November 2021, </w:t>
      </w:r>
      <w:hyperlink r:id="rId2" w:history="1">
        <w:r w:rsidR="00665DA0" w:rsidRPr="00F92F69">
          <w:rPr>
            <w:rStyle w:val="Hyperlink"/>
          </w:rPr>
          <w:t>https://reproductiverights.org/inter-american-court-of-human-rights-orders-el-salvador-to-reform-policies-abortion/</w:t>
        </w:r>
      </w:hyperlink>
      <w:r w:rsidR="00665DA0">
        <w:t xml:space="preserve">. </w:t>
      </w:r>
    </w:p>
  </w:footnote>
  <w:footnote w:id="9">
    <w:p w14:paraId="0BF4799A" w14:textId="218320F4" w:rsidR="00EA0581" w:rsidRDefault="00EA0581">
      <w:pPr>
        <w:pStyle w:val="FootnoteText"/>
      </w:pPr>
      <w:r>
        <w:rPr>
          <w:rStyle w:val="FootnoteReference"/>
        </w:rPr>
        <w:footnoteRef/>
      </w:r>
      <w:r>
        <w:t xml:space="preserve"> </w:t>
      </w:r>
      <w:r w:rsidR="00544B03">
        <w:t xml:space="preserve">The Sentencing Project, </w:t>
      </w:r>
      <w:r w:rsidR="0041621D" w:rsidRPr="00544B03">
        <w:rPr>
          <w:i/>
          <w:iCs/>
        </w:rPr>
        <w:t>Incarcerated Women and Girls</w:t>
      </w:r>
      <w:r w:rsidR="0041621D">
        <w:t xml:space="preserve">, May 2022. </w:t>
      </w:r>
    </w:p>
  </w:footnote>
  <w:footnote w:id="10">
    <w:p w14:paraId="2D98AFCF" w14:textId="1141709A" w:rsidR="003F1921" w:rsidRDefault="003F1921" w:rsidP="003F1921">
      <w:pPr>
        <w:pStyle w:val="FootnoteText"/>
      </w:pPr>
      <w:r>
        <w:rPr>
          <w:rStyle w:val="FootnoteReference"/>
        </w:rPr>
        <w:footnoteRef/>
      </w:r>
      <w:r>
        <w:t xml:space="preserve"> Irish Penal Reform Trust and Maynooth University, </w:t>
      </w:r>
      <w:r w:rsidRPr="003F1921">
        <w:rPr>
          <w:i/>
          <w:iCs/>
        </w:rPr>
        <w:t>“Sometimes I’m missing the words”. The rights, needs and experiences of foreign national and minority ethnic groups in the Irish Penal System</w:t>
      </w:r>
      <w:r>
        <w:t>, 2022.</w:t>
      </w:r>
    </w:p>
  </w:footnote>
  <w:footnote w:id="11">
    <w:p w14:paraId="12CB7241" w14:textId="6B7811F4" w:rsidR="00DC3CC6" w:rsidRDefault="00DC3CC6" w:rsidP="00DC3CC6">
      <w:pPr>
        <w:pStyle w:val="FootnoteText"/>
      </w:pPr>
      <w:r>
        <w:rPr>
          <w:rStyle w:val="FootnoteReference"/>
        </w:rPr>
        <w:footnoteRef/>
      </w:r>
      <w:r>
        <w:t xml:space="preserve"> Penal Reform International, </w:t>
      </w:r>
      <w:r w:rsidRPr="00DC3CC6">
        <w:rPr>
          <w:i/>
          <w:iCs/>
        </w:rPr>
        <w:t>Women who kill in the context of domestic violence in Uganda: How does the criminal justice system respond?</w:t>
      </w:r>
      <w:r>
        <w:t>, 2021.</w:t>
      </w:r>
    </w:p>
  </w:footnote>
  <w:footnote w:id="12">
    <w:p w14:paraId="0792CED3" w14:textId="5E1559A8" w:rsidR="00B03F2F" w:rsidRDefault="00B03F2F">
      <w:pPr>
        <w:pStyle w:val="FootnoteText"/>
      </w:pPr>
      <w:r>
        <w:rPr>
          <w:rStyle w:val="FootnoteReference"/>
        </w:rPr>
        <w:footnoteRef/>
      </w:r>
      <w:r>
        <w:t xml:space="preserve"> Penal Reform International, </w:t>
      </w:r>
      <w:r w:rsidRPr="00B03F2F">
        <w:rPr>
          <w:i/>
          <w:iCs/>
        </w:rPr>
        <w:t>Women who kill in response to domestic violence: How do criminal justice systems respond?</w:t>
      </w:r>
      <w:r>
        <w:t xml:space="preserve">, 2016. </w:t>
      </w:r>
    </w:p>
  </w:footnote>
  <w:footnote w:id="13">
    <w:p w14:paraId="35D34B95" w14:textId="39A08F1B" w:rsidR="007C2374" w:rsidRDefault="007C2374">
      <w:pPr>
        <w:pStyle w:val="FootnoteText"/>
      </w:pPr>
      <w:r>
        <w:rPr>
          <w:rStyle w:val="FootnoteReference"/>
        </w:rPr>
        <w:footnoteRef/>
      </w:r>
      <w:r>
        <w:t xml:space="preserve"> See for example in Mozambique: </w:t>
      </w:r>
      <w:hyperlink r:id="rId3" w:history="1">
        <w:r w:rsidRPr="00F92F69">
          <w:rPr>
            <w:rStyle w:val="Hyperlink"/>
          </w:rPr>
          <w:t>https://www.cipmoz.org/wp-content/uploads/2021/06/Sexual-Exploitation-1.pdf</w:t>
        </w:r>
      </w:hyperlink>
      <w:r>
        <w:t xml:space="preserve">; </w:t>
      </w:r>
      <w:hyperlink r:id="rId4" w:history="1">
        <w:r w:rsidR="005E511C" w:rsidRPr="00F92F69">
          <w:rPr>
            <w:rStyle w:val="Hyperlink"/>
          </w:rPr>
          <w:t>https://www.macaubusiness.com/mozambique-ngo-exposes-sexual-exploitation-of-female-inmates-by-maputo-prison-guards/</w:t>
        </w:r>
      </w:hyperlink>
      <w:r w:rsidR="005E511C">
        <w:t xml:space="preserve">. </w:t>
      </w:r>
    </w:p>
  </w:footnote>
  <w:footnote w:id="14">
    <w:p w14:paraId="6D8D0D34" w14:textId="7F151FBB" w:rsidR="005F53BC" w:rsidRDefault="005F53BC" w:rsidP="001201A8">
      <w:pPr>
        <w:pStyle w:val="FootnoteText"/>
      </w:pPr>
      <w:r>
        <w:rPr>
          <w:rStyle w:val="FootnoteReference"/>
        </w:rPr>
        <w:footnoteRef/>
      </w:r>
      <w:r>
        <w:t xml:space="preserve"> </w:t>
      </w:r>
      <w:proofErr w:type="spellStart"/>
      <w:r w:rsidR="001201A8">
        <w:t>AdvocAid</w:t>
      </w:r>
      <w:proofErr w:type="spellEnd"/>
      <w:r w:rsidR="001201A8">
        <w:t xml:space="preserve"> Sierra Leone, </w:t>
      </w:r>
      <w:proofErr w:type="spellStart"/>
      <w:r w:rsidR="001201A8" w:rsidRPr="001201A8">
        <w:rPr>
          <w:i/>
          <w:iCs/>
        </w:rPr>
        <w:t>AdvocAid</w:t>
      </w:r>
      <w:proofErr w:type="spellEnd"/>
      <w:r w:rsidR="001201A8" w:rsidRPr="001201A8">
        <w:rPr>
          <w:i/>
          <w:iCs/>
        </w:rPr>
        <w:t xml:space="preserve"> Condemns Death of Baby in Police Station</w:t>
      </w:r>
      <w:r w:rsidR="001201A8">
        <w:t>, 27 December 2021.</w:t>
      </w:r>
    </w:p>
  </w:footnote>
  <w:footnote w:id="15">
    <w:p w14:paraId="3A906C70" w14:textId="3C20383A" w:rsidR="00613A0E" w:rsidRDefault="00613A0E" w:rsidP="00613A0E">
      <w:pPr>
        <w:pStyle w:val="FootnoteText"/>
      </w:pPr>
      <w:r>
        <w:rPr>
          <w:rStyle w:val="FootnoteReference"/>
        </w:rPr>
        <w:footnoteRef/>
      </w:r>
      <w:r>
        <w:t xml:space="preserve"> Prisons and Probation Ombudsman, </w:t>
      </w:r>
      <w:r w:rsidRPr="00056410">
        <w:rPr>
          <w:i/>
          <w:iCs/>
        </w:rPr>
        <w:t>Baby Death at HMP Styal – PPO Report Highlights Shocking Circumstances of Baby Stillborn In Prison</w:t>
      </w:r>
      <w:r>
        <w:t xml:space="preserve">, 10 January 2022, </w:t>
      </w:r>
      <w:hyperlink r:id="rId5" w:history="1">
        <w:r w:rsidR="00056410" w:rsidRPr="00F92F69">
          <w:rPr>
            <w:rStyle w:val="Hyperlink"/>
          </w:rPr>
          <w:t>https://s3-eu-west-2.amazonaws.com/ppo-prod-storage-1g9rkhjhkjmgw/uploads/2022/01/Baby-B-Styal-Press-Release-Final-11.1.22.pdf</w:t>
        </w:r>
      </w:hyperlink>
      <w:r w:rsidR="00056410">
        <w:t xml:space="preserve">. </w:t>
      </w:r>
    </w:p>
  </w:footnote>
  <w:footnote w:id="16">
    <w:p w14:paraId="4CC03A88" w14:textId="191D1F0A" w:rsidR="00C25924" w:rsidRDefault="00C25924">
      <w:pPr>
        <w:pStyle w:val="FootnoteText"/>
      </w:pPr>
      <w:r>
        <w:rPr>
          <w:rStyle w:val="FootnoteReference"/>
        </w:rPr>
        <w:footnoteRef/>
      </w:r>
      <w:r>
        <w:t xml:space="preserve"> UN Bangkok Rules, Rule 24; UN Nelson Mandela Rules, Rule 48 (2); CAT/C/USA/CO/2, para. 33; A/74/137, para. 22.</w:t>
      </w:r>
    </w:p>
  </w:footnote>
  <w:footnote w:id="17">
    <w:p w14:paraId="20802369" w14:textId="54392A48" w:rsidR="00C25924" w:rsidRDefault="00C25924">
      <w:pPr>
        <w:pStyle w:val="FootnoteText"/>
      </w:pPr>
      <w:r>
        <w:rPr>
          <w:rStyle w:val="FootnoteReference"/>
        </w:rPr>
        <w:footnoteRef/>
      </w:r>
      <w:r>
        <w:t xml:space="preserve"> Martha J. Paynter, </w:t>
      </w:r>
      <w:r w:rsidRPr="00C25924">
        <w:rPr>
          <w:i/>
          <w:iCs/>
        </w:rPr>
        <w:t>Reproductive (In)Justice in Canadian Federal Prisons for Women</w:t>
      </w:r>
      <w:r>
        <w:t>, February 2022, p. 36.</w:t>
      </w:r>
    </w:p>
  </w:footnote>
  <w:footnote w:id="18">
    <w:p w14:paraId="246700C1" w14:textId="49A8C114" w:rsidR="00C77D44" w:rsidRDefault="00C77D44" w:rsidP="006B4D2C">
      <w:pPr>
        <w:pStyle w:val="FootnoteText"/>
      </w:pPr>
      <w:r>
        <w:rPr>
          <w:rStyle w:val="FootnoteReference"/>
        </w:rPr>
        <w:footnoteRef/>
      </w:r>
      <w:r>
        <w:t xml:space="preserve"> </w:t>
      </w:r>
      <w:r w:rsidR="006B4D2C">
        <w:t xml:space="preserve">Sharon Shalev, </w:t>
      </w:r>
      <w:r w:rsidR="006B4D2C" w:rsidRPr="006B4D2C">
        <w:rPr>
          <w:i/>
          <w:iCs/>
        </w:rPr>
        <w:t>First, Do No Harm: Segregation, restraint, and pepper spray use in Women’s prisons in New Zealand</w:t>
      </w:r>
      <w:r w:rsidR="006B4D2C">
        <w:t>, New Zealand Human Rights Commission, November 2021.</w:t>
      </w:r>
    </w:p>
  </w:footnote>
  <w:footnote w:id="19">
    <w:p w14:paraId="46B1A89C" w14:textId="5E39684E" w:rsidR="005D50A3" w:rsidRDefault="005D50A3">
      <w:pPr>
        <w:pStyle w:val="FootnoteText"/>
      </w:pPr>
      <w:r>
        <w:rPr>
          <w:rStyle w:val="FootnoteReference"/>
        </w:rPr>
        <w:footnoteRef/>
      </w:r>
      <w:r>
        <w:t xml:space="preserve"> See, for example, </w:t>
      </w:r>
      <w:r w:rsidR="003329EF">
        <w:t xml:space="preserve">PRI’s interactive map showcasing promising practices towards implementation of the UN Bangkok Rules: </w:t>
      </w:r>
      <w:hyperlink r:id="rId6" w:history="1">
        <w:r w:rsidR="00B85276" w:rsidRPr="00F92F69">
          <w:rPr>
            <w:rStyle w:val="Hyperlink"/>
          </w:rPr>
          <w:t>https://www.penalreform.org/issues/women/bangkok-rules/bangkok-rules-map/</w:t>
        </w:r>
      </w:hyperlink>
      <w:r w:rsidR="00B85276">
        <w:t xml:space="preserve">. </w:t>
      </w:r>
    </w:p>
  </w:footnote>
  <w:footnote w:id="20">
    <w:p w14:paraId="27B0703B" w14:textId="0AB7E1BF" w:rsidR="00EC3844" w:rsidRDefault="00EC3844">
      <w:pPr>
        <w:pStyle w:val="FootnoteText"/>
      </w:pPr>
      <w:r>
        <w:rPr>
          <w:rStyle w:val="FootnoteReference"/>
        </w:rPr>
        <w:footnoteRef/>
      </w:r>
      <w:r>
        <w:t xml:space="preserve"> </w:t>
      </w:r>
      <w:r w:rsidR="004556F4">
        <w:t xml:space="preserve">For more details see </w:t>
      </w:r>
      <w:r w:rsidR="00BA409B">
        <w:t xml:space="preserve">Penal Reform International &amp; International Drug Policy Consortium, </w:t>
      </w:r>
      <w:r w:rsidR="00BA409B" w:rsidRPr="004556F4">
        <w:rPr>
          <w:i/>
          <w:iCs/>
        </w:rPr>
        <w:t>10-point plan: Gender-sensitive drug policies for women</w:t>
      </w:r>
      <w:r w:rsidR="004556F4">
        <w:t xml:space="preserve">, 2021. </w:t>
      </w:r>
    </w:p>
  </w:footnote>
  <w:footnote w:id="21">
    <w:p w14:paraId="1C0E24B3" w14:textId="4DFEA486" w:rsidR="000A6AE4" w:rsidRPr="000A6AE4" w:rsidRDefault="000A6AE4">
      <w:pPr>
        <w:pStyle w:val="FootnoteText"/>
        <w:rPr>
          <w:lang w:val="en-US"/>
        </w:rPr>
      </w:pPr>
      <w:r>
        <w:rPr>
          <w:rStyle w:val="FootnoteReference"/>
        </w:rPr>
        <w:footnoteRef/>
      </w:r>
      <w:r>
        <w:t xml:space="preserve"> </w:t>
      </w:r>
      <w:r w:rsidR="00A133E2">
        <w:t xml:space="preserve">See </w:t>
      </w:r>
      <w:r w:rsidR="00A133E2" w:rsidRPr="00A133E2">
        <w:t xml:space="preserve">10 key principles for gender-sensitive rehabilitation programmes </w:t>
      </w:r>
      <w:r w:rsidR="00A133E2">
        <w:t xml:space="preserve">in: </w:t>
      </w:r>
      <w:r>
        <w:rPr>
          <w:lang w:val="en-US"/>
        </w:rPr>
        <w:t xml:space="preserve">PRI </w:t>
      </w:r>
      <w:r w:rsidR="009C21D2">
        <w:rPr>
          <w:lang w:val="en-US"/>
        </w:rPr>
        <w:t>&amp;</w:t>
      </w:r>
      <w:r>
        <w:rPr>
          <w:lang w:val="en-US"/>
        </w:rPr>
        <w:t xml:space="preserve"> </w:t>
      </w:r>
      <w:r>
        <w:t xml:space="preserve">Thailand Institute of Justice, </w:t>
      </w:r>
      <w:r w:rsidR="007939D3" w:rsidRPr="009C21D2">
        <w:rPr>
          <w:i/>
          <w:iCs/>
        </w:rPr>
        <w:t>The rehabilitation and social reintegration of women prisoners</w:t>
      </w:r>
      <w:r w:rsidR="007939D3">
        <w:t>, 2019, pp.</w:t>
      </w:r>
      <w:r w:rsidR="009C21D2">
        <w:t xml:space="preserve"> </w:t>
      </w:r>
      <w:r w:rsidR="007939D3">
        <w:t xml:space="preserve">48-49, </w:t>
      </w:r>
      <w:hyperlink r:id="rId7" w:history="1">
        <w:r w:rsidR="009C21D2" w:rsidRPr="002549D3">
          <w:rPr>
            <w:rStyle w:val="Hyperlink"/>
          </w:rPr>
          <w:t>https://www.penalreform.org/resource/guide-to-the-rehabilitation-and-social-reintegration-of/</w:t>
        </w:r>
      </w:hyperlink>
      <w:r w:rsidR="009C21D2">
        <w:t xml:space="preserve">. </w:t>
      </w:r>
    </w:p>
  </w:footnote>
  <w:footnote w:id="22">
    <w:p w14:paraId="09A313C0" w14:textId="1DCD3871" w:rsidR="00BC5AC4" w:rsidRDefault="00BC5AC4">
      <w:pPr>
        <w:pStyle w:val="FootnoteText"/>
      </w:pPr>
      <w:r>
        <w:rPr>
          <w:rStyle w:val="FootnoteReference"/>
        </w:rPr>
        <w:footnoteRef/>
      </w:r>
      <w:r>
        <w:t xml:space="preserve"> PRI, </w:t>
      </w:r>
      <w:r w:rsidRPr="00BC5AC4">
        <w:rPr>
          <w:i/>
          <w:iCs/>
        </w:rPr>
        <w:t>Submission to UNODC on reducing reoffending through rehabilitation and reintegration</w:t>
      </w:r>
      <w:r>
        <w:t xml:space="preserve">, </w:t>
      </w:r>
      <w:r w:rsidR="00D278C7">
        <w:t>August</w:t>
      </w:r>
      <w:r>
        <w:t xml:space="preserve"> 2022, </w:t>
      </w:r>
      <w:hyperlink r:id="rId8" w:history="1">
        <w:r w:rsidR="00795A35" w:rsidRPr="00F92F69">
          <w:rPr>
            <w:rStyle w:val="Hyperlink"/>
          </w:rPr>
          <w:t>https://www.penalreform.org/wp-content/uploads/2022/10/PRI-submission-to-UNODC-on-reducing-reoffending_August-2022.pdf</w:t>
        </w:r>
      </w:hyperlink>
      <w:r w:rsidR="00795A35">
        <w:t xml:space="preserve">. </w:t>
      </w:r>
    </w:p>
  </w:footnote>
  <w:footnote w:id="23">
    <w:p w14:paraId="4A4D40FF" w14:textId="77777777" w:rsidR="009D2D17" w:rsidRDefault="009D2D17" w:rsidP="009D2D17">
      <w:pPr>
        <w:pStyle w:val="FootnoteText"/>
      </w:pPr>
      <w:r>
        <w:rPr>
          <w:rStyle w:val="FootnoteReference"/>
        </w:rPr>
        <w:footnoteRef/>
      </w:r>
      <w:r>
        <w:t xml:space="preserve"> Penal Reform International, </w:t>
      </w:r>
      <w:r w:rsidRPr="00044CF2">
        <w:rPr>
          <w:i/>
          <w:iCs/>
        </w:rPr>
        <w:t>Excellence in Training on Rehabilitation in Africa (</w:t>
      </w:r>
      <w:proofErr w:type="spellStart"/>
      <w:r w:rsidRPr="00044CF2">
        <w:rPr>
          <w:i/>
          <w:iCs/>
        </w:rPr>
        <w:t>ExTRA</w:t>
      </w:r>
      <w:proofErr w:type="spellEnd"/>
      <w:r w:rsidRPr="00044CF2">
        <w:rPr>
          <w:i/>
          <w:iCs/>
        </w:rPr>
        <w:t>) Project, Community service as an alternative to imprisonment: Pilot project final evaluation</w:t>
      </w:r>
      <w:r>
        <w: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581C" w14:textId="77777777" w:rsidR="001579BF" w:rsidRDefault="0015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7C87" w14:textId="77777777" w:rsidR="001579BF" w:rsidRDefault="00157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8906" w14:textId="77777777" w:rsidR="00082F29" w:rsidRDefault="00140ABC" w:rsidP="00750FBD">
    <w:pPr>
      <w:pStyle w:val="Header"/>
    </w:pPr>
    <w:r>
      <w:rPr>
        <w:noProof/>
      </w:rPr>
      <mc:AlternateContent>
        <mc:Choice Requires="wps">
          <w:drawing>
            <wp:anchor distT="0" distB="0" distL="114300" distR="114300" simplePos="0" relativeHeight="251658241" behindDoc="1" locked="0" layoutInCell="1" allowOverlap="1" wp14:anchorId="6BDDDE0F" wp14:editId="399CDE29">
              <wp:simplePos x="0" y="0"/>
              <wp:positionH relativeFrom="column">
                <wp:posOffset>-1224430</wp:posOffset>
              </wp:positionH>
              <wp:positionV relativeFrom="paragraph">
                <wp:posOffset>-673415</wp:posOffset>
              </wp:positionV>
              <wp:extent cx="8048625" cy="2793600"/>
              <wp:effectExtent l="0" t="0" r="3175" b="635"/>
              <wp:wrapNone/>
              <wp:docPr id="1" name="Rectangle 1"/>
              <wp:cNvGraphicFramePr/>
              <a:graphic xmlns:a="http://schemas.openxmlformats.org/drawingml/2006/main">
                <a:graphicData uri="http://schemas.microsoft.com/office/word/2010/wordprocessingShape">
                  <wps:wsp>
                    <wps:cNvSpPr/>
                    <wps:spPr>
                      <a:xfrm>
                        <a:off x="0" y="0"/>
                        <a:ext cx="8048625" cy="2793600"/>
                      </a:xfrm>
                      <a:prstGeom prst="rect">
                        <a:avLst/>
                      </a:prstGeom>
                      <a:solidFill>
                        <a:srgbClr val="470A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C5254" id="Rectangle 1" o:spid="_x0000_s1026" style="position:absolute;margin-left:-96.4pt;margin-top:-53pt;width:633.75pt;height:219.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s3hAIAAGAFAAAOAAAAZHJzL2Uyb0RvYy54bWysVE1v2zAMvQ/YfxB0X+1kaZoGdYqgRYcB&#10;RRusHXpWZCkxIIsapcTJfv0o+SNdV+wwLAdFEh8fyWdSV9eH2rC9Ql+BLfjoLOdMWQllZTcF//58&#10;92nGmQ/ClsKAVQU/Ks+vFx8/XDVursawBVMqZERi/bxxBd+G4OZZ5uVW1cKfgVOWjBqwFoGOuMlK&#10;FA2x1yYb5/k0awBLhyCV93R72xr5IvFrrWR41NqrwEzBKbeQVkzrOq7Z4krMNyjctpJdGuIfsqhF&#10;ZSnoQHUrgmA7rP6gqiuJ4EGHMwl1BlpXUqUaqJpR/qaap61wKtVC4ng3yOT/H6182D+5FZIMjfNz&#10;T9tYxUFjHf8pP3ZIYh0HsdQhMEmXs3wym47POZNkG19cfp7mSc7s5O7Qhy8KahY3BUf6Gkkksb/3&#10;gUIStIfEaB5MVd5VxqQDbtY3Btle0JebXOTL6Sx+LHL5DWZsBFuIbq053mSnYtIuHI2KOGO/Kc2q&#10;ktIfp0xSn6khjpBS2TBqTVtRqjb8eU6/PnrszOiRckmEkVlT/IG7I+iRLUnP3WbZ4aOrSm06OOd/&#10;S6x1HjxSZLBhcK4rC/gegaGqusgtvheplSaqtIbyuEKG0A6Jd/Kuou92L3xYCaSpoPmhSQ+PtGgD&#10;TcGh23G2Bfz53n3EU7OSlbOGpqzg/sdOoOLMfLXUxpejySSOZTpMzi/GdMDXlvVri93VN0DtMKI3&#10;xcm0jfhg+q1GqF/oQVjGqGQSVlLsgsuA/eEmtNNPT4pUy2WC0Sg6Ee7tk5ORPKoa+/L58CLQdc0b&#10;qO8foJ9IMX/Twy02elpY7gLoKjX4SddObxrj1DjdkxPfidfnhDo9jItfAAAA//8DAFBLAwQUAAYA&#10;CAAAACEA6Wbn6+QAAAAOAQAADwAAAGRycy9kb3ducmV2LnhtbEyPzU7DMBCE70i8g7VI3Fq7DW1p&#10;iFMhBEhIPZS0HLi58RJH+CeK7Sa8Pc4JbrOa0ew3xW40mlyw962zHBZzBgRt7WRrGw6n48vsHogP&#10;wkqhnUUOP+hhV15fFSKXbrDveKlCQ1KJ9bngoELockp9rdAIP3cd2uR9ud6IkM6+obIXQyo3mi4Z&#10;W1MjWps+KNHhk8L6u4qGQ4xH/ayG/erVH1Yfp3ioPs1bxfntzfj4ACTgGP7CMOEndCgT09lFKz3R&#10;HGaL7TKxh0mxdZo1ZdjmbgPkzCHLsi3QsqD/Z5S/AAAA//8DAFBLAQItABQABgAIAAAAIQC2gziS&#10;/gAAAOEBAAATAAAAAAAAAAAAAAAAAAAAAABbQ29udGVudF9UeXBlc10ueG1sUEsBAi0AFAAGAAgA&#10;AAAhADj9If/WAAAAlAEAAAsAAAAAAAAAAAAAAAAALwEAAF9yZWxzLy5yZWxzUEsBAi0AFAAGAAgA&#10;AAAhAI3dWzeEAgAAYAUAAA4AAAAAAAAAAAAAAAAALgIAAGRycy9lMm9Eb2MueG1sUEsBAi0AFAAG&#10;AAgAAAAhAOlm5+vkAAAADgEAAA8AAAAAAAAAAAAAAAAA3gQAAGRycy9kb3ducmV2LnhtbFBLBQYA&#10;AAAABAAEAPMAAADvBQAAAAA=&#10;" fillcolor="#470a68" stroked="f" strokeweight="1pt"/>
          </w:pict>
        </mc:Fallback>
      </mc:AlternateContent>
    </w:r>
    <w:r w:rsidR="001579BF" w:rsidRPr="001579BF">
      <w:rPr>
        <w:noProof/>
      </w:rPr>
      <w:drawing>
        <wp:anchor distT="0" distB="0" distL="114300" distR="114300" simplePos="0" relativeHeight="251658243" behindDoc="0" locked="1" layoutInCell="1" allowOverlap="1" wp14:anchorId="52039659" wp14:editId="6EABAACC">
          <wp:simplePos x="0" y="0"/>
          <wp:positionH relativeFrom="page">
            <wp:posOffset>540385</wp:posOffset>
          </wp:positionH>
          <wp:positionV relativeFrom="page">
            <wp:posOffset>540385</wp:posOffset>
          </wp:positionV>
          <wp:extent cx="1440000" cy="1440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483E99D9" w14:textId="77777777" w:rsidR="00980892" w:rsidRDefault="00140ABC" w:rsidP="00750FBD">
    <w:pPr>
      <w:pStyle w:val="Header"/>
    </w:pPr>
    <w:r>
      <w:rPr>
        <w:noProof/>
      </w:rPr>
      <w:drawing>
        <wp:anchor distT="0" distB="0" distL="114300" distR="114300" simplePos="0" relativeHeight="251658242" behindDoc="0" locked="0" layoutInCell="1" allowOverlap="1" wp14:anchorId="4AC4457A" wp14:editId="66AA2C6A">
          <wp:simplePos x="0" y="0"/>
          <wp:positionH relativeFrom="margin">
            <wp:posOffset>3559175</wp:posOffset>
          </wp:positionH>
          <wp:positionV relativeFrom="paragraph">
            <wp:posOffset>62865</wp:posOffset>
          </wp:positionV>
          <wp:extent cx="2451100" cy="933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0" cy="9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0FE9D" w14:textId="77777777" w:rsidR="00980892" w:rsidRDefault="002525A7" w:rsidP="00750FBD">
    <w:pPr>
      <w:pStyle w:val="Header"/>
    </w:pPr>
    <w:r>
      <w:rPr>
        <w:noProof/>
      </w:rPr>
      <mc:AlternateContent>
        <mc:Choice Requires="wps">
          <w:drawing>
            <wp:anchor distT="0" distB="0" distL="114300" distR="114300" simplePos="0" relativeHeight="251658240" behindDoc="0" locked="0" layoutInCell="1" allowOverlap="1" wp14:anchorId="2976C935" wp14:editId="4D11C2E8">
              <wp:simplePos x="0" y="0"/>
              <wp:positionH relativeFrom="margin">
                <wp:posOffset>3599852</wp:posOffset>
              </wp:positionH>
              <wp:positionV relativeFrom="page">
                <wp:posOffset>905434</wp:posOffset>
              </wp:positionV>
              <wp:extent cx="2449830" cy="1071880"/>
              <wp:effectExtent l="0" t="0" r="1270" b="7620"/>
              <wp:wrapNone/>
              <wp:docPr id="6" name="Zone de texte 6"/>
              <wp:cNvGraphicFramePr/>
              <a:graphic xmlns:a="http://schemas.openxmlformats.org/drawingml/2006/main">
                <a:graphicData uri="http://schemas.microsoft.com/office/word/2010/wordprocessingShape">
                  <wps:wsp>
                    <wps:cNvSpPr txBox="1"/>
                    <wps:spPr>
                      <a:xfrm>
                        <a:off x="0" y="0"/>
                        <a:ext cx="2449830" cy="1071880"/>
                      </a:xfrm>
                      <a:prstGeom prst="rect">
                        <a:avLst/>
                      </a:prstGeom>
                      <a:noFill/>
                      <a:ln w="6350">
                        <a:noFill/>
                      </a:ln>
                    </wps:spPr>
                    <wps:txbx>
                      <w:txbxContent>
                        <w:p w14:paraId="3D6F1127"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6C935" id="_x0000_t202" coordsize="21600,21600" o:spt="202" path="m,l,21600r21600,l21600,xe">
              <v:stroke joinstyle="miter"/>
              <v:path gradientshapeok="t" o:connecttype="rect"/>
            </v:shapetype>
            <v:shape id="Zone de texte 6" o:spid="_x0000_s1026" type="#_x0000_t202" style="position:absolute;left:0;text-align:left;margin-left:283.45pt;margin-top:71.3pt;width:192.9pt;height:8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j6DgIAAB0EAAAOAAAAZHJzL2Uyb0RvYy54bWysU11v0zAUfUfiP1h+p0m7MUrUdCqbipCm&#10;bVKH9uw6dhPJ8TXXbpPy67l2mhYNnhAvzo3v9znHi9u+Neyg0DdgSz6d5JwpK6Fq7K7k31/WH+ac&#10;+SBsJQxYVfKj8vx2+f7donOFmkENplLIqIj1RedKXofgiizzslat8BNwypJTA7Yi0C/usgpFR9Vb&#10;k83y/CbrACuHIJX3dHs/OPky1ddayfCktVeBmZLTbCGdmM5tPLPlQhQ7FK5u5GkM8Q9TtKKx1PRc&#10;6l4EwfbY/FGqbSSCBx0mEtoMtG6kSjvQNtP8zTabWjiVdiFwvDvD5P9fWfl42LhnZKH/Aj0RGAHp&#10;nC88XcZ9eo1t/NKkjPwE4fEMm+oDk3Q5u77+PL8ilyTfNP80nc8TsNkl3aEPXxW0LBolR+IlwSUO&#10;Dz5QSwodQ2I3C+vGmMSNsawr+c3VxzwlnD2UYSwlXoaNVui3/WmDLVRHWgxh4Nw7uW6o+YPw4Vkg&#10;kUwDk3DDEx3aADWBk8VZDfjzb/cxnrAnL2cdiabk/sdeoOLMfLPESlTYaOBobEfD7ts7IB1O6Uk4&#10;mUxKwGBGUyO0r6TnVexCLmEl9Sp5GM27MEiX3oNUq1UKIh05ER7sxslYOsIXoXzpXwW6E96BqHqE&#10;UU6ieAP7EDsAv9oH0E3iJAI6oHjCmTSYqDq9lyjy3/9T1OVVL38BAAD//wMAUEsDBBQABgAIAAAA&#10;IQBAc4vS4QAAAAsBAAAPAAAAZHJzL2Rvd25yZXYueG1sTI/LTsMwEEX3SPyDNUjsqJPQpjTEqRCP&#10;Ha8WkGDnxEMS4UdkO2n4e4YVLEf36N4z5XY2mk3oQ++sgHSRAEPbONXbVsDry93ZBbAQpVVSO4sC&#10;vjHAtjo+KmWh3MHucNrHllGJDYUU0MU4FJyHpkMjw8INaCn7dN7ISKdvufLyQOVG8yxJcm5kb2mh&#10;kwNed9h87UcjQL8Hf18n8WO6aR/i8xMf327TRyFOT+arS2AR5/gHw68+qUNFTrUbrQpMC1jl+YZQ&#10;CpZZDoyIzSpbA6sFnKfpEnhV8v8/VD8AAAD//wMAUEsBAi0AFAAGAAgAAAAhALaDOJL+AAAA4QEA&#10;ABMAAAAAAAAAAAAAAAAAAAAAAFtDb250ZW50X1R5cGVzXS54bWxQSwECLQAUAAYACAAAACEAOP0h&#10;/9YAAACUAQAACwAAAAAAAAAAAAAAAAAvAQAAX3JlbHMvLnJlbHNQSwECLQAUAAYACAAAACEAb6DY&#10;+g4CAAAdBAAADgAAAAAAAAAAAAAAAAAuAgAAZHJzL2Uyb0RvYy54bWxQSwECLQAUAAYACAAAACEA&#10;QHOL0uEAAAALAQAADwAAAAAAAAAAAAAAAABoBAAAZHJzL2Rvd25yZXYueG1sUEsFBgAAAAAEAAQA&#10;8wAAAHYFAAAAAA==&#10;" filled="f" stroked="f" strokeweight=".5pt">
              <v:textbox inset="0,0,0,0">
                <w:txbxContent>
                  <w:p w14:paraId="3D6F1127" w14:textId="77777777" w:rsidR="00750FBD" w:rsidRPr="00750FBD" w:rsidRDefault="002525A7" w:rsidP="003363CA">
                    <w:pPr>
                      <w:rPr>
                        <w:rFonts w:ascii="Calibri Light" w:hAnsi="Calibri Light" w:cs="Calibri Light"/>
                        <w:color w:val="FFFFFF" w:themeColor="background1"/>
                        <w:sz w:val="16"/>
                        <w:szCs w:val="16"/>
                      </w:rPr>
                    </w:pPr>
                    <w:r w:rsidRPr="00750FBD">
                      <w:rPr>
                        <w:rFonts w:ascii="Calibri Light" w:hAnsi="Calibri Light" w:cs="Calibri Light"/>
                        <w:color w:val="FFFFFF" w:themeColor="background1"/>
                        <w:sz w:val="16"/>
                        <w:szCs w:val="16"/>
                      </w:rPr>
                      <w:t>Amman | Bishkek | Kampala | London | Nur-Sultan | Tbilisi</w:t>
                    </w:r>
                  </w:p>
                </w:txbxContent>
              </v:textbox>
              <w10:wrap anchorx="margin" anchory="page"/>
            </v:shape>
          </w:pict>
        </mc:Fallback>
      </mc:AlternateContent>
    </w:r>
  </w:p>
  <w:p w14:paraId="4F548C46" w14:textId="77777777" w:rsidR="00980892" w:rsidRDefault="00980892" w:rsidP="00750FBD">
    <w:pPr>
      <w:pStyle w:val="Header"/>
    </w:pPr>
  </w:p>
  <w:p w14:paraId="79963EF4" w14:textId="77777777" w:rsidR="00980892" w:rsidRDefault="00980892" w:rsidP="00750FBD">
    <w:pPr>
      <w:pStyle w:val="Header"/>
    </w:pPr>
  </w:p>
  <w:p w14:paraId="13FA1B91" w14:textId="77777777" w:rsidR="00980892" w:rsidRDefault="00980892" w:rsidP="00750FBD">
    <w:pPr>
      <w:pStyle w:val="Header"/>
    </w:pPr>
  </w:p>
  <w:p w14:paraId="7D004624" w14:textId="77777777" w:rsidR="00082F29" w:rsidRDefault="00082F29" w:rsidP="00750FBD">
    <w:pPr>
      <w:pStyle w:val="Header"/>
    </w:pPr>
  </w:p>
  <w:p w14:paraId="0E8FC353" w14:textId="77777777" w:rsidR="00140ABC" w:rsidRDefault="00140ABC" w:rsidP="00750FBD">
    <w:pPr>
      <w:pStyle w:val="Header"/>
    </w:pPr>
  </w:p>
  <w:p w14:paraId="3C44FE86" w14:textId="77777777" w:rsidR="00140ABC" w:rsidRDefault="00140ABC" w:rsidP="00750FBD">
    <w:pPr>
      <w:pStyle w:val="Header"/>
    </w:pPr>
  </w:p>
  <w:p w14:paraId="3DE53D70" w14:textId="77777777" w:rsidR="00140ABC" w:rsidRDefault="00140ABC" w:rsidP="00750FBD">
    <w:pPr>
      <w:pStyle w:val="Header"/>
    </w:pPr>
  </w:p>
  <w:p w14:paraId="1E72B49A" w14:textId="77777777" w:rsidR="00140ABC" w:rsidRDefault="00140ABC" w:rsidP="00750FBD">
    <w:pPr>
      <w:pStyle w:val="Header"/>
    </w:pPr>
  </w:p>
  <w:p w14:paraId="3187334A" w14:textId="77777777" w:rsidR="00140ABC" w:rsidRDefault="00140ABC" w:rsidP="0075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B2C4F"/>
    <w:multiLevelType w:val="hybridMultilevel"/>
    <w:tmpl w:val="0F6C1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D3C09"/>
    <w:multiLevelType w:val="hybridMultilevel"/>
    <w:tmpl w:val="C1707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22E7"/>
    <w:multiLevelType w:val="hybridMultilevel"/>
    <w:tmpl w:val="26C81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06345"/>
    <w:multiLevelType w:val="multilevel"/>
    <w:tmpl w:val="58BE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76334"/>
    <w:multiLevelType w:val="hybridMultilevel"/>
    <w:tmpl w:val="935CCA8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42D91"/>
    <w:multiLevelType w:val="hybridMultilevel"/>
    <w:tmpl w:val="FFFFFFFF"/>
    <w:lvl w:ilvl="0" w:tplc="A8A68FC4">
      <w:start w:val="1"/>
      <w:numFmt w:val="bullet"/>
      <w:lvlText w:val=""/>
      <w:lvlJc w:val="left"/>
      <w:pPr>
        <w:ind w:left="720" w:hanging="360"/>
      </w:pPr>
      <w:rPr>
        <w:rFonts w:ascii="Symbol" w:hAnsi="Symbol" w:hint="default"/>
      </w:rPr>
    </w:lvl>
    <w:lvl w:ilvl="1" w:tplc="F0769796">
      <w:start w:val="1"/>
      <w:numFmt w:val="bullet"/>
      <w:lvlText w:val="o"/>
      <w:lvlJc w:val="left"/>
      <w:pPr>
        <w:ind w:left="1440" w:hanging="360"/>
      </w:pPr>
      <w:rPr>
        <w:rFonts w:ascii="Courier New" w:hAnsi="Courier New" w:hint="default"/>
      </w:rPr>
    </w:lvl>
    <w:lvl w:ilvl="2" w:tplc="FB34A7C6">
      <w:start w:val="1"/>
      <w:numFmt w:val="bullet"/>
      <w:lvlText w:val=""/>
      <w:lvlJc w:val="left"/>
      <w:pPr>
        <w:ind w:left="2160" w:hanging="360"/>
      </w:pPr>
      <w:rPr>
        <w:rFonts w:ascii="Wingdings" w:hAnsi="Wingdings" w:hint="default"/>
      </w:rPr>
    </w:lvl>
    <w:lvl w:ilvl="3" w:tplc="CE2C08CC">
      <w:start w:val="1"/>
      <w:numFmt w:val="bullet"/>
      <w:lvlText w:val=""/>
      <w:lvlJc w:val="left"/>
      <w:pPr>
        <w:ind w:left="2880" w:hanging="360"/>
      </w:pPr>
      <w:rPr>
        <w:rFonts w:ascii="Symbol" w:hAnsi="Symbol" w:hint="default"/>
      </w:rPr>
    </w:lvl>
    <w:lvl w:ilvl="4" w:tplc="FCCA8AA0">
      <w:start w:val="1"/>
      <w:numFmt w:val="bullet"/>
      <w:lvlText w:val="o"/>
      <w:lvlJc w:val="left"/>
      <w:pPr>
        <w:ind w:left="3600" w:hanging="360"/>
      </w:pPr>
      <w:rPr>
        <w:rFonts w:ascii="Courier New" w:hAnsi="Courier New" w:hint="default"/>
      </w:rPr>
    </w:lvl>
    <w:lvl w:ilvl="5" w:tplc="AECA18EA">
      <w:start w:val="1"/>
      <w:numFmt w:val="bullet"/>
      <w:lvlText w:val=""/>
      <w:lvlJc w:val="left"/>
      <w:pPr>
        <w:ind w:left="4320" w:hanging="360"/>
      </w:pPr>
      <w:rPr>
        <w:rFonts w:ascii="Wingdings" w:hAnsi="Wingdings" w:hint="default"/>
      </w:rPr>
    </w:lvl>
    <w:lvl w:ilvl="6" w:tplc="0DF6157C">
      <w:start w:val="1"/>
      <w:numFmt w:val="bullet"/>
      <w:lvlText w:val=""/>
      <w:lvlJc w:val="left"/>
      <w:pPr>
        <w:ind w:left="5040" w:hanging="360"/>
      </w:pPr>
      <w:rPr>
        <w:rFonts w:ascii="Symbol" w:hAnsi="Symbol" w:hint="default"/>
      </w:rPr>
    </w:lvl>
    <w:lvl w:ilvl="7" w:tplc="741018B8">
      <w:start w:val="1"/>
      <w:numFmt w:val="bullet"/>
      <w:lvlText w:val="o"/>
      <w:lvlJc w:val="left"/>
      <w:pPr>
        <w:ind w:left="5760" w:hanging="360"/>
      </w:pPr>
      <w:rPr>
        <w:rFonts w:ascii="Courier New" w:hAnsi="Courier New" w:hint="default"/>
      </w:rPr>
    </w:lvl>
    <w:lvl w:ilvl="8" w:tplc="8EE46CB6">
      <w:start w:val="1"/>
      <w:numFmt w:val="bullet"/>
      <w:lvlText w:val=""/>
      <w:lvlJc w:val="left"/>
      <w:pPr>
        <w:ind w:left="6480" w:hanging="360"/>
      </w:pPr>
      <w:rPr>
        <w:rFonts w:ascii="Wingdings" w:hAnsi="Wingdings" w:hint="default"/>
      </w:rPr>
    </w:lvl>
  </w:abstractNum>
  <w:num w:numId="1" w16cid:durableId="633296760">
    <w:abstractNumId w:val="2"/>
  </w:num>
  <w:num w:numId="2" w16cid:durableId="537550482">
    <w:abstractNumId w:val="0"/>
  </w:num>
  <w:num w:numId="3" w16cid:durableId="1236165395">
    <w:abstractNumId w:val="5"/>
  </w:num>
  <w:num w:numId="4" w16cid:durableId="147942830">
    <w:abstractNumId w:val="3"/>
  </w:num>
  <w:num w:numId="5" w16cid:durableId="817454790">
    <w:abstractNumId w:val="4"/>
  </w:num>
  <w:num w:numId="6" w16cid:durableId="201996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340"/>
  <w:drawingGridVerticalSpacing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96"/>
    <w:rsid w:val="000006D1"/>
    <w:rsid w:val="00007117"/>
    <w:rsid w:val="00011B18"/>
    <w:rsid w:val="00012FAC"/>
    <w:rsid w:val="0001313B"/>
    <w:rsid w:val="00013CCE"/>
    <w:rsid w:val="00014449"/>
    <w:rsid w:val="000145CB"/>
    <w:rsid w:val="00015711"/>
    <w:rsid w:val="00017E67"/>
    <w:rsid w:val="000231D5"/>
    <w:rsid w:val="000232FE"/>
    <w:rsid w:val="000245A2"/>
    <w:rsid w:val="00026371"/>
    <w:rsid w:val="00031A7B"/>
    <w:rsid w:val="0003473D"/>
    <w:rsid w:val="000375F3"/>
    <w:rsid w:val="000404C4"/>
    <w:rsid w:val="00040A74"/>
    <w:rsid w:val="00042B5E"/>
    <w:rsid w:val="0004365A"/>
    <w:rsid w:val="00044CF2"/>
    <w:rsid w:val="000463FE"/>
    <w:rsid w:val="00046ECF"/>
    <w:rsid w:val="00047FE6"/>
    <w:rsid w:val="00053A34"/>
    <w:rsid w:val="00054D53"/>
    <w:rsid w:val="00056410"/>
    <w:rsid w:val="00057FFA"/>
    <w:rsid w:val="000604F8"/>
    <w:rsid w:val="00060E8A"/>
    <w:rsid w:val="00061EE0"/>
    <w:rsid w:val="00062897"/>
    <w:rsid w:val="00063ABE"/>
    <w:rsid w:val="00064C5C"/>
    <w:rsid w:val="00066999"/>
    <w:rsid w:val="000702B0"/>
    <w:rsid w:val="000726B2"/>
    <w:rsid w:val="00073B1D"/>
    <w:rsid w:val="00074D97"/>
    <w:rsid w:val="00082F29"/>
    <w:rsid w:val="00084C28"/>
    <w:rsid w:val="00087F04"/>
    <w:rsid w:val="00090F98"/>
    <w:rsid w:val="00094660"/>
    <w:rsid w:val="00096569"/>
    <w:rsid w:val="0009658B"/>
    <w:rsid w:val="00097064"/>
    <w:rsid w:val="00097A06"/>
    <w:rsid w:val="000A36B0"/>
    <w:rsid w:val="000A44D0"/>
    <w:rsid w:val="000A593B"/>
    <w:rsid w:val="000A6AE4"/>
    <w:rsid w:val="000A76E5"/>
    <w:rsid w:val="000B07AE"/>
    <w:rsid w:val="000B16D2"/>
    <w:rsid w:val="000B16FD"/>
    <w:rsid w:val="000B2E4B"/>
    <w:rsid w:val="000B37B5"/>
    <w:rsid w:val="000B3C7D"/>
    <w:rsid w:val="000C5306"/>
    <w:rsid w:val="000D2F36"/>
    <w:rsid w:val="000D5A03"/>
    <w:rsid w:val="000D684E"/>
    <w:rsid w:val="000D6956"/>
    <w:rsid w:val="000E0EB4"/>
    <w:rsid w:val="000E0FDB"/>
    <w:rsid w:val="000E790F"/>
    <w:rsid w:val="000F2753"/>
    <w:rsid w:val="000F481E"/>
    <w:rsid w:val="000F5796"/>
    <w:rsid w:val="000F60B6"/>
    <w:rsid w:val="00101FDD"/>
    <w:rsid w:val="00104C50"/>
    <w:rsid w:val="00104EB7"/>
    <w:rsid w:val="001058DE"/>
    <w:rsid w:val="00106082"/>
    <w:rsid w:val="00106A8F"/>
    <w:rsid w:val="00110A8D"/>
    <w:rsid w:val="00112CEB"/>
    <w:rsid w:val="00117AD9"/>
    <w:rsid w:val="001201A8"/>
    <w:rsid w:val="001221C1"/>
    <w:rsid w:val="00122C16"/>
    <w:rsid w:val="0013065E"/>
    <w:rsid w:val="00131AC6"/>
    <w:rsid w:val="001336AC"/>
    <w:rsid w:val="00133F39"/>
    <w:rsid w:val="00134493"/>
    <w:rsid w:val="001354D9"/>
    <w:rsid w:val="001358CD"/>
    <w:rsid w:val="001379B2"/>
    <w:rsid w:val="00140833"/>
    <w:rsid w:val="00140881"/>
    <w:rsid w:val="00140ABC"/>
    <w:rsid w:val="00141273"/>
    <w:rsid w:val="001452C9"/>
    <w:rsid w:val="00151716"/>
    <w:rsid w:val="001522D9"/>
    <w:rsid w:val="00152316"/>
    <w:rsid w:val="00153BA2"/>
    <w:rsid w:val="00156502"/>
    <w:rsid w:val="001579BF"/>
    <w:rsid w:val="0016497D"/>
    <w:rsid w:val="001653CF"/>
    <w:rsid w:val="0016741C"/>
    <w:rsid w:val="001704C2"/>
    <w:rsid w:val="00174016"/>
    <w:rsid w:val="00174164"/>
    <w:rsid w:val="00177A65"/>
    <w:rsid w:val="0018100C"/>
    <w:rsid w:val="00181296"/>
    <w:rsid w:val="00181E27"/>
    <w:rsid w:val="001939C5"/>
    <w:rsid w:val="00194613"/>
    <w:rsid w:val="00194E45"/>
    <w:rsid w:val="00196C17"/>
    <w:rsid w:val="00197185"/>
    <w:rsid w:val="001A60FB"/>
    <w:rsid w:val="001B0349"/>
    <w:rsid w:val="001B28F0"/>
    <w:rsid w:val="001B423C"/>
    <w:rsid w:val="001B6D8A"/>
    <w:rsid w:val="001C291D"/>
    <w:rsid w:val="001C7ACF"/>
    <w:rsid w:val="001D0C41"/>
    <w:rsid w:val="001D2AE0"/>
    <w:rsid w:val="001D2EC8"/>
    <w:rsid w:val="001D338E"/>
    <w:rsid w:val="001D7059"/>
    <w:rsid w:val="001E00D2"/>
    <w:rsid w:val="001E06CA"/>
    <w:rsid w:val="001E12A7"/>
    <w:rsid w:val="001E1C72"/>
    <w:rsid w:val="001E569D"/>
    <w:rsid w:val="001F4A49"/>
    <w:rsid w:val="001F7A83"/>
    <w:rsid w:val="001F7EF3"/>
    <w:rsid w:val="00213C8E"/>
    <w:rsid w:val="002142B1"/>
    <w:rsid w:val="0021479C"/>
    <w:rsid w:val="0021554C"/>
    <w:rsid w:val="00216AA4"/>
    <w:rsid w:val="00225A70"/>
    <w:rsid w:val="002273CF"/>
    <w:rsid w:val="00234684"/>
    <w:rsid w:val="00240031"/>
    <w:rsid w:val="002412E2"/>
    <w:rsid w:val="00242C49"/>
    <w:rsid w:val="002431BE"/>
    <w:rsid w:val="00245A00"/>
    <w:rsid w:val="00246865"/>
    <w:rsid w:val="00246A14"/>
    <w:rsid w:val="00250BD8"/>
    <w:rsid w:val="002525A7"/>
    <w:rsid w:val="0025287B"/>
    <w:rsid w:val="00267EFC"/>
    <w:rsid w:val="0027012F"/>
    <w:rsid w:val="00270721"/>
    <w:rsid w:val="00276A88"/>
    <w:rsid w:val="002840A7"/>
    <w:rsid w:val="00284864"/>
    <w:rsid w:val="00284933"/>
    <w:rsid w:val="002851A0"/>
    <w:rsid w:val="002873E9"/>
    <w:rsid w:val="00287BEE"/>
    <w:rsid w:val="002956C2"/>
    <w:rsid w:val="002A1FB7"/>
    <w:rsid w:val="002A4467"/>
    <w:rsid w:val="002A7B9D"/>
    <w:rsid w:val="002A7FE1"/>
    <w:rsid w:val="002B0730"/>
    <w:rsid w:val="002B0877"/>
    <w:rsid w:val="002B1FBC"/>
    <w:rsid w:val="002B5635"/>
    <w:rsid w:val="002B62E6"/>
    <w:rsid w:val="002B651D"/>
    <w:rsid w:val="002B729D"/>
    <w:rsid w:val="002B791F"/>
    <w:rsid w:val="002C317A"/>
    <w:rsid w:val="002C5198"/>
    <w:rsid w:val="002C67BC"/>
    <w:rsid w:val="002D4735"/>
    <w:rsid w:val="002D5CEB"/>
    <w:rsid w:val="002D6316"/>
    <w:rsid w:val="002D74DD"/>
    <w:rsid w:val="002E08AF"/>
    <w:rsid w:val="002E3D8E"/>
    <w:rsid w:val="002E498B"/>
    <w:rsid w:val="002F0B93"/>
    <w:rsid w:val="002F0C82"/>
    <w:rsid w:val="002F0F2A"/>
    <w:rsid w:val="002F1795"/>
    <w:rsid w:val="002F397C"/>
    <w:rsid w:val="00300820"/>
    <w:rsid w:val="00301786"/>
    <w:rsid w:val="00301E84"/>
    <w:rsid w:val="00310801"/>
    <w:rsid w:val="003156E4"/>
    <w:rsid w:val="00315F69"/>
    <w:rsid w:val="0031700C"/>
    <w:rsid w:val="0031797B"/>
    <w:rsid w:val="0032123E"/>
    <w:rsid w:val="003218F2"/>
    <w:rsid w:val="00321AFB"/>
    <w:rsid w:val="00322C55"/>
    <w:rsid w:val="0033249E"/>
    <w:rsid w:val="003329EF"/>
    <w:rsid w:val="00334CCF"/>
    <w:rsid w:val="0033506C"/>
    <w:rsid w:val="003363CA"/>
    <w:rsid w:val="0033745C"/>
    <w:rsid w:val="0033798F"/>
    <w:rsid w:val="00340CD5"/>
    <w:rsid w:val="00341209"/>
    <w:rsid w:val="00342FFB"/>
    <w:rsid w:val="00343431"/>
    <w:rsid w:val="00343652"/>
    <w:rsid w:val="00343F3D"/>
    <w:rsid w:val="00347504"/>
    <w:rsid w:val="0035508A"/>
    <w:rsid w:val="00355783"/>
    <w:rsid w:val="003612F1"/>
    <w:rsid w:val="00366B11"/>
    <w:rsid w:val="00375384"/>
    <w:rsid w:val="00382CB1"/>
    <w:rsid w:val="0038414E"/>
    <w:rsid w:val="003871C3"/>
    <w:rsid w:val="0039570E"/>
    <w:rsid w:val="00395C23"/>
    <w:rsid w:val="00395D5E"/>
    <w:rsid w:val="003A041F"/>
    <w:rsid w:val="003A10A1"/>
    <w:rsid w:val="003A4A3F"/>
    <w:rsid w:val="003A58A0"/>
    <w:rsid w:val="003A6109"/>
    <w:rsid w:val="003A738C"/>
    <w:rsid w:val="003A7FB7"/>
    <w:rsid w:val="003B08A1"/>
    <w:rsid w:val="003B767F"/>
    <w:rsid w:val="003C1269"/>
    <w:rsid w:val="003C2A32"/>
    <w:rsid w:val="003C3EAD"/>
    <w:rsid w:val="003D005F"/>
    <w:rsid w:val="003D0992"/>
    <w:rsid w:val="003D2AED"/>
    <w:rsid w:val="003E01A2"/>
    <w:rsid w:val="003E020E"/>
    <w:rsid w:val="003E383F"/>
    <w:rsid w:val="003E427A"/>
    <w:rsid w:val="003E466C"/>
    <w:rsid w:val="003F1921"/>
    <w:rsid w:val="003F1DD6"/>
    <w:rsid w:val="003F5072"/>
    <w:rsid w:val="00401401"/>
    <w:rsid w:val="0040232B"/>
    <w:rsid w:val="0041032D"/>
    <w:rsid w:val="0041111A"/>
    <w:rsid w:val="00411B96"/>
    <w:rsid w:val="0041621D"/>
    <w:rsid w:val="00416C20"/>
    <w:rsid w:val="004205E3"/>
    <w:rsid w:val="00424034"/>
    <w:rsid w:val="00424761"/>
    <w:rsid w:val="0043052A"/>
    <w:rsid w:val="0043069A"/>
    <w:rsid w:val="00432B0B"/>
    <w:rsid w:val="004349E0"/>
    <w:rsid w:val="0044543F"/>
    <w:rsid w:val="00445B31"/>
    <w:rsid w:val="00453A25"/>
    <w:rsid w:val="004556F4"/>
    <w:rsid w:val="00457860"/>
    <w:rsid w:val="0045791E"/>
    <w:rsid w:val="00460D5E"/>
    <w:rsid w:val="00461C12"/>
    <w:rsid w:val="00462137"/>
    <w:rsid w:val="00463C7A"/>
    <w:rsid w:val="004643DF"/>
    <w:rsid w:val="004645DD"/>
    <w:rsid w:val="00465D65"/>
    <w:rsid w:val="00471512"/>
    <w:rsid w:val="004776DB"/>
    <w:rsid w:val="00481049"/>
    <w:rsid w:val="00481625"/>
    <w:rsid w:val="00486D8A"/>
    <w:rsid w:val="00490BE2"/>
    <w:rsid w:val="00492C02"/>
    <w:rsid w:val="00493D0C"/>
    <w:rsid w:val="004A0537"/>
    <w:rsid w:val="004A2CB3"/>
    <w:rsid w:val="004A2EEB"/>
    <w:rsid w:val="004A5EF8"/>
    <w:rsid w:val="004A6E1B"/>
    <w:rsid w:val="004A743E"/>
    <w:rsid w:val="004B0299"/>
    <w:rsid w:val="004B0381"/>
    <w:rsid w:val="004B26DD"/>
    <w:rsid w:val="004B4058"/>
    <w:rsid w:val="004B68F3"/>
    <w:rsid w:val="004C0B03"/>
    <w:rsid w:val="004C1028"/>
    <w:rsid w:val="004D3695"/>
    <w:rsid w:val="004D6AF2"/>
    <w:rsid w:val="004D70E4"/>
    <w:rsid w:val="004E4154"/>
    <w:rsid w:val="004E4A0B"/>
    <w:rsid w:val="004E5498"/>
    <w:rsid w:val="004E6239"/>
    <w:rsid w:val="004E667E"/>
    <w:rsid w:val="004F1C2D"/>
    <w:rsid w:val="004F22B9"/>
    <w:rsid w:val="005016CA"/>
    <w:rsid w:val="00501CC6"/>
    <w:rsid w:val="00502A34"/>
    <w:rsid w:val="005034E3"/>
    <w:rsid w:val="00505A0D"/>
    <w:rsid w:val="00507A57"/>
    <w:rsid w:val="005129B5"/>
    <w:rsid w:val="00513C79"/>
    <w:rsid w:val="005153C4"/>
    <w:rsid w:val="00515EC6"/>
    <w:rsid w:val="00520FB0"/>
    <w:rsid w:val="00522BB5"/>
    <w:rsid w:val="005253C7"/>
    <w:rsid w:val="00525D8B"/>
    <w:rsid w:val="00527E0F"/>
    <w:rsid w:val="00537E1D"/>
    <w:rsid w:val="00542718"/>
    <w:rsid w:val="00544B03"/>
    <w:rsid w:val="00546A2B"/>
    <w:rsid w:val="00554B3C"/>
    <w:rsid w:val="00563D1E"/>
    <w:rsid w:val="00565196"/>
    <w:rsid w:val="005726DC"/>
    <w:rsid w:val="00573893"/>
    <w:rsid w:val="00575687"/>
    <w:rsid w:val="00576D6F"/>
    <w:rsid w:val="00582072"/>
    <w:rsid w:val="00583100"/>
    <w:rsid w:val="0058381F"/>
    <w:rsid w:val="00591102"/>
    <w:rsid w:val="00591AA8"/>
    <w:rsid w:val="0059339F"/>
    <w:rsid w:val="0059382B"/>
    <w:rsid w:val="00597F44"/>
    <w:rsid w:val="005A24F6"/>
    <w:rsid w:val="005A4096"/>
    <w:rsid w:val="005A4698"/>
    <w:rsid w:val="005A6591"/>
    <w:rsid w:val="005B0633"/>
    <w:rsid w:val="005B1AA6"/>
    <w:rsid w:val="005B1C00"/>
    <w:rsid w:val="005B3FAB"/>
    <w:rsid w:val="005B51A6"/>
    <w:rsid w:val="005B585C"/>
    <w:rsid w:val="005C05F3"/>
    <w:rsid w:val="005C072D"/>
    <w:rsid w:val="005C27BE"/>
    <w:rsid w:val="005D3D6A"/>
    <w:rsid w:val="005D3E3A"/>
    <w:rsid w:val="005D4C9B"/>
    <w:rsid w:val="005D50A3"/>
    <w:rsid w:val="005D5DF8"/>
    <w:rsid w:val="005E0633"/>
    <w:rsid w:val="005E4233"/>
    <w:rsid w:val="005E511C"/>
    <w:rsid w:val="005E559D"/>
    <w:rsid w:val="005E6791"/>
    <w:rsid w:val="005F3696"/>
    <w:rsid w:val="005F39F9"/>
    <w:rsid w:val="005F53BC"/>
    <w:rsid w:val="005F547A"/>
    <w:rsid w:val="005F79E1"/>
    <w:rsid w:val="006014C9"/>
    <w:rsid w:val="00603865"/>
    <w:rsid w:val="00604857"/>
    <w:rsid w:val="00604C12"/>
    <w:rsid w:val="006103D9"/>
    <w:rsid w:val="0061287F"/>
    <w:rsid w:val="00613908"/>
    <w:rsid w:val="00613A0E"/>
    <w:rsid w:val="00617A95"/>
    <w:rsid w:val="00621411"/>
    <w:rsid w:val="00622CA8"/>
    <w:rsid w:val="00624FA5"/>
    <w:rsid w:val="00627750"/>
    <w:rsid w:val="00627868"/>
    <w:rsid w:val="00630776"/>
    <w:rsid w:val="00631841"/>
    <w:rsid w:val="00633128"/>
    <w:rsid w:val="006348E2"/>
    <w:rsid w:val="0064025E"/>
    <w:rsid w:val="006414E9"/>
    <w:rsid w:val="00642F26"/>
    <w:rsid w:val="00643DC5"/>
    <w:rsid w:val="00644733"/>
    <w:rsid w:val="006464AC"/>
    <w:rsid w:val="00646899"/>
    <w:rsid w:val="00647AD4"/>
    <w:rsid w:val="00651417"/>
    <w:rsid w:val="0065277D"/>
    <w:rsid w:val="006542F1"/>
    <w:rsid w:val="0065486C"/>
    <w:rsid w:val="0065487C"/>
    <w:rsid w:val="00655BD1"/>
    <w:rsid w:val="0065772A"/>
    <w:rsid w:val="00661A63"/>
    <w:rsid w:val="00662D7E"/>
    <w:rsid w:val="00664F38"/>
    <w:rsid w:val="0066524A"/>
    <w:rsid w:val="00665DA0"/>
    <w:rsid w:val="00671932"/>
    <w:rsid w:val="0067476E"/>
    <w:rsid w:val="00674FCD"/>
    <w:rsid w:val="00675FD5"/>
    <w:rsid w:val="00684057"/>
    <w:rsid w:val="00684FC4"/>
    <w:rsid w:val="00692868"/>
    <w:rsid w:val="006930B7"/>
    <w:rsid w:val="00695C57"/>
    <w:rsid w:val="006A1523"/>
    <w:rsid w:val="006A29B1"/>
    <w:rsid w:val="006A3358"/>
    <w:rsid w:val="006A438B"/>
    <w:rsid w:val="006B0C16"/>
    <w:rsid w:val="006B3A9D"/>
    <w:rsid w:val="006B4D2C"/>
    <w:rsid w:val="006B5E3F"/>
    <w:rsid w:val="006B64CF"/>
    <w:rsid w:val="006C5821"/>
    <w:rsid w:val="006C7B6E"/>
    <w:rsid w:val="006D1A55"/>
    <w:rsid w:val="006D54EA"/>
    <w:rsid w:val="006E1604"/>
    <w:rsid w:val="006E2A57"/>
    <w:rsid w:val="006E2D49"/>
    <w:rsid w:val="006E5908"/>
    <w:rsid w:val="006E6188"/>
    <w:rsid w:val="006E66EA"/>
    <w:rsid w:val="006F0690"/>
    <w:rsid w:val="006F200F"/>
    <w:rsid w:val="00712853"/>
    <w:rsid w:val="007129C1"/>
    <w:rsid w:val="007129DC"/>
    <w:rsid w:val="007129F1"/>
    <w:rsid w:val="00717DE2"/>
    <w:rsid w:val="00720F6F"/>
    <w:rsid w:val="00725C13"/>
    <w:rsid w:val="00726C49"/>
    <w:rsid w:val="0073487B"/>
    <w:rsid w:val="0073635A"/>
    <w:rsid w:val="00742563"/>
    <w:rsid w:val="00742C4D"/>
    <w:rsid w:val="00745680"/>
    <w:rsid w:val="0074570B"/>
    <w:rsid w:val="00747153"/>
    <w:rsid w:val="00750FBD"/>
    <w:rsid w:val="00751169"/>
    <w:rsid w:val="007534D4"/>
    <w:rsid w:val="00753DF3"/>
    <w:rsid w:val="00754F27"/>
    <w:rsid w:val="00762B6B"/>
    <w:rsid w:val="00771244"/>
    <w:rsid w:val="00772B70"/>
    <w:rsid w:val="007801BA"/>
    <w:rsid w:val="00786FFE"/>
    <w:rsid w:val="00787DF4"/>
    <w:rsid w:val="007939D3"/>
    <w:rsid w:val="00793E3B"/>
    <w:rsid w:val="00795763"/>
    <w:rsid w:val="00795A35"/>
    <w:rsid w:val="0079627B"/>
    <w:rsid w:val="0079794F"/>
    <w:rsid w:val="00797D82"/>
    <w:rsid w:val="007A3742"/>
    <w:rsid w:val="007A6CC1"/>
    <w:rsid w:val="007B43DC"/>
    <w:rsid w:val="007B52C2"/>
    <w:rsid w:val="007B5778"/>
    <w:rsid w:val="007B5C9D"/>
    <w:rsid w:val="007B64C0"/>
    <w:rsid w:val="007B6ABD"/>
    <w:rsid w:val="007C1E30"/>
    <w:rsid w:val="007C2374"/>
    <w:rsid w:val="007D027E"/>
    <w:rsid w:val="007D3378"/>
    <w:rsid w:val="007E06E4"/>
    <w:rsid w:val="007E0FA1"/>
    <w:rsid w:val="007E1DEA"/>
    <w:rsid w:val="007E3AE3"/>
    <w:rsid w:val="007E4BB3"/>
    <w:rsid w:val="007E7F2C"/>
    <w:rsid w:val="007F2006"/>
    <w:rsid w:val="007F2246"/>
    <w:rsid w:val="007F3CC5"/>
    <w:rsid w:val="007F611C"/>
    <w:rsid w:val="007F65C1"/>
    <w:rsid w:val="007F702D"/>
    <w:rsid w:val="00800710"/>
    <w:rsid w:val="00804687"/>
    <w:rsid w:val="00810DF3"/>
    <w:rsid w:val="00811556"/>
    <w:rsid w:val="00811D1A"/>
    <w:rsid w:val="00813064"/>
    <w:rsid w:val="008141B1"/>
    <w:rsid w:val="008146D7"/>
    <w:rsid w:val="00816F51"/>
    <w:rsid w:val="008207BE"/>
    <w:rsid w:val="00825E89"/>
    <w:rsid w:val="00832680"/>
    <w:rsid w:val="00836D2C"/>
    <w:rsid w:val="00836E11"/>
    <w:rsid w:val="0084337C"/>
    <w:rsid w:val="00845825"/>
    <w:rsid w:val="008460CF"/>
    <w:rsid w:val="0085280A"/>
    <w:rsid w:val="008529D2"/>
    <w:rsid w:val="00853419"/>
    <w:rsid w:val="00855716"/>
    <w:rsid w:val="008572C2"/>
    <w:rsid w:val="0085765F"/>
    <w:rsid w:val="00860E51"/>
    <w:rsid w:val="00861A03"/>
    <w:rsid w:val="00863197"/>
    <w:rsid w:val="008639B8"/>
    <w:rsid w:val="008642DD"/>
    <w:rsid w:val="00866749"/>
    <w:rsid w:val="00873E07"/>
    <w:rsid w:val="00875872"/>
    <w:rsid w:val="00883B52"/>
    <w:rsid w:val="00884E6B"/>
    <w:rsid w:val="00887246"/>
    <w:rsid w:val="00891A97"/>
    <w:rsid w:val="008947D4"/>
    <w:rsid w:val="008A12CC"/>
    <w:rsid w:val="008A2A25"/>
    <w:rsid w:val="008A419D"/>
    <w:rsid w:val="008A6D78"/>
    <w:rsid w:val="008B7902"/>
    <w:rsid w:val="008C16FC"/>
    <w:rsid w:val="008C50BC"/>
    <w:rsid w:val="008C5845"/>
    <w:rsid w:val="008C66BC"/>
    <w:rsid w:val="008C775B"/>
    <w:rsid w:val="008D04BE"/>
    <w:rsid w:val="008D27D1"/>
    <w:rsid w:val="008D6FC0"/>
    <w:rsid w:val="008E5B26"/>
    <w:rsid w:val="008E61DF"/>
    <w:rsid w:val="008F3BF7"/>
    <w:rsid w:val="008F4A2A"/>
    <w:rsid w:val="00903174"/>
    <w:rsid w:val="00904812"/>
    <w:rsid w:val="00905158"/>
    <w:rsid w:val="00906A59"/>
    <w:rsid w:val="00912A6D"/>
    <w:rsid w:val="00913BE5"/>
    <w:rsid w:val="00915426"/>
    <w:rsid w:val="009163F7"/>
    <w:rsid w:val="00916660"/>
    <w:rsid w:val="009203F3"/>
    <w:rsid w:val="00921544"/>
    <w:rsid w:val="009222FC"/>
    <w:rsid w:val="009228DA"/>
    <w:rsid w:val="00922B0F"/>
    <w:rsid w:val="00926C93"/>
    <w:rsid w:val="00927ACC"/>
    <w:rsid w:val="00927EB2"/>
    <w:rsid w:val="00936E71"/>
    <w:rsid w:val="0094280C"/>
    <w:rsid w:val="00942C26"/>
    <w:rsid w:val="009449D2"/>
    <w:rsid w:val="00945121"/>
    <w:rsid w:val="00945803"/>
    <w:rsid w:val="0094678F"/>
    <w:rsid w:val="0095050D"/>
    <w:rsid w:val="00952F7B"/>
    <w:rsid w:val="009560B7"/>
    <w:rsid w:val="00956661"/>
    <w:rsid w:val="0095699D"/>
    <w:rsid w:val="00957292"/>
    <w:rsid w:val="00957DEA"/>
    <w:rsid w:val="009671CC"/>
    <w:rsid w:val="009723A4"/>
    <w:rsid w:val="00972D41"/>
    <w:rsid w:val="00973A27"/>
    <w:rsid w:val="0097557E"/>
    <w:rsid w:val="00980892"/>
    <w:rsid w:val="00980E02"/>
    <w:rsid w:val="00982304"/>
    <w:rsid w:val="009847E1"/>
    <w:rsid w:val="0098484F"/>
    <w:rsid w:val="00987BFD"/>
    <w:rsid w:val="00987D86"/>
    <w:rsid w:val="00990C4F"/>
    <w:rsid w:val="00991192"/>
    <w:rsid w:val="00993E34"/>
    <w:rsid w:val="009940CC"/>
    <w:rsid w:val="00997560"/>
    <w:rsid w:val="009A03B5"/>
    <w:rsid w:val="009A06B3"/>
    <w:rsid w:val="009A085B"/>
    <w:rsid w:val="009A13E6"/>
    <w:rsid w:val="009A1842"/>
    <w:rsid w:val="009A4238"/>
    <w:rsid w:val="009A4294"/>
    <w:rsid w:val="009A6235"/>
    <w:rsid w:val="009B0BB1"/>
    <w:rsid w:val="009B11DF"/>
    <w:rsid w:val="009B2F33"/>
    <w:rsid w:val="009B4F95"/>
    <w:rsid w:val="009B5121"/>
    <w:rsid w:val="009B5297"/>
    <w:rsid w:val="009B59B6"/>
    <w:rsid w:val="009C21D2"/>
    <w:rsid w:val="009D2D17"/>
    <w:rsid w:val="009D529C"/>
    <w:rsid w:val="009D5584"/>
    <w:rsid w:val="009D6FA2"/>
    <w:rsid w:val="009D788D"/>
    <w:rsid w:val="009E274C"/>
    <w:rsid w:val="009E5E41"/>
    <w:rsid w:val="009F37C2"/>
    <w:rsid w:val="009F6A7F"/>
    <w:rsid w:val="009F6B3B"/>
    <w:rsid w:val="009F7CBE"/>
    <w:rsid w:val="00A01CB4"/>
    <w:rsid w:val="00A022ED"/>
    <w:rsid w:val="00A03C78"/>
    <w:rsid w:val="00A0509F"/>
    <w:rsid w:val="00A051D3"/>
    <w:rsid w:val="00A06406"/>
    <w:rsid w:val="00A06934"/>
    <w:rsid w:val="00A109E6"/>
    <w:rsid w:val="00A133E2"/>
    <w:rsid w:val="00A15112"/>
    <w:rsid w:val="00A1587B"/>
    <w:rsid w:val="00A17F1F"/>
    <w:rsid w:val="00A3344E"/>
    <w:rsid w:val="00A34152"/>
    <w:rsid w:val="00A355BC"/>
    <w:rsid w:val="00A359D5"/>
    <w:rsid w:val="00A46E44"/>
    <w:rsid w:val="00A50431"/>
    <w:rsid w:val="00A53F11"/>
    <w:rsid w:val="00A54E3A"/>
    <w:rsid w:val="00A566BB"/>
    <w:rsid w:val="00A57999"/>
    <w:rsid w:val="00A6146E"/>
    <w:rsid w:val="00A65A3C"/>
    <w:rsid w:val="00A65DC6"/>
    <w:rsid w:val="00A65E09"/>
    <w:rsid w:val="00A6794F"/>
    <w:rsid w:val="00A73D7D"/>
    <w:rsid w:val="00A73DE0"/>
    <w:rsid w:val="00A75C1D"/>
    <w:rsid w:val="00A77ADE"/>
    <w:rsid w:val="00A84AF3"/>
    <w:rsid w:val="00A929B5"/>
    <w:rsid w:val="00A92DDC"/>
    <w:rsid w:val="00A936C2"/>
    <w:rsid w:val="00A94340"/>
    <w:rsid w:val="00A94DBC"/>
    <w:rsid w:val="00A96FC9"/>
    <w:rsid w:val="00AA09F2"/>
    <w:rsid w:val="00AA0F1C"/>
    <w:rsid w:val="00AA1225"/>
    <w:rsid w:val="00AA19C8"/>
    <w:rsid w:val="00AA2B44"/>
    <w:rsid w:val="00AA4B4B"/>
    <w:rsid w:val="00AB1748"/>
    <w:rsid w:val="00AB3EE5"/>
    <w:rsid w:val="00AB4019"/>
    <w:rsid w:val="00AB4601"/>
    <w:rsid w:val="00AB79FA"/>
    <w:rsid w:val="00AB7CBC"/>
    <w:rsid w:val="00AC1328"/>
    <w:rsid w:val="00AC2028"/>
    <w:rsid w:val="00AC2977"/>
    <w:rsid w:val="00AC6F11"/>
    <w:rsid w:val="00AD383B"/>
    <w:rsid w:val="00AD40AB"/>
    <w:rsid w:val="00AD5202"/>
    <w:rsid w:val="00AD6216"/>
    <w:rsid w:val="00AE1428"/>
    <w:rsid w:val="00AF1D3C"/>
    <w:rsid w:val="00AF684D"/>
    <w:rsid w:val="00AF7B07"/>
    <w:rsid w:val="00AF7BD0"/>
    <w:rsid w:val="00B02339"/>
    <w:rsid w:val="00B031D3"/>
    <w:rsid w:val="00B03F2F"/>
    <w:rsid w:val="00B04728"/>
    <w:rsid w:val="00B04B12"/>
    <w:rsid w:val="00B05083"/>
    <w:rsid w:val="00B057A3"/>
    <w:rsid w:val="00B07691"/>
    <w:rsid w:val="00B076B8"/>
    <w:rsid w:val="00B07E95"/>
    <w:rsid w:val="00B126DF"/>
    <w:rsid w:val="00B1566A"/>
    <w:rsid w:val="00B15A5E"/>
    <w:rsid w:val="00B15F26"/>
    <w:rsid w:val="00B16B8D"/>
    <w:rsid w:val="00B21960"/>
    <w:rsid w:val="00B3161E"/>
    <w:rsid w:val="00B31C34"/>
    <w:rsid w:val="00B33D1C"/>
    <w:rsid w:val="00B34701"/>
    <w:rsid w:val="00B365E2"/>
    <w:rsid w:val="00B40674"/>
    <w:rsid w:val="00B40760"/>
    <w:rsid w:val="00B43466"/>
    <w:rsid w:val="00B4481F"/>
    <w:rsid w:val="00B44CFE"/>
    <w:rsid w:val="00B45020"/>
    <w:rsid w:val="00B5042A"/>
    <w:rsid w:val="00B50D86"/>
    <w:rsid w:val="00B54BF5"/>
    <w:rsid w:val="00B6517C"/>
    <w:rsid w:val="00B655BD"/>
    <w:rsid w:val="00B71FA4"/>
    <w:rsid w:val="00B725F1"/>
    <w:rsid w:val="00B74C17"/>
    <w:rsid w:val="00B74EB7"/>
    <w:rsid w:val="00B7665A"/>
    <w:rsid w:val="00B77465"/>
    <w:rsid w:val="00B80214"/>
    <w:rsid w:val="00B81B95"/>
    <w:rsid w:val="00B82DF5"/>
    <w:rsid w:val="00B85276"/>
    <w:rsid w:val="00B85ED5"/>
    <w:rsid w:val="00B8746E"/>
    <w:rsid w:val="00B90BC8"/>
    <w:rsid w:val="00B95046"/>
    <w:rsid w:val="00BA409B"/>
    <w:rsid w:val="00BA455D"/>
    <w:rsid w:val="00BA676A"/>
    <w:rsid w:val="00BA7958"/>
    <w:rsid w:val="00BC229B"/>
    <w:rsid w:val="00BC3599"/>
    <w:rsid w:val="00BC40D1"/>
    <w:rsid w:val="00BC53CB"/>
    <w:rsid w:val="00BC569A"/>
    <w:rsid w:val="00BC5AC4"/>
    <w:rsid w:val="00BC5D64"/>
    <w:rsid w:val="00BC6270"/>
    <w:rsid w:val="00BC69D6"/>
    <w:rsid w:val="00BD223C"/>
    <w:rsid w:val="00BD259F"/>
    <w:rsid w:val="00BD476D"/>
    <w:rsid w:val="00BD6337"/>
    <w:rsid w:val="00BD784C"/>
    <w:rsid w:val="00BE0B3B"/>
    <w:rsid w:val="00BE14CE"/>
    <w:rsid w:val="00BF0123"/>
    <w:rsid w:val="00BF15D0"/>
    <w:rsid w:val="00BF1FDE"/>
    <w:rsid w:val="00BF3E64"/>
    <w:rsid w:val="00BF4CEE"/>
    <w:rsid w:val="00BF5B40"/>
    <w:rsid w:val="00BF5E81"/>
    <w:rsid w:val="00C011BB"/>
    <w:rsid w:val="00C023DF"/>
    <w:rsid w:val="00C04D31"/>
    <w:rsid w:val="00C06824"/>
    <w:rsid w:val="00C07D15"/>
    <w:rsid w:val="00C11A6B"/>
    <w:rsid w:val="00C14D7C"/>
    <w:rsid w:val="00C15E43"/>
    <w:rsid w:val="00C17389"/>
    <w:rsid w:val="00C226DB"/>
    <w:rsid w:val="00C25924"/>
    <w:rsid w:val="00C275EF"/>
    <w:rsid w:val="00C33368"/>
    <w:rsid w:val="00C36928"/>
    <w:rsid w:val="00C37367"/>
    <w:rsid w:val="00C40868"/>
    <w:rsid w:val="00C40D1A"/>
    <w:rsid w:val="00C4430D"/>
    <w:rsid w:val="00C443C2"/>
    <w:rsid w:val="00C44A98"/>
    <w:rsid w:val="00C452B8"/>
    <w:rsid w:val="00C4561C"/>
    <w:rsid w:val="00C4716E"/>
    <w:rsid w:val="00C519D4"/>
    <w:rsid w:val="00C5369E"/>
    <w:rsid w:val="00C53EBC"/>
    <w:rsid w:val="00C6202E"/>
    <w:rsid w:val="00C626B5"/>
    <w:rsid w:val="00C637BC"/>
    <w:rsid w:val="00C65BD9"/>
    <w:rsid w:val="00C66AF5"/>
    <w:rsid w:val="00C70FD4"/>
    <w:rsid w:val="00C7109E"/>
    <w:rsid w:val="00C75788"/>
    <w:rsid w:val="00C76246"/>
    <w:rsid w:val="00C77232"/>
    <w:rsid w:val="00C77D44"/>
    <w:rsid w:val="00C8156E"/>
    <w:rsid w:val="00C90F82"/>
    <w:rsid w:val="00C92DDE"/>
    <w:rsid w:val="00CA032B"/>
    <w:rsid w:val="00CA0BA6"/>
    <w:rsid w:val="00CA14D3"/>
    <w:rsid w:val="00CA3D81"/>
    <w:rsid w:val="00CB00F8"/>
    <w:rsid w:val="00CB270A"/>
    <w:rsid w:val="00CB6F3B"/>
    <w:rsid w:val="00CC31D0"/>
    <w:rsid w:val="00CC3652"/>
    <w:rsid w:val="00CC3BD2"/>
    <w:rsid w:val="00CC3C9A"/>
    <w:rsid w:val="00CC5A68"/>
    <w:rsid w:val="00CC5B15"/>
    <w:rsid w:val="00CD0D31"/>
    <w:rsid w:val="00CD6B1A"/>
    <w:rsid w:val="00CD7392"/>
    <w:rsid w:val="00CE412A"/>
    <w:rsid w:val="00CE47F4"/>
    <w:rsid w:val="00CE63A4"/>
    <w:rsid w:val="00CF11C3"/>
    <w:rsid w:val="00CF146B"/>
    <w:rsid w:val="00CF4A7B"/>
    <w:rsid w:val="00D03FA6"/>
    <w:rsid w:val="00D07FF1"/>
    <w:rsid w:val="00D13CDD"/>
    <w:rsid w:val="00D16701"/>
    <w:rsid w:val="00D16E82"/>
    <w:rsid w:val="00D17623"/>
    <w:rsid w:val="00D23632"/>
    <w:rsid w:val="00D25B37"/>
    <w:rsid w:val="00D2736A"/>
    <w:rsid w:val="00D278C7"/>
    <w:rsid w:val="00D27CD4"/>
    <w:rsid w:val="00D326FD"/>
    <w:rsid w:val="00D33776"/>
    <w:rsid w:val="00D348C0"/>
    <w:rsid w:val="00D34C79"/>
    <w:rsid w:val="00D35B83"/>
    <w:rsid w:val="00D36E3A"/>
    <w:rsid w:val="00D41DB1"/>
    <w:rsid w:val="00D4546E"/>
    <w:rsid w:val="00D47043"/>
    <w:rsid w:val="00D50995"/>
    <w:rsid w:val="00D54CB8"/>
    <w:rsid w:val="00D55121"/>
    <w:rsid w:val="00D5558F"/>
    <w:rsid w:val="00D61B05"/>
    <w:rsid w:val="00D63AA8"/>
    <w:rsid w:val="00D65971"/>
    <w:rsid w:val="00D666FC"/>
    <w:rsid w:val="00D67CB4"/>
    <w:rsid w:val="00D70094"/>
    <w:rsid w:val="00D7085C"/>
    <w:rsid w:val="00D7123E"/>
    <w:rsid w:val="00D71F2B"/>
    <w:rsid w:val="00D73361"/>
    <w:rsid w:val="00D73D2E"/>
    <w:rsid w:val="00D8012B"/>
    <w:rsid w:val="00D81B82"/>
    <w:rsid w:val="00D85E40"/>
    <w:rsid w:val="00D86F04"/>
    <w:rsid w:val="00D918C0"/>
    <w:rsid w:val="00D91912"/>
    <w:rsid w:val="00D92DF9"/>
    <w:rsid w:val="00D94C6A"/>
    <w:rsid w:val="00D953B1"/>
    <w:rsid w:val="00DA122A"/>
    <w:rsid w:val="00DA770D"/>
    <w:rsid w:val="00DB0820"/>
    <w:rsid w:val="00DB26D6"/>
    <w:rsid w:val="00DB4EEA"/>
    <w:rsid w:val="00DB7038"/>
    <w:rsid w:val="00DB741C"/>
    <w:rsid w:val="00DC25FF"/>
    <w:rsid w:val="00DC3CC6"/>
    <w:rsid w:val="00DC4FE1"/>
    <w:rsid w:val="00DC59F6"/>
    <w:rsid w:val="00DD72A7"/>
    <w:rsid w:val="00DE6C95"/>
    <w:rsid w:val="00DF42F6"/>
    <w:rsid w:val="00E03DC1"/>
    <w:rsid w:val="00E04988"/>
    <w:rsid w:val="00E04A39"/>
    <w:rsid w:val="00E04E5A"/>
    <w:rsid w:val="00E04F58"/>
    <w:rsid w:val="00E10862"/>
    <w:rsid w:val="00E10CCB"/>
    <w:rsid w:val="00E12568"/>
    <w:rsid w:val="00E136E3"/>
    <w:rsid w:val="00E20FAD"/>
    <w:rsid w:val="00E21B80"/>
    <w:rsid w:val="00E21E14"/>
    <w:rsid w:val="00E27CFC"/>
    <w:rsid w:val="00E30B90"/>
    <w:rsid w:val="00E317BD"/>
    <w:rsid w:val="00E3286A"/>
    <w:rsid w:val="00E365DF"/>
    <w:rsid w:val="00E37F20"/>
    <w:rsid w:val="00E40B3D"/>
    <w:rsid w:val="00E40C6B"/>
    <w:rsid w:val="00E42703"/>
    <w:rsid w:val="00E51EF5"/>
    <w:rsid w:val="00E55998"/>
    <w:rsid w:val="00E639C8"/>
    <w:rsid w:val="00E63E1C"/>
    <w:rsid w:val="00E640D0"/>
    <w:rsid w:val="00E70001"/>
    <w:rsid w:val="00E70FD6"/>
    <w:rsid w:val="00E73E58"/>
    <w:rsid w:val="00E74B96"/>
    <w:rsid w:val="00E75BFB"/>
    <w:rsid w:val="00E82E60"/>
    <w:rsid w:val="00E82F15"/>
    <w:rsid w:val="00E83A4D"/>
    <w:rsid w:val="00E83C50"/>
    <w:rsid w:val="00E91744"/>
    <w:rsid w:val="00E93D0E"/>
    <w:rsid w:val="00EA0581"/>
    <w:rsid w:val="00EA10A5"/>
    <w:rsid w:val="00EA1597"/>
    <w:rsid w:val="00EA2ADE"/>
    <w:rsid w:val="00EA4141"/>
    <w:rsid w:val="00EA4ADF"/>
    <w:rsid w:val="00EA5838"/>
    <w:rsid w:val="00EA65B8"/>
    <w:rsid w:val="00EB2B65"/>
    <w:rsid w:val="00EB5741"/>
    <w:rsid w:val="00EB5E4B"/>
    <w:rsid w:val="00EC035F"/>
    <w:rsid w:val="00EC03C5"/>
    <w:rsid w:val="00EC2992"/>
    <w:rsid w:val="00EC3844"/>
    <w:rsid w:val="00EC40FB"/>
    <w:rsid w:val="00EC495C"/>
    <w:rsid w:val="00EC4F51"/>
    <w:rsid w:val="00EC51A8"/>
    <w:rsid w:val="00EC7645"/>
    <w:rsid w:val="00ED0347"/>
    <w:rsid w:val="00ED35A0"/>
    <w:rsid w:val="00ED399A"/>
    <w:rsid w:val="00ED3E35"/>
    <w:rsid w:val="00ED3E7B"/>
    <w:rsid w:val="00EE1075"/>
    <w:rsid w:val="00EE3E41"/>
    <w:rsid w:val="00EF0D52"/>
    <w:rsid w:val="00EF2DA7"/>
    <w:rsid w:val="00F003BC"/>
    <w:rsid w:val="00F070CC"/>
    <w:rsid w:val="00F1025E"/>
    <w:rsid w:val="00F10931"/>
    <w:rsid w:val="00F11AE7"/>
    <w:rsid w:val="00F13529"/>
    <w:rsid w:val="00F13822"/>
    <w:rsid w:val="00F15457"/>
    <w:rsid w:val="00F17A12"/>
    <w:rsid w:val="00F17B85"/>
    <w:rsid w:val="00F20393"/>
    <w:rsid w:val="00F20D52"/>
    <w:rsid w:val="00F2268A"/>
    <w:rsid w:val="00F244FE"/>
    <w:rsid w:val="00F25516"/>
    <w:rsid w:val="00F33DB3"/>
    <w:rsid w:val="00F41523"/>
    <w:rsid w:val="00F4446C"/>
    <w:rsid w:val="00F45A5B"/>
    <w:rsid w:val="00F4671A"/>
    <w:rsid w:val="00F56098"/>
    <w:rsid w:val="00F56FDA"/>
    <w:rsid w:val="00F5705B"/>
    <w:rsid w:val="00F57B4B"/>
    <w:rsid w:val="00F628D0"/>
    <w:rsid w:val="00F64DEB"/>
    <w:rsid w:val="00F67AFC"/>
    <w:rsid w:val="00F70607"/>
    <w:rsid w:val="00F70EC8"/>
    <w:rsid w:val="00F816F7"/>
    <w:rsid w:val="00F8254C"/>
    <w:rsid w:val="00F84BC5"/>
    <w:rsid w:val="00F90BCD"/>
    <w:rsid w:val="00F91565"/>
    <w:rsid w:val="00F92125"/>
    <w:rsid w:val="00F93E94"/>
    <w:rsid w:val="00F94CA0"/>
    <w:rsid w:val="00F95D87"/>
    <w:rsid w:val="00F969E9"/>
    <w:rsid w:val="00F971CA"/>
    <w:rsid w:val="00FA263B"/>
    <w:rsid w:val="00FA2700"/>
    <w:rsid w:val="00FB03A9"/>
    <w:rsid w:val="00FB0704"/>
    <w:rsid w:val="00FB0A86"/>
    <w:rsid w:val="00FB0F41"/>
    <w:rsid w:val="00FB41AC"/>
    <w:rsid w:val="00FB45CF"/>
    <w:rsid w:val="00FB4801"/>
    <w:rsid w:val="00FB521F"/>
    <w:rsid w:val="00FB5D24"/>
    <w:rsid w:val="00FD2031"/>
    <w:rsid w:val="00FD43BC"/>
    <w:rsid w:val="00FD709D"/>
    <w:rsid w:val="00FE0D1A"/>
    <w:rsid w:val="00FE150E"/>
    <w:rsid w:val="00FE3D11"/>
    <w:rsid w:val="00FF196D"/>
    <w:rsid w:val="00FF4227"/>
    <w:rsid w:val="00FF4B23"/>
    <w:rsid w:val="00FF69D1"/>
    <w:rsid w:val="04ED4974"/>
    <w:rsid w:val="08BCB8EC"/>
    <w:rsid w:val="094FF516"/>
    <w:rsid w:val="0FECFE65"/>
    <w:rsid w:val="104008FD"/>
    <w:rsid w:val="160F0363"/>
    <w:rsid w:val="17930092"/>
    <w:rsid w:val="197AB84E"/>
    <w:rsid w:val="1F95868A"/>
    <w:rsid w:val="25195F32"/>
    <w:rsid w:val="270116EE"/>
    <w:rsid w:val="273BF548"/>
    <w:rsid w:val="29874DFD"/>
    <w:rsid w:val="2CAE585E"/>
    <w:rsid w:val="2D74EAFE"/>
    <w:rsid w:val="2EF30076"/>
    <w:rsid w:val="30F2E470"/>
    <w:rsid w:val="31E5DD1A"/>
    <w:rsid w:val="3231C475"/>
    <w:rsid w:val="47133A06"/>
    <w:rsid w:val="47BB159E"/>
    <w:rsid w:val="4C7D7DC0"/>
    <w:rsid w:val="4E816730"/>
    <w:rsid w:val="4F1F1634"/>
    <w:rsid w:val="4FBE0827"/>
    <w:rsid w:val="526AEE7B"/>
    <w:rsid w:val="5860E8C2"/>
    <w:rsid w:val="59FCB923"/>
    <w:rsid w:val="5C946BD3"/>
    <w:rsid w:val="629E9D9F"/>
    <w:rsid w:val="643A6E00"/>
    <w:rsid w:val="6486555B"/>
    <w:rsid w:val="65E74762"/>
    <w:rsid w:val="662061B0"/>
    <w:rsid w:val="6855C4D3"/>
    <w:rsid w:val="6E3E40A2"/>
    <w:rsid w:val="73A8845C"/>
    <w:rsid w:val="74E04124"/>
    <w:rsid w:val="78C7DCDA"/>
    <w:rsid w:val="79B3B247"/>
    <w:rsid w:val="79B4B46C"/>
    <w:rsid w:val="79D301C2"/>
    <w:rsid w:val="79FF99A2"/>
    <w:rsid w:val="7AAF9496"/>
    <w:rsid w:val="7BAB76E5"/>
    <w:rsid w:val="7C9E6F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3BB1"/>
  <w15:chartTrackingRefBased/>
  <w15:docId w15:val="{443F5A34-3C56-45F8-835A-30F22915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Corps)"/>
        <w:sz w:val="23"/>
        <w:szCs w:val="23"/>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BD"/>
    <w:pPr>
      <w:jc w:val="both"/>
    </w:pPr>
    <w:rPr>
      <w:rFonts w:cstheme="minorHAnsi"/>
      <w:lang w:val="en-GB"/>
    </w:rPr>
  </w:style>
  <w:style w:type="paragraph" w:styleId="Heading1">
    <w:name w:val="heading 1"/>
    <w:basedOn w:val="Normal"/>
    <w:next w:val="Normal"/>
    <w:link w:val="Heading1Char"/>
    <w:uiPriority w:val="9"/>
    <w:qFormat/>
    <w:rsid w:val="00750FBD"/>
    <w:pPr>
      <w:tabs>
        <w:tab w:val="left" w:pos="1134"/>
      </w:tabs>
      <w:ind w:left="1134" w:hanging="1134"/>
      <w:outlineLvl w:val="0"/>
    </w:pPr>
    <w:rPr>
      <w:rFonts w:ascii="Calibri" w:hAnsi="Calibri" w:cs="Calibri"/>
      <w:b/>
      <w:bCs/>
      <w:color w:val="470A68"/>
      <w:sz w:val="32"/>
      <w:szCs w:val="32"/>
    </w:rPr>
  </w:style>
  <w:style w:type="paragraph" w:styleId="Heading2">
    <w:name w:val="heading 2"/>
    <w:basedOn w:val="Normal"/>
    <w:next w:val="Normal"/>
    <w:link w:val="Heading2Char"/>
    <w:uiPriority w:val="9"/>
    <w:unhideWhenUsed/>
    <w:qFormat/>
    <w:rsid w:val="00750FBD"/>
    <w:pPr>
      <w:outlineLvl w:val="1"/>
    </w:pPr>
    <w:rPr>
      <w:b/>
      <w:bCs/>
      <w:sz w:val="26"/>
      <w:szCs w:val="26"/>
    </w:rPr>
  </w:style>
  <w:style w:type="paragraph" w:styleId="Heading3">
    <w:name w:val="heading 3"/>
    <w:basedOn w:val="Normal"/>
    <w:next w:val="Normal"/>
    <w:link w:val="Heading3Char"/>
    <w:uiPriority w:val="9"/>
    <w:unhideWhenUsed/>
    <w:qFormat/>
    <w:rsid w:val="00750FBD"/>
    <w:pPr>
      <w:outlineLvl w:val="2"/>
    </w:pPr>
    <w:rPr>
      <w:rFonts w:ascii="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5A"/>
    <w:pPr>
      <w:tabs>
        <w:tab w:val="center" w:pos="4536"/>
        <w:tab w:val="right" w:pos="9072"/>
      </w:tabs>
    </w:pPr>
  </w:style>
  <w:style w:type="character" w:customStyle="1" w:styleId="HeaderChar">
    <w:name w:val="Header Char"/>
    <w:basedOn w:val="DefaultParagraphFont"/>
    <w:link w:val="Header"/>
    <w:uiPriority w:val="99"/>
    <w:rsid w:val="0004365A"/>
    <w:rPr>
      <w:lang w:val="en-GB"/>
    </w:rPr>
  </w:style>
  <w:style w:type="paragraph" w:styleId="Footer">
    <w:name w:val="footer"/>
    <w:basedOn w:val="Normal"/>
    <w:link w:val="FooterChar"/>
    <w:uiPriority w:val="99"/>
    <w:unhideWhenUsed/>
    <w:rsid w:val="0004365A"/>
    <w:pPr>
      <w:tabs>
        <w:tab w:val="center" w:pos="4536"/>
        <w:tab w:val="right" w:pos="9072"/>
      </w:tabs>
    </w:pPr>
  </w:style>
  <w:style w:type="character" w:customStyle="1" w:styleId="FooterChar">
    <w:name w:val="Footer Char"/>
    <w:basedOn w:val="DefaultParagraphFont"/>
    <w:link w:val="Footer"/>
    <w:uiPriority w:val="99"/>
    <w:rsid w:val="0004365A"/>
    <w:rPr>
      <w:lang w:val="en-GB"/>
    </w:rPr>
  </w:style>
  <w:style w:type="character" w:styleId="Hyperlink">
    <w:name w:val="Hyperlink"/>
    <w:basedOn w:val="DefaultParagraphFont"/>
    <w:uiPriority w:val="99"/>
    <w:unhideWhenUsed/>
    <w:rsid w:val="0004365A"/>
    <w:rPr>
      <w:color w:val="0563C1" w:themeColor="hyperlink"/>
      <w:u w:val="single"/>
    </w:rPr>
  </w:style>
  <w:style w:type="character" w:styleId="UnresolvedMention">
    <w:name w:val="Unresolved Mention"/>
    <w:basedOn w:val="DefaultParagraphFont"/>
    <w:uiPriority w:val="99"/>
    <w:semiHidden/>
    <w:unhideWhenUsed/>
    <w:rsid w:val="0004365A"/>
    <w:rPr>
      <w:color w:val="605E5C"/>
      <w:shd w:val="clear" w:color="auto" w:fill="E1DFDD"/>
    </w:rPr>
  </w:style>
  <w:style w:type="paragraph" w:styleId="ListParagraph">
    <w:name w:val="List Paragraph"/>
    <w:basedOn w:val="Normal"/>
    <w:uiPriority w:val="34"/>
    <w:qFormat/>
    <w:rsid w:val="00340CD5"/>
    <w:pPr>
      <w:ind w:left="720"/>
      <w:contextualSpacing/>
    </w:pPr>
  </w:style>
  <w:style w:type="character" w:customStyle="1" w:styleId="Heading1Char">
    <w:name w:val="Heading 1 Char"/>
    <w:basedOn w:val="DefaultParagraphFont"/>
    <w:link w:val="Heading1"/>
    <w:uiPriority w:val="9"/>
    <w:rsid w:val="00750FBD"/>
    <w:rPr>
      <w:rFonts w:ascii="Calibri" w:hAnsi="Calibri" w:cs="Calibri"/>
      <w:b/>
      <w:bCs/>
      <w:color w:val="470A68"/>
      <w:sz w:val="32"/>
      <w:szCs w:val="32"/>
      <w:lang w:val="en-GB"/>
    </w:rPr>
  </w:style>
  <w:style w:type="paragraph" w:styleId="Title">
    <w:name w:val="Title"/>
    <w:basedOn w:val="Heading1"/>
    <w:next w:val="Normal"/>
    <w:link w:val="TitleChar"/>
    <w:uiPriority w:val="10"/>
    <w:qFormat/>
    <w:rsid w:val="00750FBD"/>
    <w:rPr>
      <w:sz w:val="72"/>
      <w:szCs w:val="72"/>
    </w:rPr>
  </w:style>
  <w:style w:type="character" w:customStyle="1" w:styleId="TitleChar">
    <w:name w:val="Title Char"/>
    <w:basedOn w:val="DefaultParagraphFont"/>
    <w:link w:val="Title"/>
    <w:uiPriority w:val="10"/>
    <w:rsid w:val="00750FBD"/>
    <w:rPr>
      <w:rFonts w:ascii="Calibri" w:hAnsi="Calibri" w:cs="Calibri"/>
      <w:b/>
      <w:bCs/>
      <w:color w:val="470A68"/>
      <w:sz w:val="72"/>
      <w:szCs w:val="72"/>
      <w:lang w:val="en-GB"/>
    </w:rPr>
  </w:style>
  <w:style w:type="character" w:customStyle="1" w:styleId="Heading2Char">
    <w:name w:val="Heading 2 Char"/>
    <w:basedOn w:val="DefaultParagraphFont"/>
    <w:link w:val="Heading2"/>
    <w:uiPriority w:val="9"/>
    <w:rsid w:val="00750FBD"/>
    <w:rPr>
      <w:rFonts w:cstheme="minorHAnsi"/>
      <w:b/>
      <w:bCs/>
      <w:sz w:val="26"/>
      <w:szCs w:val="26"/>
      <w:lang w:val="en-GB"/>
    </w:rPr>
  </w:style>
  <w:style w:type="character" w:customStyle="1" w:styleId="Heading3Char">
    <w:name w:val="Heading 3 Char"/>
    <w:basedOn w:val="DefaultParagraphFont"/>
    <w:link w:val="Heading3"/>
    <w:uiPriority w:val="9"/>
    <w:rsid w:val="00750FBD"/>
    <w:rPr>
      <w:rFonts w:ascii="Calibri Light" w:hAnsi="Calibri Light" w:cs="Calibri Light"/>
      <w:sz w:val="26"/>
      <w:szCs w:val="26"/>
      <w:lang w:val="en-GB"/>
    </w:rPr>
  </w:style>
  <w:style w:type="paragraph" w:styleId="FootnoteText">
    <w:name w:val="footnote text"/>
    <w:basedOn w:val="Normal"/>
    <w:link w:val="FootnoteTextChar"/>
    <w:uiPriority w:val="99"/>
    <w:unhideWhenUsed/>
    <w:rsid w:val="00651417"/>
    <w:rPr>
      <w:sz w:val="20"/>
      <w:szCs w:val="20"/>
    </w:rPr>
  </w:style>
  <w:style w:type="character" w:customStyle="1" w:styleId="FootnoteTextChar">
    <w:name w:val="Footnote Text Char"/>
    <w:basedOn w:val="DefaultParagraphFont"/>
    <w:link w:val="FootnoteText"/>
    <w:uiPriority w:val="99"/>
    <w:rsid w:val="00651417"/>
    <w:rPr>
      <w:rFonts w:cstheme="minorHAnsi"/>
      <w:sz w:val="20"/>
      <w:szCs w:val="20"/>
      <w:lang w:val="en-GB"/>
    </w:rPr>
  </w:style>
  <w:style w:type="character" w:styleId="FootnoteReference">
    <w:name w:val="footnote reference"/>
    <w:basedOn w:val="DefaultParagraphFont"/>
    <w:uiPriority w:val="99"/>
    <w:semiHidden/>
    <w:unhideWhenUsed/>
    <w:rsid w:val="00651417"/>
    <w:rPr>
      <w:vertAlign w:val="superscript"/>
    </w:rPr>
  </w:style>
  <w:style w:type="paragraph" w:styleId="CommentText">
    <w:name w:val="annotation text"/>
    <w:basedOn w:val="Normal"/>
    <w:link w:val="CommentTextChar"/>
    <w:uiPriority w:val="99"/>
    <w:unhideWhenUsed/>
    <w:rsid w:val="0040232B"/>
    <w:rPr>
      <w:sz w:val="20"/>
      <w:szCs w:val="20"/>
    </w:rPr>
  </w:style>
  <w:style w:type="character" w:customStyle="1" w:styleId="CommentTextChar">
    <w:name w:val="Comment Text Char"/>
    <w:basedOn w:val="DefaultParagraphFont"/>
    <w:link w:val="CommentText"/>
    <w:uiPriority w:val="99"/>
    <w:rsid w:val="0040232B"/>
    <w:rPr>
      <w:rFonts w:cstheme="minorHAnsi"/>
      <w:sz w:val="20"/>
      <w:szCs w:val="20"/>
      <w:lang w:val="en-GB"/>
    </w:rPr>
  </w:style>
  <w:style w:type="paragraph" w:styleId="NoSpacing">
    <w:name w:val="No Spacing"/>
    <w:uiPriority w:val="1"/>
    <w:qFormat/>
    <w:rsid w:val="005E4233"/>
    <w:pPr>
      <w:jc w:val="both"/>
    </w:pPr>
    <w:rPr>
      <w:rFonts w:cstheme="minorHAnsi"/>
      <w:lang w:val="en-GB"/>
    </w:rPr>
  </w:style>
  <w:style w:type="paragraph" w:customStyle="1" w:styleId="Default">
    <w:name w:val="Default"/>
    <w:rsid w:val="00582072"/>
    <w:pPr>
      <w:autoSpaceDE w:val="0"/>
      <w:autoSpaceDN w:val="0"/>
      <w:adjustRightInd w:val="0"/>
    </w:pPr>
    <w:rPr>
      <w:rFonts w:ascii="Times New Roman" w:hAnsi="Times New Roman" w:cs="Times New Roman"/>
      <w:color w:val="000000"/>
      <w:sz w:val="24"/>
      <w:szCs w:val="24"/>
      <w:lang w:val="en-GB"/>
    </w:rPr>
  </w:style>
  <w:style w:type="character" w:customStyle="1" w:styleId="toc-headervolume">
    <w:name w:val="toc-header__volume"/>
    <w:basedOn w:val="DefaultParagraphFont"/>
    <w:rsid w:val="00582072"/>
  </w:style>
  <w:style w:type="character" w:customStyle="1" w:styleId="toc-headerissue">
    <w:name w:val="toc-header__issue"/>
    <w:basedOn w:val="DefaultParagraphFont"/>
    <w:rsid w:val="00582072"/>
  </w:style>
  <w:style w:type="paragraph" w:styleId="BalloonText">
    <w:name w:val="Balloon Text"/>
    <w:basedOn w:val="Normal"/>
    <w:link w:val="BalloonTextChar"/>
    <w:uiPriority w:val="99"/>
    <w:semiHidden/>
    <w:unhideWhenUsed/>
    <w:rsid w:val="00145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C9"/>
    <w:rPr>
      <w:rFonts w:ascii="Segoe UI" w:hAnsi="Segoe UI" w:cs="Segoe UI"/>
      <w:sz w:val="18"/>
      <w:szCs w:val="18"/>
      <w:lang w:val="en-GB"/>
    </w:rPr>
  </w:style>
  <w:style w:type="character" w:styleId="FollowedHyperlink">
    <w:name w:val="FollowedHyperlink"/>
    <w:basedOn w:val="DefaultParagraphFont"/>
    <w:uiPriority w:val="99"/>
    <w:semiHidden/>
    <w:unhideWhenUsed/>
    <w:rsid w:val="001452C9"/>
    <w:rPr>
      <w:color w:val="954F72" w:themeColor="followedHyperlink"/>
      <w:u w:val="single"/>
    </w:rPr>
  </w:style>
  <w:style w:type="paragraph" w:customStyle="1" w:styleId="first">
    <w:name w:val="first"/>
    <w:basedOn w:val="Normal"/>
    <w:rsid w:val="009B4F95"/>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even">
    <w:name w:val="even"/>
    <w:basedOn w:val="Normal"/>
    <w:rsid w:val="009B4F95"/>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odd">
    <w:name w:val="odd"/>
    <w:basedOn w:val="Normal"/>
    <w:rsid w:val="009B4F95"/>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last">
    <w:name w:val="last"/>
    <w:basedOn w:val="Normal"/>
    <w:rsid w:val="009B4F95"/>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637BC"/>
    <w:rPr>
      <w:sz w:val="16"/>
      <w:szCs w:val="16"/>
    </w:rPr>
  </w:style>
  <w:style w:type="paragraph" w:styleId="CommentSubject">
    <w:name w:val="annotation subject"/>
    <w:basedOn w:val="CommentText"/>
    <w:next w:val="CommentText"/>
    <w:link w:val="CommentSubjectChar"/>
    <w:uiPriority w:val="99"/>
    <w:semiHidden/>
    <w:unhideWhenUsed/>
    <w:rsid w:val="00C637BC"/>
    <w:rPr>
      <w:b/>
      <w:bCs/>
    </w:rPr>
  </w:style>
  <w:style w:type="character" w:customStyle="1" w:styleId="CommentSubjectChar">
    <w:name w:val="Comment Subject Char"/>
    <w:basedOn w:val="CommentTextChar"/>
    <w:link w:val="CommentSubject"/>
    <w:uiPriority w:val="99"/>
    <w:semiHidden/>
    <w:rsid w:val="00C637BC"/>
    <w:rPr>
      <w:rFonts w:cstheme="minorHAnsi"/>
      <w:b/>
      <w:bCs/>
      <w:sz w:val="20"/>
      <w:szCs w:val="20"/>
      <w:lang w:val="en-GB"/>
    </w:rPr>
  </w:style>
  <w:style w:type="paragraph" w:styleId="NormalWeb">
    <w:name w:val="Normal (Web)"/>
    <w:basedOn w:val="Normal"/>
    <w:uiPriority w:val="99"/>
    <w:unhideWhenUsed/>
    <w:rsid w:val="003C126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il">
    <w:name w:val="il"/>
    <w:basedOn w:val="DefaultParagraphFont"/>
    <w:rsid w:val="00140833"/>
  </w:style>
  <w:style w:type="paragraph" w:customStyle="1" w:styleId="paragraph">
    <w:name w:val="paragraph"/>
    <w:basedOn w:val="Normal"/>
    <w:rsid w:val="001D0C41"/>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0C41"/>
  </w:style>
  <w:style w:type="character" w:customStyle="1" w:styleId="eop">
    <w:name w:val="eop"/>
    <w:basedOn w:val="DefaultParagraphFont"/>
    <w:rsid w:val="001D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6687">
      <w:bodyDiv w:val="1"/>
      <w:marLeft w:val="0"/>
      <w:marRight w:val="0"/>
      <w:marTop w:val="0"/>
      <w:marBottom w:val="0"/>
      <w:divBdr>
        <w:top w:val="none" w:sz="0" w:space="0" w:color="auto"/>
        <w:left w:val="none" w:sz="0" w:space="0" w:color="auto"/>
        <w:bottom w:val="none" w:sz="0" w:space="0" w:color="auto"/>
        <w:right w:val="none" w:sz="0" w:space="0" w:color="auto"/>
      </w:divBdr>
      <w:divsChild>
        <w:div w:id="829105366">
          <w:marLeft w:val="0"/>
          <w:marRight w:val="0"/>
          <w:marTop w:val="0"/>
          <w:marBottom w:val="0"/>
          <w:divBdr>
            <w:top w:val="none" w:sz="0" w:space="0" w:color="auto"/>
            <w:left w:val="none" w:sz="0" w:space="0" w:color="auto"/>
            <w:bottom w:val="none" w:sz="0" w:space="0" w:color="auto"/>
            <w:right w:val="none" w:sz="0" w:space="0" w:color="auto"/>
          </w:divBdr>
        </w:div>
        <w:div w:id="676346973">
          <w:marLeft w:val="0"/>
          <w:marRight w:val="0"/>
          <w:marTop w:val="0"/>
          <w:marBottom w:val="0"/>
          <w:divBdr>
            <w:top w:val="none" w:sz="0" w:space="0" w:color="auto"/>
            <w:left w:val="none" w:sz="0" w:space="0" w:color="auto"/>
            <w:bottom w:val="none" w:sz="0" w:space="0" w:color="auto"/>
            <w:right w:val="none" w:sz="0" w:space="0" w:color="auto"/>
          </w:divBdr>
        </w:div>
        <w:div w:id="1636713811">
          <w:marLeft w:val="0"/>
          <w:marRight w:val="0"/>
          <w:marTop w:val="0"/>
          <w:marBottom w:val="0"/>
          <w:divBdr>
            <w:top w:val="none" w:sz="0" w:space="0" w:color="auto"/>
            <w:left w:val="none" w:sz="0" w:space="0" w:color="auto"/>
            <w:bottom w:val="none" w:sz="0" w:space="0" w:color="auto"/>
            <w:right w:val="none" w:sz="0" w:space="0" w:color="auto"/>
          </w:divBdr>
        </w:div>
      </w:divsChild>
    </w:div>
    <w:div w:id="411395602">
      <w:bodyDiv w:val="1"/>
      <w:marLeft w:val="0"/>
      <w:marRight w:val="0"/>
      <w:marTop w:val="0"/>
      <w:marBottom w:val="0"/>
      <w:divBdr>
        <w:top w:val="none" w:sz="0" w:space="0" w:color="auto"/>
        <w:left w:val="none" w:sz="0" w:space="0" w:color="auto"/>
        <w:bottom w:val="none" w:sz="0" w:space="0" w:color="auto"/>
        <w:right w:val="none" w:sz="0" w:space="0" w:color="auto"/>
      </w:divBdr>
    </w:div>
    <w:div w:id="143891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enalreform.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enalreform.org/wp-content/uploads/2022/10/PRI-submission-to-UNODC-on-reducing-reoffending_August-2022.pdf" TargetMode="External"/><Relationship Id="rId3" Type="http://schemas.openxmlformats.org/officeDocument/2006/relationships/hyperlink" Target="https://www.cipmoz.org/wp-content/uploads/2021/06/Sexual-Exploitation-1.pdf" TargetMode="External"/><Relationship Id="rId7" Type="http://schemas.openxmlformats.org/officeDocument/2006/relationships/hyperlink" Target="https://www.penalreform.org/resource/guide-to-the-rehabilitation-and-social-reintegration-of/" TargetMode="External"/><Relationship Id="rId2" Type="http://schemas.openxmlformats.org/officeDocument/2006/relationships/hyperlink" Target="https://reproductiverights.org/inter-american-court-of-human-rights-orders-el-salvador-to-reform-policies-abortion/" TargetMode="External"/><Relationship Id="rId1" Type="http://schemas.openxmlformats.org/officeDocument/2006/relationships/hyperlink" Target="https://www.penalreform.org/wp-content/uploads/2022/10/PRI-submission-to-OHCHR-on-accusations-of-witchcraft-and-ritual-attacks.pdf" TargetMode="External"/><Relationship Id="rId6" Type="http://schemas.openxmlformats.org/officeDocument/2006/relationships/hyperlink" Target="https://www.penalreform.org/issues/women/bangkok-rules/bangkok-rules-map/" TargetMode="External"/><Relationship Id="rId5" Type="http://schemas.openxmlformats.org/officeDocument/2006/relationships/hyperlink" Target="https://s3-eu-west-2.amazonaws.com/ppo-prod-storage-1g9rkhjhkjmgw/uploads/2022/01/Baby-B-Styal-Press-Release-Final-11.1.22.pdf" TargetMode="External"/><Relationship Id="rId4" Type="http://schemas.openxmlformats.org/officeDocument/2006/relationships/hyperlink" Target="https://www.macaubusiness.com/mozambique-ngo-exposes-sexual-exploitation-of-female-inmates-by-maputo-prison-guard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on\OneDrive%20-%20Penal%20Reform\Briefing%20note%20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fo and Comms" ma:contentTypeID="0x0101006D3AC66AD3AC804A9C376D2E2236A8EA00FDAF115C84305E47BC195B71F477138C" ma:contentTypeVersion="133" ma:contentTypeDescription="" ma:contentTypeScope="" ma:versionID="e6715334b9f0919830a8f271fe633ed3">
  <xsd:schema xmlns:xsd="http://www.w3.org/2001/XMLSchema" xmlns:xs="http://www.w3.org/2001/XMLSchema" xmlns:p="http://schemas.microsoft.com/office/2006/metadata/properties" xmlns:ns2="15ce6288-cbd3-4e72-9810-f231d6342630" targetNamespace="http://schemas.microsoft.com/office/2006/metadata/properties" ma:root="true" ma:fieldsID="56ec45184f67cf906a8abbad7414ca0a" ns2:_="">
    <xsd:import namespace="15ce6288-cbd3-4e72-9810-f231d6342630"/>
    <xsd:element name="properties">
      <xsd:complexType>
        <xsd:sequence>
          <xsd:element name="documentManagement">
            <xsd:complexType>
              <xsd:all>
                <xsd:element ref="ns2:i19f933d898244c085f6b1799d3b9e38" minOccurs="0"/>
                <xsd:element ref="ns2:TaxCatchAll" minOccurs="0"/>
                <xsd:element ref="ns2:TaxCatchAllLabel" minOccurs="0"/>
                <xsd:element ref="ns2:id72dec699d84017801f163eb69e76bd" minOccurs="0"/>
                <xsd:element ref="ns2:f04c551774344e51936cd7e2020cc741" minOccurs="0"/>
                <xsd:element ref="ns2:e111de919c32460fb576e7b7a2dd380f" minOccurs="0"/>
                <xsd:element ref="ns2:jd9c837ecf8a47928647c8ba31986e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6288-cbd3-4e72-9810-f231d6342630" elementFormDefault="qualified">
    <xsd:import namespace="http://schemas.microsoft.com/office/2006/documentManagement/types"/>
    <xsd:import namespace="http://schemas.microsoft.com/office/infopath/2007/PartnerControls"/>
    <xsd:element name="i19f933d898244c085f6b1799d3b9e38" ma:index="7" nillable="true" ma:taxonomy="true" ma:internalName="i19f933d898244c085f6b1799d3b9e38" ma:taxonomyFieldName="Project" ma:displayName="Comms Subject" ma:indexed="true" ma:default="" ma:fieldId="{219f933d-8982-44c0-85f6-b1799d3b9e38}" ma:sspId="bdcb56cc-22ec-4907-b888-665f7c919ebe" ma:termSetId="66cec260-3d79-4c30-8cee-4b2452b05c72" ma:anchorId="00000000-0000-0000-0000-000000000000" ma:open="true" ma:isKeyword="false">
      <xsd:complexType>
        <xsd:sequence>
          <xsd:element ref="pc:Terms" minOccurs="0" maxOccurs="1"/>
        </xsd:sequence>
      </xsd:complexType>
    </xsd:element>
    <xsd:element name="TaxCatchAll" ma:index="8" nillable="true" ma:displayName="Taxonomy Catch All Column" ma:description="" ma:hidden="true" ma:list="{825bf32a-5f4f-48b7-832f-6804a7d31c97}" ma:internalName="TaxCatchAll" ma:showField="CatchAllData" ma:web="3f69f27c-ec3b-4f62-8934-f542ef3a90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825bf32a-5f4f-48b7-832f-6804a7d31c97}" ma:internalName="TaxCatchAllLabel" ma:readOnly="true" ma:showField="CatchAllDataLabel" ma:web="3f69f27c-ec3b-4f62-8934-f542ef3a9033">
      <xsd:complexType>
        <xsd:complexContent>
          <xsd:extension base="dms:MultiChoiceLookup">
            <xsd:sequence>
              <xsd:element name="Value" type="dms:Lookup" maxOccurs="unbounded" minOccurs="0" nillable="true"/>
            </xsd:sequence>
          </xsd:extension>
        </xsd:complexContent>
      </xsd:complexType>
    </xsd:element>
    <xsd:element name="id72dec699d84017801f163eb69e76bd" ma:index="11" nillable="true" ma:taxonomy="true" ma:internalName="id72dec699d84017801f163eb69e76bd" ma:taxonomyFieldName="Comms_x0020_Document_x0020_Type" ma:displayName="Comms Document Type" ma:indexed="true" ma:default="" ma:fieldId="{2d72dec6-99d8-4017-801f-163eb69e76bd}" ma:sspId="bdcb56cc-22ec-4907-b888-665f7c919ebe" ma:termSetId="02637dac-47c6-4e04-b991-d22a011d9948" ma:anchorId="00000000-0000-0000-0000-000000000000" ma:open="true" ma:isKeyword="false">
      <xsd:complexType>
        <xsd:sequence>
          <xsd:element ref="pc:Terms" minOccurs="0" maxOccurs="1"/>
        </xsd:sequence>
      </xsd:complexType>
    </xsd:element>
    <xsd:element name="f04c551774344e51936cd7e2020cc741" ma:index="14" ma:taxonomy="true" ma:internalName="f04c551774344e51936cd7e2020cc741" ma:taxonomyFieldName="PRI_x0020_Offices" ma:displayName="Offices" ma:indexed="true" ma:default="" ma:fieldId="{f04c5517-7434-4e51-936c-d7e2020cc741}" ma:sspId="bdcb56cc-22ec-4907-b888-665f7c919ebe" ma:termSetId="dee2619e-808e-4304-88e3-e4fa5c7e6354" ma:anchorId="00000000-0000-0000-0000-000000000000" ma:open="false" ma:isKeyword="false">
      <xsd:complexType>
        <xsd:sequence>
          <xsd:element ref="pc:Terms" minOccurs="0" maxOccurs="1"/>
        </xsd:sequence>
      </xsd:complexType>
    </xsd:element>
    <xsd:element name="e111de919c32460fb576e7b7a2dd380f" ma:index="16" nillable="true" ma:taxonomy="true" ma:internalName="e111de919c32460fb576e7b7a2dd380f" ma:taxonomyFieldName="Year" ma:displayName="Year" ma:indexed="true" ma:default="" ma:fieldId="{e111de91-9c32-460f-b576-e7b7a2dd380f}" ma:sspId="bdcb56cc-22ec-4907-b888-665f7c919ebe" ma:termSetId="6782685a-26fc-4164-86c4-b884384fa3db" ma:anchorId="00000000-0000-0000-0000-000000000000" ma:open="false" ma:isKeyword="false">
      <xsd:complexType>
        <xsd:sequence>
          <xsd:element ref="pc:Terms" minOccurs="0" maxOccurs="1"/>
        </xsd:sequence>
      </xsd:complexType>
    </xsd:element>
    <xsd:element name="jd9c837ecf8a47928647c8ba31986ee2" ma:index="18" nillable="true" ma:taxonomy="true" ma:internalName="jd9c837ecf8a47928647c8ba31986ee2" ma:taxonomyFieldName="PRI_x0020_Theme" ma:displayName="PRI Theme" ma:default="" ma:fieldId="{3d9c837e-cf8a-4792-8647-c8ba31986ee2}" ma:taxonomyMulti="true" ma:sspId="bdcb56cc-22ec-4907-b888-665f7c919ebe" ma:termSetId="d808ce15-42c1-4834-b271-3562253290c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dcb56cc-22ec-4907-b888-665f7c919ebe" ContentTypeId="0x0101006D3AC66AD3AC804A9C376D2E2236A8EA"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jd9c837ecf8a47928647c8ba31986ee2 xmlns="15ce6288-cbd3-4e72-9810-f231d6342630">
      <Terms xmlns="http://schemas.microsoft.com/office/infopath/2007/PartnerControls"/>
    </jd9c837ecf8a47928647c8ba31986ee2>
    <TaxCatchAll xmlns="15ce6288-cbd3-4e72-9810-f231d6342630">
      <Value>20</Value>
      <Value>249</Value>
      <Value>713</Value>
      <Value>263</Value>
    </TaxCatchAll>
    <f04c551774344e51936cd7e2020cc741 xmlns="15ce6288-cbd3-4e72-9810-f231d6342630">
      <Terms xmlns="http://schemas.microsoft.com/office/infopath/2007/PartnerControls">
        <TermInfo xmlns="http://schemas.microsoft.com/office/infopath/2007/PartnerControls">
          <TermName xmlns="http://schemas.microsoft.com/office/infopath/2007/PartnerControls">Organisational</TermName>
          <TermId xmlns="http://schemas.microsoft.com/office/infopath/2007/PartnerControls">36fcc256-9009-46b9-905a-517613e4ca44</TermId>
        </TermInfo>
      </Terms>
    </f04c551774344e51936cd7e2020cc741>
    <id72dec699d84017801f163eb69e76bd xmlns="15ce6288-cbd3-4e72-9810-f231d6342630">
      <Terms xmlns="http://schemas.microsoft.com/office/infopath/2007/PartnerControls">
        <TermInfo xmlns="http://schemas.microsoft.com/office/infopath/2007/PartnerControls">
          <TermName xmlns="http://schemas.microsoft.com/office/infopath/2007/PartnerControls">Templates/form</TermName>
          <TermId xmlns="http://schemas.microsoft.com/office/infopath/2007/PartnerControls">41843426-7833-4f56-8926-b6b40b3102cb</TermId>
        </TermInfo>
      </Terms>
    </id72dec699d84017801f163eb69e76bd>
    <e111de919c32460fb576e7b7a2dd380f xmlns="15ce6288-cbd3-4e72-9810-f231d6342630">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1a0b4b31-1f4c-4e04-a782-a8ba081d5748</TermId>
        </TermInfo>
      </Terms>
    </e111de919c32460fb576e7b7a2dd380f>
    <i19f933d898244c085f6b1799d3b9e38 xmlns="15ce6288-cbd3-4e72-9810-f231d6342630">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7298d474-0827-4064-b09d-4dc7be266af7</TermId>
        </TermInfo>
      </Terms>
    </i19f933d898244c085f6b1799d3b9e38>
  </documentManagement>
</p:properties>
</file>

<file path=customXml/itemProps1.xml><?xml version="1.0" encoding="utf-8"?>
<ds:datastoreItem xmlns:ds="http://schemas.openxmlformats.org/officeDocument/2006/customXml" ds:itemID="{7D8E81A0-485A-4E7C-9272-FF7E61768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e6288-cbd3-4e72-9810-f231d6342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1D1B0-EBA7-41F6-B710-9F4660D61A1A}">
  <ds:schemaRefs>
    <ds:schemaRef ds:uri="http://schemas.microsoft.com/sharepoint/v3/contenttype/forms"/>
  </ds:schemaRefs>
</ds:datastoreItem>
</file>

<file path=customXml/itemProps3.xml><?xml version="1.0" encoding="utf-8"?>
<ds:datastoreItem xmlns:ds="http://schemas.openxmlformats.org/officeDocument/2006/customXml" ds:itemID="{55632CD1-3E49-4286-BFA4-2E05541CB5C4}">
  <ds:schemaRefs>
    <ds:schemaRef ds:uri="Microsoft.SharePoint.Taxonomy.ContentTypeSync"/>
  </ds:schemaRefs>
</ds:datastoreItem>
</file>

<file path=customXml/itemProps4.xml><?xml version="1.0" encoding="utf-8"?>
<ds:datastoreItem xmlns:ds="http://schemas.openxmlformats.org/officeDocument/2006/customXml" ds:itemID="{5D327019-3647-416A-83EF-35AD8B89422B}">
  <ds:schemaRefs>
    <ds:schemaRef ds:uri="http://schemas.microsoft.com/office/2006/metadata/customXsn"/>
  </ds:schemaRefs>
</ds:datastoreItem>
</file>

<file path=customXml/itemProps5.xml><?xml version="1.0" encoding="utf-8"?>
<ds:datastoreItem xmlns:ds="http://schemas.openxmlformats.org/officeDocument/2006/customXml" ds:itemID="{5F72031C-F35B-2F41-AC8B-35B9FA405E4A}">
  <ds:schemaRefs>
    <ds:schemaRef ds:uri="http://schemas.openxmlformats.org/officeDocument/2006/bibliography"/>
  </ds:schemaRefs>
</ds:datastoreItem>
</file>

<file path=customXml/itemProps6.xml><?xml version="1.0" encoding="utf-8"?>
<ds:datastoreItem xmlns:ds="http://schemas.openxmlformats.org/officeDocument/2006/customXml" ds:itemID="{93180895-9D26-41E8-A2CB-30A5A57C19FF}">
  <ds:schemaRefs>
    <ds:schemaRef ds:uri="http://schemas.microsoft.com/office/2006/metadata/properties"/>
    <ds:schemaRef ds:uri="http://schemas.microsoft.com/office/infopath/2007/PartnerControls"/>
    <ds:schemaRef ds:uri="15ce6288-cbd3-4e72-9810-f231d6342630"/>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297</TotalTime>
  <Pages>6</Pages>
  <Words>2097</Words>
  <Characters>11957</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trion</dc:creator>
  <cp:keywords/>
  <dc:description/>
  <cp:lastModifiedBy>Triona Lenihan</cp:lastModifiedBy>
  <cp:revision>262</cp:revision>
  <cp:lastPrinted>2022-10-31T13:43:00Z</cp:lastPrinted>
  <dcterms:created xsi:type="dcterms:W3CDTF">2022-10-26T18:21:00Z</dcterms:created>
  <dcterms:modified xsi:type="dcterms:W3CDTF">2022-10-31T13:43:00Z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0x0101006D3AC66AD3AC804A9C376D2E2236A8EA00FDAF115C84305E47BC195B71F477138C</vt:lpwstr>
  </property>
  <property fmtid="{D5CDD505-2E9C-101B-9397-08002B2CF9AE}" pid="3" name="Project">
    <vt:lpwstr>249;#Stationery|7298d474-0827-4064-b09d-4dc7be266af7</vt:lpwstr>
  </property>
  <property fmtid="{D5CDD505-2E9C-101B-9397-08002B2CF9AE}" pid="4" name="Year">
    <vt:lpwstr>713;#2019|1a0b4b31-1f4c-4e04-a782-a8ba081d5748</vt:lpwstr>
  </property>
  <property fmtid="{D5CDD505-2E9C-101B-9397-08002B2CF9AE}" pid="5" name="PRI Theme">
    <vt:lpwstr/>
  </property>
  <property fmtid="{D5CDD505-2E9C-101B-9397-08002B2CF9AE}" pid="6" name="PRI Offices">
    <vt:lpwstr>20;#Organisational|36fcc256-9009-46b9-905a-517613e4ca44</vt:lpwstr>
  </property>
  <property fmtid="{D5CDD505-2E9C-101B-9397-08002B2CF9AE}" pid="7" name="Comms Document Type">
    <vt:lpwstr>263;#Templates/form|41843426-7833-4f56-8926-b6b40b3102cb</vt:lpwstr>
  </property>
</Properties>
</file>