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EA414" w14:textId="71803B40" w:rsidR="00B41B0B" w:rsidRPr="00EF3F54" w:rsidRDefault="00B41B0B" w:rsidP="00CC06A7">
      <w:pPr>
        <w:jc w:val="right"/>
        <w:rPr>
          <w:rFonts w:ascii="Times New Roman" w:hAnsi="Times New Roman" w:cs="Times New Roman"/>
          <w:b/>
          <w:sz w:val="24"/>
          <w:szCs w:val="24"/>
          <w:lang w:val="en-GB"/>
        </w:rPr>
      </w:pPr>
      <w:r w:rsidRPr="00EF3F54">
        <w:rPr>
          <w:rFonts w:ascii="Times New Roman" w:hAnsi="Times New Roman" w:cs="Times New Roman"/>
          <w:b/>
          <w:sz w:val="24"/>
          <w:szCs w:val="24"/>
          <w:lang w:val="en-GB"/>
        </w:rPr>
        <w:t>2</w:t>
      </w:r>
      <w:r w:rsidR="00840671" w:rsidRPr="00EF3F54">
        <w:rPr>
          <w:rFonts w:ascii="Times New Roman" w:hAnsi="Times New Roman" w:cs="Times New Roman"/>
          <w:b/>
          <w:sz w:val="24"/>
          <w:szCs w:val="24"/>
          <w:lang w:val="en-GB"/>
        </w:rPr>
        <w:t>6</w:t>
      </w:r>
      <w:r w:rsidRPr="00EF3F54">
        <w:rPr>
          <w:rFonts w:ascii="Times New Roman" w:hAnsi="Times New Roman" w:cs="Times New Roman"/>
          <w:b/>
          <w:sz w:val="24"/>
          <w:szCs w:val="24"/>
          <w:lang w:val="en-GB"/>
        </w:rPr>
        <w:t>-</w:t>
      </w:r>
      <w:r w:rsidR="00840671" w:rsidRPr="00EF3F54">
        <w:rPr>
          <w:rFonts w:ascii="Times New Roman" w:hAnsi="Times New Roman" w:cs="Times New Roman"/>
          <w:b/>
          <w:sz w:val="24"/>
          <w:szCs w:val="24"/>
          <w:lang w:val="en-GB"/>
        </w:rPr>
        <w:t>10</w:t>
      </w:r>
      <w:r w:rsidRPr="00EF3F54">
        <w:rPr>
          <w:rFonts w:ascii="Times New Roman" w:hAnsi="Times New Roman" w:cs="Times New Roman"/>
          <w:b/>
          <w:sz w:val="24"/>
          <w:szCs w:val="24"/>
          <w:lang w:val="en-GB"/>
        </w:rPr>
        <w:t>-2022</w:t>
      </w:r>
    </w:p>
    <w:p w14:paraId="04F94E2A" w14:textId="6B0A0228" w:rsidR="00B20C8D" w:rsidRPr="00EF3F54" w:rsidRDefault="00D1595A" w:rsidP="00D2300A">
      <w:pPr>
        <w:jc w:val="center"/>
        <w:rPr>
          <w:rFonts w:ascii="Times New Roman" w:hAnsi="Times New Roman" w:cs="Times New Roman"/>
          <w:b/>
          <w:sz w:val="24"/>
          <w:szCs w:val="24"/>
          <w:lang w:val="en-GB"/>
        </w:rPr>
      </w:pPr>
      <w:r w:rsidRPr="00EF3F54">
        <w:rPr>
          <w:rFonts w:ascii="Times New Roman" w:hAnsi="Times New Roman" w:cs="Times New Roman"/>
          <w:b/>
          <w:sz w:val="24"/>
          <w:szCs w:val="24"/>
          <w:lang w:val="en-GB"/>
        </w:rPr>
        <w:t>Information provided by the Republic of Lithuania</w:t>
      </w:r>
      <w:r w:rsidR="00BD2262" w:rsidRPr="00EF3F54">
        <w:rPr>
          <w:rFonts w:ascii="Times New Roman" w:hAnsi="Times New Roman" w:cs="Times New Roman"/>
          <w:b/>
          <w:sz w:val="24"/>
          <w:szCs w:val="24"/>
          <w:lang w:val="en-GB"/>
        </w:rPr>
        <w:t xml:space="preserve"> to the</w:t>
      </w:r>
      <w:r w:rsidR="000E6D9B">
        <w:rPr>
          <w:rFonts w:ascii="Times New Roman" w:hAnsi="Times New Roman" w:cs="Times New Roman"/>
          <w:b/>
          <w:sz w:val="24"/>
          <w:szCs w:val="24"/>
          <w:lang w:val="en-GB"/>
        </w:rPr>
        <w:t xml:space="preserve"> Questionnaire by the</w:t>
      </w:r>
      <w:r w:rsidR="00BD2262" w:rsidRPr="00EF3F54">
        <w:rPr>
          <w:rFonts w:ascii="Times New Roman" w:hAnsi="Times New Roman" w:cs="Times New Roman"/>
          <w:b/>
          <w:sz w:val="24"/>
          <w:szCs w:val="24"/>
          <w:lang w:val="en-GB"/>
        </w:rPr>
        <w:t xml:space="preserve"> </w:t>
      </w:r>
      <w:r w:rsidR="00840671" w:rsidRPr="00EF3F54">
        <w:rPr>
          <w:rFonts w:ascii="Times New Roman" w:hAnsi="Times New Roman" w:cs="Times New Roman"/>
          <w:b/>
          <w:sz w:val="24"/>
          <w:szCs w:val="24"/>
          <w:lang w:val="en-GB"/>
        </w:rPr>
        <w:t>Chair-Rapporteur of the Working Group</w:t>
      </w:r>
      <w:r w:rsidR="00BD2262" w:rsidRPr="00EF3F54">
        <w:rPr>
          <w:rFonts w:ascii="Times New Roman" w:hAnsi="Times New Roman" w:cs="Times New Roman"/>
          <w:b/>
          <w:sz w:val="24"/>
          <w:szCs w:val="24"/>
          <w:lang w:val="en-GB"/>
        </w:rPr>
        <w:t xml:space="preserve"> on</w:t>
      </w:r>
      <w:r w:rsidR="00840671" w:rsidRPr="00EF3F54">
        <w:rPr>
          <w:rFonts w:ascii="Times New Roman" w:hAnsi="Times New Roman" w:cs="Times New Roman"/>
          <w:b/>
          <w:sz w:val="24"/>
          <w:szCs w:val="24"/>
          <w:lang w:val="en-GB"/>
        </w:rPr>
        <w:t xml:space="preserve"> the issue of</w:t>
      </w:r>
      <w:r w:rsidR="00BD2262" w:rsidRPr="00EF3F54">
        <w:rPr>
          <w:rFonts w:ascii="Times New Roman" w:hAnsi="Times New Roman" w:cs="Times New Roman"/>
          <w:b/>
          <w:sz w:val="24"/>
          <w:szCs w:val="24"/>
          <w:lang w:val="en-GB"/>
        </w:rPr>
        <w:t xml:space="preserve"> </w:t>
      </w:r>
      <w:r w:rsidR="00840671" w:rsidRPr="00EF3F54">
        <w:rPr>
          <w:rFonts w:ascii="Times New Roman" w:hAnsi="Times New Roman" w:cs="Times New Roman"/>
          <w:b/>
          <w:sz w:val="24"/>
          <w:szCs w:val="24"/>
          <w:lang w:val="en-GB"/>
        </w:rPr>
        <w:t>discrimination against women and girls</w:t>
      </w:r>
      <w:r w:rsidR="000E6D9B">
        <w:rPr>
          <w:rFonts w:ascii="Times New Roman" w:hAnsi="Times New Roman" w:cs="Times New Roman"/>
          <w:b/>
          <w:sz w:val="24"/>
          <w:szCs w:val="24"/>
          <w:lang w:val="en-GB"/>
        </w:rPr>
        <w:t xml:space="preserve"> </w:t>
      </w:r>
      <w:r w:rsidRPr="00EF3F54">
        <w:rPr>
          <w:rFonts w:ascii="Times New Roman" w:hAnsi="Times New Roman" w:cs="Times New Roman"/>
          <w:b/>
          <w:sz w:val="24"/>
          <w:szCs w:val="24"/>
          <w:lang w:val="en-GB"/>
        </w:rPr>
        <w:t xml:space="preserve">on </w:t>
      </w:r>
      <w:r w:rsidR="00840671" w:rsidRPr="00EF3F54">
        <w:rPr>
          <w:rFonts w:ascii="Times New Roman" w:hAnsi="Times New Roman" w:cs="Times New Roman"/>
          <w:b/>
          <w:sz w:val="24"/>
          <w:szCs w:val="24"/>
          <w:lang w:val="en-GB"/>
        </w:rPr>
        <w:t>women’s and girls’ human security in the context of poverty and inequality</w:t>
      </w:r>
    </w:p>
    <w:p w14:paraId="6B384BE4" w14:textId="77777777" w:rsidR="00BD2262" w:rsidRPr="00EF3F54" w:rsidRDefault="00BD2262" w:rsidP="00734BE6">
      <w:pPr>
        <w:jc w:val="both"/>
        <w:rPr>
          <w:rFonts w:ascii="Times New Roman" w:hAnsi="Times New Roman" w:cs="Times New Roman"/>
          <w:sz w:val="24"/>
          <w:szCs w:val="24"/>
          <w:lang w:val="en-GB"/>
        </w:rPr>
      </w:pPr>
    </w:p>
    <w:p w14:paraId="69C4513A" w14:textId="0077A3A9" w:rsidR="00D1595A" w:rsidRPr="00EF3F54" w:rsidRDefault="009F7310" w:rsidP="00734BE6">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sz w:val="24"/>
          <w:szCs w:val="24"/>
          <w:lang w:val="en-GB"/>
        </w:rPr>
        <w:t xml:space="preserve">Income and living conditions of the population of Lithuania (2022 edition): </w:t>
      </w:r>
      <w:hyperlink r:id="rId8" w:history="1">
        <w:r w:rsidRPr="00EF3F54">
          <w:rPr>
            <w:rStyle w:val="Hyperlink"/>
            <w:rFonts w:ascii="Times New Roman" w:hAnsi="Times New Roman" w:cs="Times New Roman"/>
            <w:spacing w:val="-2"/>
            <w:sz w:val="24"/>
            <w:szCs w:val="24"/>
            <w:lang w:val="en-GB"/>
          </w:rPr>
          <w:t>https://osp.stat.gov.lt/lietuvos-gyventoju-pajamos-ir-gyvenimo-salygos-2022/izanga</w:t>
        </w:r>
      </w:hyperlink>
    </w:p>
    <w:p w14:paraId="44A78562" w14:textId="77777777" w:rsidR="009F7310" w:rsidRPr="00EF3F54" w:rsidRDefault="009F7310" w:rsidP="009F7310">
      <w:pPr>
        <w:pStyle w:val="ListParagraph"/>
        <w:jc w:val="both"/>
        <w:rPr>
          <w:rFonts w:ascii="Times New Roman" w:hAnsi="Times New Roman" w:cs="Times New Roman"/>
          <w:sz w:val="24"/>
          <w:szCs w:val="24"/>
          <w:lang w:val="en-GB"/>
        </w:rPr>
      </w:pPr>
    </w:p>
    <w:p w14:paraId="673C8500" w14:textId="7F94E870" w:rsidR="009F7310" w:rsidRPr="00EF3F54" w:rsidRDefault="009F7310" w:rsidP="009F7310">
      <w:pPr>
        <w:pStyle w:val="ListParagraph"/>
        <w:jc w:val="both"/>
        <w:rPr>
          <w:rFonts w:ascii="Times New Roman" w:hAnsi="Times New Roman" w:cs="Times New Roman"/>
          <w:sz w:val="24"/>
          <w:szCs w:val="24"/>
          <w:lang w:val="en-GB"/>
        </w:rPr>
      </w:pPr>
      <w:r w:rsidRPr="00EF3F54">
        <w:rPr>
          <w:rFonts w:ascii="Times New Roman" w:hAnsi="Times New Roman" w:cs="Times New Roman"/>
          <w:i/>
          <w:sz w:val="24"/>
          <w:szCs w:val="24"/>
          <w:lang w:val="en-GB"/>
        </w:rPr>
        <w:t>Please find attached Annex 1</w:t>
      </w:r>
      <w:r w:rsidRPr="00EF3F54">
        <w:rPr>
          <w:rFonts w:ascii="Times New Roman" w:hAnsi="Times New Roman" w:cs="Times New Roman"/>
          <w:sz w:val="24"/>
          <w:szCs w:val="24"/>
          <w:lang w:val="en-GB"/>
        </w:rPr>
        <w:t>.</w:t>
      </w:r>
    </w:p>
    <w:p w14:paraId="52DC7C93" w14:textId="77777777" w:rsidR="009F7310" w:rsidRPr="00EF3F54" w:rsidRDefault="009F7310" w:rsidP="00CC06A7">
      <w:pPr>
        <w:pStyle w:val="ListParagraph"/>
        <w:jc w:val="both"/>
        <w:rPr>
          <w:rFonts w:ascii="Times New Roman" w:hAnsi="Times New Roman" w:cs="Times New Roman"/>
          <w:sz w:val="24"/>
          <w:szCs w:val="24"/>
          <w:lang w:val="en-GB"/>
        </w:rPr>
      </w:pPr>
    </w:p>
    <w:p w14:paraId="1A77FBD1" w14:textId="2183ADAE" w:rsidR="009F7310" w:rsidRPr="00EF3F54" w:rsidRDefault="009F7310" w:rsidP="009F7310">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lang w:val="en-GB"/>
        </w:rPr>
        <w:t xml:space="preserve">There are no statistics on girls' poverty risk level, as child poverty </w:t>
      </w:r>
      <w:proofErr w:type="gramStart"/>
      <w:r w:rsidRPr="00EF3F54">
        <w:rPr>
          <w:rFonts w:ascii="Times New Roman" w:hAnsi="Times New Roman" w:cs="Times New Roman"/>
          <w:iCs/>
          <w:sz w:val="24"/>
          <w:lang w:val="en-GB"/>
        </w:rPr>
        <w:t>is not broken down</w:t>
      </w:r>
      <w:proofErr w:type="gramEnd"/>
      <w:r w:rsidRPr="00EF3F54">
        <w:rPr>
          <w:rFonts w:ascii="Times New Roman" w:hAnsi="Times New Roman" w:cs="Times New Roman"/>
          <w:iCs/>
          <w:sz w:val="24"/>
          <w:lang w:val="en-GB"/>
        </w:rPr>
        <w:t xml:space="preserve"> by gender. Inequality indicators are also not broken down by gender.</w:t>
      </w:r>
    </w:p>
    <w:p w14:paraId="287FD55F" w14:textId="77DBB98F" w:rsidR="009F7310" w:rsidRPr="00EF3F54" w:rsidRDefault="009F7310" w:rsidP="009F7310">
      <w:pPr>
        <w:pStyle w:val="BodyText"/>
        <w:ind w:left="720"/>
        <w:rPr>
          <w:iCs/>
          <w:sz w:val="24"/>
          <w:szCs w:val="22"/>
          <w:lang w:val="en-GB"/>
        </w:rPr>
      </w:pPr>
      <w:r w:rsidRPr="00EF3F54">
        <w:rPr>
          <w:iCs/>
          <w:sz w:val="24"/>
          <w:szCs w:val="22"/>
          <w:lang w:val="en-GB"/>
        </w:rPr>
        <w:t xml:space="preserve">General indicators of inequality are the Gini: </w:t>
      </w:r>
      <w:hyperlink r:id="rId9" w:anchor="/" w:history="1">
        <w:r w:rsidRPr="00EF3F54">
          <w:rPr>
            <w:rStyle w:val="Hyperlink"/>
            <w:sz w:val="24"/>
            <w:lang w:val="en-GB"/>
          </w:rPr>
          <w:t>https://osp.stat.gov.lt/en/statistiniu-rodikliu-analize?hash=4ea781a3-fed7-4bf1-a992-%20f38e538d2104 - /</w:t>
        </w:r>
      </w:hyperlink>
      <w:r w:rsidRPr="00EF3F54">
        <w:rPr>
          <w:iCs/>
          <w:sz w:val="24"/>
          <w:lang w:val="en-GB"/>
        </w:rPr>
        <w:t xml:space="preserve"> and S80/S20: </w:t>
      </w:r>
      <w:hyperlink r:id="rId10" w:history="1">
        <w:r w:rsidRPr="00EF3F54">
          <w:rPr>
            <w:rStyle w:val="Hyperlink"/>
            <w:iCs/>
            <w:sz w:val="24"/>
            <w:lang w:val="en-GB"/>
          </w:rPr>
          <w:t>https://osp.stat.gov.lt/en/statistiniu-rodikliu-analize?hash=57729ac9-1cfa-443b-a71f-c93ec04963c7</w:t>
        </w:r>
      </w:hyperlink>
    </w:p>
    <w:p w14:paraId="5AC5DAA4" w14:textId="77777777" w:rsidR="00B41B0B" w:rsidRPr="00EF3F54" w:rsidRDefault="00B41B0B" w:rsidP="00CC06A7">
      <w:pPr>
        <w:pStyle w:val="ListParagraph"/>
        <w:jc w:val="both"/>
        <w:rPr>
          <w:rFonts w:ascii="Times New Roman" w:hAnsi="Times New Roman" w:cs="Times New Roman"/>
          <w:sz w:val="24"/>
          <w:szCs w:val="24"/>
          <w:lang w:val="en-GB"/>
        </w:rPr>
      </w:pPr>
    </w:p>
    <w:p w14:paraId="7361A017" w14:textId="0F5D3FFC" w:rsidR="00BD2262" w:rsidRPr="00EF3F54" w:rsidRDefault="009F7310" w:rsidP="00734BE6">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sz w:val="24"/>
          <w:szCs w:val="24"/>
          <w:lang w:val="en-GB"/>
        </w:rPr>
        <w:t>N/A</w:t>
      </w:r>
      <w:r w:rsidR="005E3F1A" w:rsidRPr="00EF3F54">
        <w:rPr>
          <w:rFonts w:ascii="Times New Roman" w:hAnsi="Times New Roman" w:cs="Times New Roman"/>
          <w:sz w:val="24"/>
          <w:szCs w:val="24"/>
          <w:lang w:val="en-GB"/>
        </w:rPr>
        <w:t>.</w:t>
      </w:r>
    </w:p>
    <w:p w14:paraId="03477C62" w14:textId="77777777" w:rsidR="00B41B0B" w:rsidRPr="00EF3F54" w:rsidRDefault="00B41B0B" w:rsidP="00CC06A7">
      <w:pPr>
        <w:pStyle w:val="ListParagraph"/>
        <w:jc w:val="both"/>
        <w:rPr>
          <w:rFonts w:ascii="Times New Roman" w:hAnsi="Times New Roman" w:cs="Times New Roman"/>
          <w:sz w:val="24"/>
          <w:szCs w:val="24"/>
          <w:lang w:val="en-GB"/>
        </w:rPr>
      </w:pPr>
    </w:p>
    <w:p w14:paraId="687B6FF9" w14:textId="3606721C" w:rsidR="00BD2262" w:rsidRPr="00EF3F54" w:rsidRDefault="009F7310" w:rsidP="00734BE6">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pacing w:val="-2"/>
          <w:sz w:val="24"/>
          <w:szCs w:val="24"/>
          <w:lang w:val="en-GB"/>
        </w:rPr>
        <w:t xml:space="preserve">Reducing poverty remains an important challenge in Lithuania. Relative poverty remains high in international comparison and is distributed unevenly across population groups with the elderly women, women and girls with disabilities, lone mothers, the </w:t>
      </w:r>
      <w:proofErr w:type="gramStart"/>
      <w:r w:rsidRPr="00EF3F54">
        <w:rPr>
          <w:rFonts w:ascii="Times New Roman" w:hAnsi="Times New Roman" w:cs="Times New Roman"/>
          <w:iCs/>
          <w:spacing w:val="-2"/>
          <w:sz w:val="24"/>
          <w:szCs w:val="24"/>
          <w:lang w:val="en-GB"/>
        </w:rPr>
        <w:t>low-educated</w:t>
      </w:r>
      <w:proofErr w:type="gramEnd"/>
      <w:r w:rsidRPr="00EF3F54">
        <w:rPr>
          <w:rFonts w:ascii="Times New Roman" w:hAnsi="Times New Roman" w:cs="Times New Roman"/>
          <w:iCs/>
          <w:spacing w:val="-2"/>
          <w:sz w:val="24"/>
          <w:szCs w:val="24"/>
          <w:lang w:val="en-GB"/>
        </w:rPr>
        <w:t xml:space="preserve"> and the unemployed being particularly affected. In particular, the threats or risks </w:t>
      </w:r>
      <w:proofErr w:type="gramStart"/>
      <w:r w:rsidRPr="00EF3F54">
        <w:rPr>
          <w:rFonts w:ascii="Times New Roman" w:hAnsi="Times New Roman" w:cs="Times New Roman"/>
          <w:iCs/>
          <w:spacing w:val="-2"/>
          <w:sz w:val="24"/>
          <w:szCs w:val="24"/>
          <w:lang w:val="en-GB"/>
        </w:rPr>
        <w:t>are related</w:t>
      </w:r>
      <w:proofErr w:type="gramEnd"/>
      <w:r w:rsidRPr="00EF3F54">
        <w:rPr>
          <w:rFonts w:ascii="Times New Roman" w:hAnsi="Times New Roman" w:cs="Times New Roman"/>
          <w:iCs/>
          <w:spacing w:val="-2"/>
          <w:sz w:val="24"/>
          <w:szCs w:val="24"/>
          <w:lang w:val="en-GB"/>
        </w:rPr>
        <w:t xml:space="preserve"> with accessing health care, housing, healthy food, experiencing social exclusion and economic ‘</w:t>
      </w:r>
      <w:proofErr w:type="spellStart"/>
      <w:r w:rsidRPr="00EF3F54">
        <w:rPr>
          <w:rFonts w:ascii="Times New Roman" w:hAnsi="Times New Roman" w:cs="Times New Roman"/>
          <w:iCs/>
          <w:spacing w:val="-2"/>
          <w:sz w:val="24"/>
          <w:szCs w:val="24"/>
          <w:lang w:val="en-GB"/>
        </w:rPr>
        <w:t>unfreedom</w:t>
      </w:r>
      <w:proofErr w:type="spellEnd"/>
      <w:r w:rsidRPr="00EF3F54">
        <w:rPr>
          <w:rFonts w:ascii="Times New Roman" w:hAnsi="Times New Roman" w:cs="Times New Roman"/>
          <w:iCs/>
          <w:spacing w:val="-2"/>
          <w:sz w:val="24"/>
          <w:szCs w:val="24"/>
          <w:lang w:val="en-GB"/>
        </w:rPr>
        <w:t>’. Unemployed women experience more difficulties in the Lithuanian labour market - they find employment more slowly and more often start working under fixed-term employment contracts. Data from the Employment Service show that, on average, every seventh woman and every tenth man temporarily returns to the labour market after a period of unemployment.</w:t>
      </w:r>
    </w:p>
    <w:p w14:paraId="6283A263" w14:textId="77777777" w:rsidR="00B41B0B" w:rsidRPr="00EF3F54" w:rsidRDefault="00B41B0B" w:rsidP="002C607C">
      <w:pPr>
        <w:pStyle w:val="ListParagraph"/>
        <w:jc w:val="both"/>
        <w:rPr>
          <w:rFonts w:ascii="Times New Roman" w:hAnsi="Times New Roman" w:cs="Times New Roman"/>
          <w:sz w:val="24"/>
          <w:szCs w:val="24"/>
          <w:lang w:val="en-GB"/>
        </w:rPr>
      </w:pPr>
    </w:p>
    <w:p w14:paraId="1892A4F7" w14:textId="0A0E7329" w:rsidR="009F7310" w:rsidRPr="00EF3F54" w:rsidRDefault="009F7310" w:rsidP="009F7310">
      <w:pPr>
        <w:pStyle w:val="ListParagraph"/>
        <w:numPr>
          <w:ilvl w:val="0"/>
          <w:numId w:val="1"/>
        </w:numPr>
        <w:jc w:val="both"/>
        <w:rPr>
          <w:rFonts w:ascii="Times New Roman" w:hAnsi="Times New Roman" w:cs="Times New Roman"/>
          <w:sz w:val="32"/>
          <w:szCs w:val="24"/>
          <w:lang w:val="en-GB"/>
        </w:rPr>
      </w:pPr>
      <w:r w:rsidRPr="00EF3F54">
        <w:rPr>
          <w:rFonts w:ascii="Times New Roman" w:hAnsi="Times New Roman" w:cs="Times New Roman"/>
          <w:iCs/>
          <w:sz w:val="24"/>
          <w:lang w:val="en-GB"/>
        </w:rPr>
        <w:t>The legal framework includes a number of legal acts related to social insurance and pension system, social integration of the disabled, equal opportunities, social assistance, etc. For instance, In the Law on Cash Social Assistance for Poor Residents Cash</w:t>
      </w:r>
      <w:r w:rsidR="0077242A" w:rsidRPr="00EF3F54">
        <w:rPr>
          <w:rFonts w:ascii="Times New Roman" w:hAnsi="Times New Roman" w:cs="Times New Roman"/>
          <w:iCs/>
          <w:sz w:val="24"/>
          <w:lang w:val="en-GB"/>
        </w:rPr>
        <w:t>,</w:t>
      </w:r>
      <w:r w:rsidRPr="00EF3F54">
        <w:rPr>
          <w:rFonts w:ascii="Times New Roman" w:hAnsi="Times New Roman" w:cs="Times New Roman"/>
          <w:iCs/>
          <w:sz w:val="24"/>
          <w:lang w:val="en-GB"/>
        </w:rPr>
        <w:t xml:space="preserve"> social assistance comprises both social benefit and compensation for the cost of heating, drinking water and hot water.</w:t>
      </w:r>
      <w:r w:rsidRPr="00EF3F54">
        <w:rPr>
          <w:rFonts w:ascii="Times New Roman" w:hAnsi="Times New Roman" w:cs="Times New Roman"/>
          <w:sz w:val="28"/>
          <w:lang w:val="en-GB"/>
        </w:rPr>
        <w:t xml:space="preserve"> </w:t>
      </w:r>
      <w:r w:rsidRPr="00EF3F54">
        <w:rPr>
          <w:rFonts w:ascii="Times New Roman" w:hAnsi="Times New Roman" w:cs="Times New Roman"/>
          <w:iCs/>
          <w:sz w:val="24"/>
          <w:lang w:val="en-GB"/>
        </w:rPr>
        <w:t>Those on low income are entitled to social benefit that guarantees minimum funds for satisfying</w:t>
      </w:r>
      <w:r w:rsidR="0077242A" w:rsidRPr="00EF3F54">
        <w:rPr>
          <w:rFonts w:ascii="Times New Roman" w:hAnsi="Times New Roman" w:cs="Times New Roman"/>
          <w:iCs/>
          <w:sz w:val="24"/>
          <w:lang w:val="en-GB"/>
        </w:rPr>
        <w:t xml:space="preserve"> the</w:t>
      </w:r>
      <w:r w:rsidRPr="00EF3F54">
        <w:rPr>
          <w:rFonts w:ascii="Times New Roman" w:hAnsi="Times New Roman" w:cs="Times New Roman"/>
          <w:iCs/>
          <w:sz w:val="24"/>
          <w:lang w:val="en-GB"/>
        </w:rPr>
        <w:t xml:space="preserve"> basic needs (food and clothing) and compensation for the cost of heating, hot water and drinking water intended to cover in part the cost of maintaining a household. Those on low income may receive social benefit if there are objective reasons why they cannot earn enough to keep themselves and they have exhausted all other possibilities of earning income. Their income and assets </w:t>
      </w:r>
      <w:proofErr w:type="gramStart"/>
      <w:r w:rsidRPr="00EF3F54">
        <w:rPr>
          <w:rFonts w:ascii="Times New Roman" w:hAnsi="Times New Roman" w:cs="Times New Roman"/>
          <w:iCs/>
          <w:sz w:val="24"/>
          <w:lang w:val="en-GB"/>
        </w:rPr>
        <w:t>are assessed</w:t>
      </w:r>
      <w:proofErr w:type="gramEnd"/>
      <w:r w:rsidRPr="00EF3F54">
        <w:rPr>
          <w:rFonts w:ascii="Times New Roman" w:hAnsi="Times New Roman" w:cs="Times New Roman"/>
          <w:iCs/>
          <w:sz w:val="24"/>
          <w:lang w:val="en-GB"/>
        </w:rPr>
        <w:t xml:space="preserve"> when deciding on their entitlement for support.</w:t>
      </w:r>
    </w:p>
    <w:p w14:paraId="4CCF4ECD" w14:textId="77777777" w:rsidR="009F7310" w:rsidRPr="00EF3F54" w:rsidRDefault="009F7310" w:rsidP="009F7310">
      <w:pPr>
        <w:pStyle w:val="ListParagraph"/>
        <w:tabs>
          <w:tab w:val="left" w:pos="1204"/>
        </w:tabs>
        <w:spacing w:line="256" w:lineRule="auto"/>
        <w:ind w:right="477"/>
        <w:jc w:val="both"/>
        <w:rPr>
          <w:rFonts w:ascii="Times New Roman" w:hAnsi="Times New Roman" w:cs="Times New Roman"/>
          <w:iCs/>
          <w:sz w:val="24"/>
          <w:lang w:val="en-GB"/>
        </w:rPr>
      </w:pPr>
    </w:p>
    <w:p w14:paraId="480EFBB8" w14:textId="3517C0CF" w:rsidR="009F7310" w:rsidRPr="00EF3F54" w:rsidRDefault="009F7310" w:rsidP="009F7310">
      <w:pPr>
        <w:pStyle w:val="ListParagraph"/>
        <w:tabs>
          <w:tab w:val="left" w:pos="1204"/>
        </w:tabs>
        <w:spacing w:line="256" w:lineRule="auto"/>
        <w:ind w:right="477"/>
        <w:jc w:val="both"/>
        <w:rPr>
          <w:rFonts w:ascii="Times New Roman" w:hAnsi="Times New Roman" w:cs="Times New Roman"/>
          <w:iCs/>
          <w:sz w:val="24"/>
          <w:lang w:val="en-GB"/>
        </w:rPr>
      </w:pPr>
      <w:r w:rsidRPr="00EF3F54">
        <w:rPr>
          <w:rFonts w:ascii="Times New Roman" w:hAnsi="Times New Roman" w:cs="Times New Roman"/>
          <w:iCs/>
          <w:sz w:val="24"/>
          <w:lang w:val="en-GB"/>
        </w:rPr>
        <w:t xml:space="preserve">Lithuania is implementing various measures to reduce poverty and social exclusion in the country. The Ministry of Social Security and Labour has initiated measures that will have an impact on poverty reduction including faster increase of pensions, single person's allowance, increase of minimum monthly salary, growing social benefits, development </w:t>
      </w:r>
      <w:r w:rsidRPr="00EF3F54">
        <w:rPr>
          <w:rFonts w:ascii="Times New Roman" w:hAnsi="Times New Roman" w:cs="Times New Roman"/>
          <w:iCs/>
          <w:sz w:val="24"/>
          <w:lang w:val="en-GB"/>
        </w:rPr>
        <w:lastRenderedPageBreak/>
        <w:t xml:space="preserve">of social services. In order to reduce poverty and income inequality, while ensuring sufficient incentives to work, it </w:t>
      </w:r>
      <w:proofErr w:type="gramStart"/>
      <w:r w:rsidRPr="00EF3F54">
        <w:rPr>
          <w:rFonts w:ascii="Times New Roman" w:hAnsi="Times New Roman" w:cs="Times New Roman"/>
          <w:iCs/>
          <w:sz w:val="24"/>
          <w:lang w:val="en-GB"/>
        </w:rPr>
        <w:t>is planned</w:t>
      </w:r>
      <w:proofErr w:type="gramEnd"/>
      <w:r w:rsidRPr="00EF3F54">
        <w:rPr>
          <w:rFonts w:ascii="Times New Roman" w:hAnsi="Times New Roman" w:cs="Times New Roman"/>
          <w:iCs/>
          <w:sz w:val="24"/>
          <w:lang w:val="en-GB"/>
        </w:rPr>
        <w:t xml:space="preserve"> to carry out a study of the existing minimum income system, the purpose of which is a comprehensive assessment the minimum income system in Lithuania, to identify directions for its improvement in order to reduce poverty and ensure more efficient use of funds. Based on the results and </w:t>
      </w:r>
      <w:bookmarkStart w:id="0" w:name="_GoBack"/>
      <w:r w:rsidRPr="00EF3F54">
        <w:rPr>
          <w:rFonts w:ascii="Times New Roman" w:hAnsi="Times New Roman" w:cs="Times New Roman"/>
          <w:iCs/>
          <w:sz w:val="24"/>
          <w:lang w:val="en-GB"/>
        </w:rPr>
        <w:t xml:space="preserve">recommendations of the conducted study, in 2023 it </w:t>
      </w:r>
      <w:proofErr w:type="gramStart"/>
      <w:r w:rsidRPr="00EF3F54">
        <w:rPr>
          <w:rFonts w:ascii="Times New Roman" w:hAnsi="Times New Roman" w:cs="Times New Roman"/>
          <w:iCs/>
          <w:sz w:val="24"/>
          <w:lang w:val="en-GB"/>
        </w:rPr>
        <w:t>is planned</w:t>
      </w:r>
      <w:proofErr w:type="gramEnd"/>
      <w:r w:rsidRPr="00EF3F54">
        <w:rPr>
          <w:rFonts w:ascii="Times New Roman" w:hAnsi="Times New Roman" w:cs="Times New Roman"/>
          <w:iCs/>
          <w:sz w:val="24"/>
          <w:lang w:val="en-GB"/>
        </w:rPr>
        <w:t xml:space="preserve"> to prepare amendments </w:t>
      </w:r>
      <w:bookmarkEnd w:id="0"/>
      <w:r w:rsidRPr="00EF3F54">
        <w:rPr>
          <w:rFonts w:ascii="Times New Roman" w:hAnsi="Times New Roman" w:cs="Times New Roman"/>
          <w:iCs/>
          <w:sz w:val="24"/>
          <w:lang w:val="en-GB"/>
        </w:rPr>
        <w:t>to legal acts focused on reducing poverty and income inequality.</w:t>
      </w:r>
    </w:p>
    <w:p w14:paraId="5FF9255E" w14:textId="3A1CB843" w:rsidR="009F7310" w:rsidRPr="00EF3F54" w:rsidRDefault="009F7310" w:rsidP="009F7310">
      <w:pPr>
        <w:pStyle w:val="ListParagraph"/>
        <w:tabs>
          <w:tab w:val="left" w:pos="1204"/>
        </w:tabs>
        <w:spacing w:line="256" w:lineRule="auto"/>
        <w:ind w:right="477"/>
        <w:jc w:val="both"/>
        <w:rPr>
          <w:rFonts w:ascii="Times New Roman" w:hAnsi="Times New Roman" w:cs="Times New Roman"/>
          <w:iCs/>
          <w:sz w:val="24"/>
          <w:lang w:val="en-GB"/>
        </w:rPr>
      </w:pPr>
      <w:r w:rsidRPr="00EF3F54">
        <w:rPr>
          <w:rFonts w:ascii="Times New Roman" w:hAnsi="Times New Roman" w:cs="Times New Roman"/>
          <w:iCs/>
          <w:sz w:val="24"/>
          <w:lang w:val="en-GB"/>
        </w:rPr>
        <w:t xml:space="preserve">In 2021, a long-term Income Inequality Reduction Development Program </w:t>
      </w:r>
      <w:proofErr w:type="gramStart"/>
      <w:r w:rsidRPr="00EF3F54">
        <w:rPr>
          <w:rFonts w:ascii="Times New Roman" w:hAnsi="Times New Roman" w:cs="Times New Roman"/>
          <w:iCs/>
          <w:sz w:val="24"/>
          <w:lang w:val="en-GB"/>
        </w:rPr>
        <w:t>was approved</w:t>
      </w:r>
      <w:proofErr w:type="gramEnd"/>
      <w:r w:rsidRPr="00EF3F54">
        <w:rPr>
          <w:rFonts w:ascii="Times New Roman" w:hAnsi="Times New Roman" w:cs="Times New Roman"/>
          <w:iCs/>
          <w:sz w:val="24"/>
          <w:lang w:val="en-GB"/>
        </w:rPr>
        <w:t xml:space="preserve">. It foresees 14 areas of measures that </w:t>
      </w:r>
      <w:proofErr w:type="gramStart"/>
      <w:r w:rsidRPr="00EF3F54">
        <w:rPr>
          <w:rFonts w:ascii="Times New Roman" w:hAnsi="Times New Roman" w:cs="Times New Roman"/>
          <w:iCs/>
          <w:sz w:val="24"/>
          <w:lang w:val="en-GB"/>
        </w:rPr>
        <w:t>will be implemented</w:t>
      </w:r>
      <w:proofErr w:type="gramEnd"/>
      <w:r w:rsidRPr="00EF3F54">
        <w:rPr>
          <w:rFonts w:ascii="Times New Roman" w:hAnsi="Times New Roman" w:cs="Times New Roman"/>
          <w:iCs/>
          <w:sz w:val="24"/>
          <w:lang w:val="en-GB"/>
        </w:rPr>
        <w:t xml:space="preserve"> by the Ministry of Social Security and Labour together with the Ministry of Finance. In 2021, a decision </w:t>
      </w:r>
      <w:proofErr w:type="gramStart"/>
      <w:r w:rsidRPr="00EF3F54">
        <w:rPr>
          <w:rFonts w:ascii="Times New Roman" w:hAnsi="Times New Roman" w:cs="Times New Roman"/>
          <w:iCs/>
          <w:sz w:val="24"/>
          <w:lang w:val="en-GB"/>
        </w:rPr>
        <w:t>has also been made</w:t>
      </w:r>
      <w:proofErr w:type="gramEnd"/>
      <w:r w:rsidRPr="00EF3F54">
        <w:rPr>
          <w:rFonts w:ascii="Times New Roman" w:hAnsi="Times New Roman" w:cs="Times New Roman"/>
          <w:iCs/>
          <w:sz w:val="24"/>
          <w:lang w:val="en-GB"/>
        </w:rPr>
        <w:t xml:space="preserve"> to significantly increase the tax-free amount of personal income and change its calculation methodology. This change increased the net incomes of lower-wage workers while reducing incomes gaps between the highest and lowest paid workers.</w:t>
      </w:r>
    </w:p>
    <w:p w14:paraId="77E041B8" w14:textId="77777777" w:rsidR="00B41B0B" w:rsidRPr="00EF3F54" w:rsidRDefault="00B41B0B" w:rsidP="002C607C">
      <w:pPr>
        <w:pStyle w:val="ListParagraph"/>
        <w:jc w:val="both"/>
        <w:rPr>
          <w:rFonts w:ascii="Times New Roman" w:hAnsi="Times New Roman" w:cs="Times New Roman"/>
          <w:sz w:val="24"/>
          <w:szCs w:val="24"/>
          <w:lang w:val="en-GB"/>
        </w:rPr>
      </w:pPr>
    </w:p>
    <w:p w14:paraId="71461EF6" w14:textId="0148AB31" w:rsidR="00882723" w:rsidRPr="00EF3F54" w:rsidRDefault="005E3F1A" w:rsidP="00882723">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szCs w:val="24"/>
          <w:lang w:val="en-GB"/>
        </w:rPr>
        <w:t>Pensioners, single seniors or single mothers, and mothers of large families are most at risk</w:t>
      </w:r>
      <w:r w:rsidR="00B87519" w:rsidRPr="00EF3F54">
        <w:rPr>
          <w:rFonts w:ascii="Times New Roman" w:hAnsi="Times New Roman" w:cs="Times New Roman"/>
          <w:sz w:val="24"/>
          <w:szCs w:val="24"/>
          <w:lang w:val="en-GB"/>
        </w:rPr>
        <w:t>.</w:t>
      </w:r>
    </w:p>
    <w:p w14:paraId="2A1EAB98" w14:textId="77777777" w:rsidR="00B41B0B" w:rsidRPr="00EF3F54" w:rsidRDefault="00B41B0B" w:rsidP="00B87519">
      <w:pPr>
        <w:pStyle w:val="ListParagraph"/>
        <w:jc w:val="both"/>
        <w:rPr>
          <w:rFonts w:ascii="Times New Roman" w:hAnsi="Times New Roman" w:cs="Times New Roman"/>
          <w:sz w:val="24"/>
          <w:szCs w:val="24"/>
          <w:lang w:val="en-GB"/>
        </w:rPr>
      </w:pPr>
    </w:p>
    <w:p w14:paraId="75A9B32B" w14:textId="12A9D651" w:rsidR="00882723" w:rsidRPr="00EF3F54" w:rsidRDefault="005E3F1A" w:rsidP="00882723">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szCs w:val="24"/>
          <w:lang w:val="en-GB"/>
        </w:rPr>
        <w:t xml:space="preserve">There are no such laws. The Law on Equal Treatment of the Republic of Lithuania establishes prohibition of direct and indirect discrimination </w:t>
      </w:r>
      <w:proofErr w:type="gramStart"/>
      <w:r w:rsidRPr="00EF3F54">
        <w:rPr>
          <w:rFonts w:ascii="Times New Roman" w:hAnsi="Times New Roman" w:cs="Times New Roman"/>
          <w:iCs/>
          <w:sz w:val="24"/>
          <w:szCs w:val="24"/>
          <w:lang w:val="en-GB"/>
        </w:rPr>
        <w:t>on the basis of</w:t>
      </w:r>
      <w:proofErr w:type="gramEnd"/>
      <w:r w:rsidRPr="00EF3F54">
        <w:rPr>
          <w:rFonts w:ascii="Times New Roman" w:hAnsi="Times New Roman" w:cs="Times New Roman"/>
          <w:iCs/>
          <w:sz w:val="24"/>
          <w:szCs w:val="24"/>
          <w:lang w:val="en-GB"/>
        </w:rPr>
        <w:t xml:space="preserve"> gender, race, nationality, citizenship, language, origins, social status, belief, convictions or views, age, sexual orientation, disability, ethnic origin and religion. Educational establishments, other education providers, as well as research and education establishments must ensure equal conditions for persons when admitting to educational establishments, other education providers, as well as research and education establishments, teaching and educating according to programmes of formal and non-formal education implemented therein. The Law on Education of the Republic of Lithuania also establishes the principle of equal opportunities – the education system is socially fair, it ensures the implementation of person’s rights, it guarantees the access to education for any person</w:t>
      </w:r>
      <w:r w:rsidR="00882723" w:rsidRPr="00EF3F54">
        <w:rPr>
          <w:rFonts w:ascii="Times New Roman" w:hAnsi="Times New Roman" w:cs="Times New Roman"/>
          <w:sz w:val="24"/>
          <w:szCs w:val="24"/>
          <w:lang w:val="en-GB" w:eastAsia="en-GB"/>
        </w:rPr>
        <w:t>.</w:t>
      </w:r>
    </w:p>
    <w:p w14:paraId="0A4B675E" w14:textId="77777777" w:rsidR="00B41B0B" w:rsidRPr="00EF3F54" w:rsidRDefault="00B41B0B" w:rsidP="00B87519">
      <w:pPr>
        <w:pStyle w:val="ListParagraph"/>
        <w:jc w:val="both"/>
        <w:rPr>
          <w:rFonts w:ascii="Times New Roman" w:hAnsi="Times New Roman" w:cs="Times New Roman"/>
          <w:sz w:val="24"/>
          <w:szCs w:val="24"/>
          <w:lang w:val="en-GB"/>
        </w:rPr>
      </w:pPr>
    </w:p>
    <w:p w14:paraId="098D43A2" w14:textId="77777777" w:rsidR="005E3F1A" w:rsidRPr="00EF3F54" w:rsidRDefault="005E3F1A" w:rsidP="005E3F1A">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lang w:val="en-GB"/>
        </w:rPr>
        <w:t>During the</w:t>
      </w:r>
      <w:r w:rsidRPr="00EF3F54">
        <w:rPr>
          <w:rFonts w:ascii="Times New Roman" w:hAnsi="Times New Roman" w:cs="Times New Roman"/>
          <w:sz w:val="24"/>
          <w:lang w:val="en-GB"/>
        </w:rPr>
        <w:t xml:space="preserve"> </w:t>
      </w:r>
      <w:r w:rsidRPr="00EF3F54">
        <w:rPr>
          <w:rFonts w:ascii="Times New Roman" w:hAnsi="Times New Roman" w:cs="Times New Roman"/>
          <w:iCs/>
          <w:sz w:val="24"/>
          <w:lang w:val="en-GB"/>
        </w:rPr>
        <w:t xml:space="preserve">Covid-19 pandemic, the situation of single mothers was more complicated because they had to take even more days off, take care of children, and their income was decreasing. Women have tended to be overrepresented in the frontline of the pandemic </w:t>
      </w:r>
      <w:proofErr w:type="gramStart"/>
      <w:r w:rsidRPr="00EF3F54">
        <w:rPr>
          <w:rFonts w:ascii="Times New Roman" w:hAnsi="Times New Roman" w:cs="Times New Roman"/>
          <w:iCs/>
          <w:sz w:val="24"/>
          <w:lang w:val="en-GB"/>
        </w:rPr>
        <w:t>and also</w:t>
      </w:r>
      <w:proofErr w:type="gramEnd"/>
      <w:r w:rsidRPr="00EF3F54">
        <w:rPr>
          <w:rFonts w:ascii="Times New Roman" w:hAnsi="Times New Roman" w:cs="Times New Roman"/>
          <w:iCs/>
          <w:sz w:val="24"/>
          <w:lang w:val="en-GB"/>
        </w:rPr>
        <w:t xml:space="preserve"> in the services sector. Lower-income and lower-skilled women tend to encounter themselves in a vicious cycle of systematic poverty. Older women and single women also face greater prospects of poverty.</w:t>
      </w:r>
    </w:p>
    <w:p w14:paraId="0B68523B" w14:textId="77777777" w:rsidR="005E3F1A" w:rsidRPr="00EF3F54" w:rsidRDefault="005E3F1A" w:rsidP="005E3F1A">
      <w:pPr>
        <w:pStyle w:val="ListParagraph"/>
        <w:rPr>
          <w:rFonts w:ascii="Times New Roman" w:hAnsi="Times New Roman" w:cs="Times New Roman"/>
          <w:iCs/>
          <w:sz w:val="24"/>
          <w:lang w:val="en-GB"/>
        </w:rPr>
      </w:pPr>
    </w:p>
    <w:p w14:paraId="0AD76B83" w14:textId="77777777" w:rsidR="005E3F1A" w:rsidRPr="00EF3F54" w:rsidRDefault="005E3F1A" w:rsidP="005E3F1A">
      <w:pPr>
        <w:pStyle w:val="ListParagraph"/>
        <w:jc w:val="both"/>
        <w:rPr>
          <w:rFonts w:ascii="Times New Roman" w:hAnsi="Times New Roman" w:cs="Times New Roman"/>
          <w:iCs/>
          <w:sz w:val="24"/>
          <w:lang w:val="en-GB"/>
        </w:rPr>
      </w:pPr>
      <w:r w:rsidRPr="00EF3F54">
        <w:rPr>
          <w:rFonts w:ascii="Times New Roman" w:hAnsi="Times New Roman" w:cs="Times New Roman"/>
          <w:iCs/>
          <w:sz w:val="24"/>
          <w:lang w:val="en-GB"/>
        </w:rPr>
        <w:t>Russia’s unprovoked and unjustified war of aggression against Ukraine has a negative impact on Lithuania’s economy through declining exports, a shortage of imported raw materials, an uncertain investment climate and rising energy prices, which have negative impact on women and girls access to economic and social rights.</w:t>
      </w:r>
    </w:p>
    <w:p w14:paraId="235AAFB0" w14:textId="77777777" w:rsidR="005E3F1A" w:rsidRPr="00EF3F54" w:rsidRDefault="005E3F1A" w:rsidP="005E3F1A">
      <w:pPr>
        <w:pStyle w:val="ListParagraph"/>
        <w:jc w:val="both"/>
        <w:rPr>
          <w:rFonts w:ascii="Times New Roman" w:hAnsi="Times New Roman" w:cs="Times New Roman"/>
          <w:iCs/>
          <w:sz w:val="24"/>
          <w:lang w:val="en-GB"/>
        </w:rPr>
      </w:pPr>
    </w:p>
    <w:p w14:paraId="217EDF49" w14:textId="03496179" w:rsidR="005E3F1A" w:rsidRPr="00EF3F54" w:rsidRDefault="005E3F1A" w:rsidP="005E3F1A">
      <w:pPr>
        <w:pStyle w:val="ListParagraph"/>
        <w:jc w:val="both"/>
        <w:rPr>
          <w:rFonts w:ascii="Times New Roman" w:hAnsi="Times New Roman" w:cs="Times New Roman"/>
          <w:iCs/>
          <w:sz w:val="24"/>
          <w:lang w:val="en-GB"/>
        </w:rPr>
      </w:pPr>
      <w:r w:rsidRPr="00EF3F54">
        <w:rPr>
          <w:rFonts w:ascii="Times New Roman" w:hAnsi="Times New Roman" w:cs="Times New Roman"/>
          <w:iCs/>
          <w:sz w:val="24"/>
          <w:lang w:val="en-GB"/>
        </w:rPr>
        <w:t xml:space="preserve">The climate, pollution, and biodiversity crises adversely </w:t>
      </w:r>
      <w:proofErr w:type="gramStart"/>
      <w:r w:rsidRPr="00EF3F54">
        <w:rPr>
          <w:rFonts w:ascii="Times New Roman" w:hAnsi="Times New Roman" w:cs="Times New Roman"/>
          <w:iCs/>
          <w:sz w:val="24"/>
          <w:lang w:val="en-GB"/>
        </w:rPr>
        <w:t>impact</w:t>
      </w:r>
      <w:proofErr w:type="gramEnd"/>
      <w:r w:rsidRPr="00EF3F54">
        <w:rPr>
          <w:rFonts w:ascii="Times New Roman" w:hAnsi="Times New Roman" w:cs="Times New Roman"/>
          <w:iCs/>
          <w:sz w:val="24"/>
          <w:lang w:val="en-GB"/>
        </w:rPr>
        <w:t xml:space="preserve"> women and girls by causing direct impacts on their health and well-being. It exacerbates and accentuates already existing inequalities and deepens socioeconomic imbalances. As the impacts of climate change intensify, women's greater economic disadvantage would make it more difficult for them to manage the consequences of climate change, such as heat waves.</w:t>
      </w:r>
    </w:p>
    <w:p w14:paraId="312D0DCA" w14:textId="77777777" w:rsidR="005E3F1A" w:rsidRPr="00EF3F54" w:rsidRDefault="005E3F1A" w:rsidP="005E3F1A">
      <w:pPr>
        <w:pStyle w:val="ListParagraph"/>
        <w:jc w:val="both"/>
        <w:rPr>
          <w:rFonts w:ascii="Times New Roman" w:hAnsi="Times New Roman" w:cs="Times New Roman"/>
          <w:sz w:val="24"/>
          <w:szCs w:val="24"/>
          <w:lang w:val="en-GB"/>
        </w:rPr>
      </w:pPr>
    </w:p>
    <w:p w14:paraId="560C4442" w14:textId="365F0DEF" w:rsidR="00A92EA6" w:rsidRPr="00EF3F54" w:rsidRDefault="005E3F1A" w:rsidP="00D93969">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sz w:val="24"/>
          <w:szCs w:val="24"/>
          <w:lang w:val="en-GB"/>
        </w:rPr>
        <w:t>N/A.</w:t>
      </w:r>
    </w:p>
    <w:p w14:paraId="6E26D8DA" w14:textId="77777777" w:rsidR="004C66CF" w:rsidRPr="00EF3F54" w:rsidRDefault="004C66CF" w:rsidP="004C66CF">
      <w:pPr>
        <w:pStyle w:val="ListParagraph"/>
        <w:rPr>
          <w:rFonts w:ascii="Times New Roman" w:hAnsi="Times New Roman" w:cs="Times New Roman"/>
          <w:sz w:val="24"/>
          <w:szCs w:val="24"/>
          <w:lang w:val="en-GB"/>
        </w:rPr>
      </w:pPr>
    </w:p>
    <w:p w14:paraId="36301874" w14:textId="005A00C2" w:rsidR="004C66CF" w:rsidRPr="00EF3F54" w:rsidRDefault="005E3F1A" w:rsidP="00D93969">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szCs w:val="24"/>
          <w:lang w:val="en-GB"/>
        </w:rPr>
        <w:t xml:space="preserve">Recently Lithuania introduced non-transferable parental leave for women and </w:t>
      </w:r>
      <w:proofErr w:type="gramStart"/>
      <w:r w:rsidRPr="00EF3F54">
        <w:rPr>
          <w:rFonts w:ascii="Times New Roman" w:hAnsi="Times New Roman" w:cs="Times New Roman"/>
          <w:iCs/>
          <w:sz w:val="24"/>
          <w:szCs w:val="24"/>
          <w:lang w:val="en-GB"/>
        </w:rPr>
        <w:t>men which</w:t>
      </w:r>
      <w:proofErr w:type="gramEnd"/>
      <w:r w:rsidRPr="00EF3F54">
        <w:rPr>
          <w:rFonts w:ascii="Times New Roman" w:hAnsi="Times New Roman" w:cs="Times New Roman"/>
          <w:iCs/>
          <w:sz w:val="24"/>
          <w:szCs w:val="24"/>
          <w:lang w:val="en-GB"/>
        </w:rPr>
        <w:t xml:space="preserve"> could contribute to better work-life balance and preventing inequality</w:t>
      </w:r>
      <w:r w:rsidRPr="00EF3F54">
        <w:rPr>
          <w:rFonts w:ascii="Times New Roman" w:hAnsi="Times New Roman" w:cs="Times New Roman"/>
          <w:sz w:val="24"/>
          <w:szCs w:val="24"/>
          <w:lang w:val="en-GB"/>
        </w:rPr>
        <w:t>.</w:t>
      </w:r>
    </w:p>
    <w:p w14:paraId="68755F69" w14:textId="77777777" w:rsidR="004C66CF" w:rsidRPr="00EF3F54" w:rsidRDefault="004C66CF" w:rsidP="004C66CF">
      <w:pPr>
        <w:pStyle w:val="ListParagraph"/>
        <w:rPr>
          <w:rFonts w:ascii="Times New Roman" w:hAnsi="Times New Roman" w:cs="Times New Roman"/>
          <w:sz w:val="24"/>
          <w:szCs w:val="24"/>
          <w:lang w:val="en-GB"/>
        </w:rPr>
      </w:pPr>
    </w:p>
    <w:p w14:paraId="21EDC421" w14:textId="77777777" w:rsidR="00F91125" w:rsidRPr="00EF3F54" w:rsidRDefault="00972B0A" w:rsidP="00F91125">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szCs w:val="24"/>
          <w:lang w:val="en-GB"/>
        </w:rPr>
        <w:t>Reforms are important to strengthen income protection by ensuring that cash benefits provide adequate and tailored support to those in need. An individual-based approach is also essential for the provision of social services to reduce deficits in important areas such as social housing and long-term care for the elderly</w:t>
      </w:r>
      <w:r w:rsidRPr="00EF3F54">
        <w:rPr>
          <w:rFonts w:ascii="Times New Roman" w:hAnsi="Times New Roman" w:cs="Times New Roman"/>
          <w:sz w:val="24"/>
          <w:szCs w:val="24"/>
          <w:lang w:val="en-GB"/>
        </w:rPr>
        <w:t>.</w:t>
      </w:r>
    </w:p>
    <w:p w14:paraId="3989FC62" w14:textId="77777777" w:rsidR="00F91125" w:rsidRPr="00EF3F54" w:rsidRDefault="00F91125" w:rsidP="00F91125">
      <w:pPr>
        <w:pStyle w:val="ListParagraph"/>
        <w:rPr>
          <w:rFonts w:ascii="Times New Roman" w:hAnsi="Times New Roman" w:cs="Times New Roman"/>
          <w:iCs/>
          <w:sz w:val="24"/>
          <w:szCs w:val="24"/>
          <w:lang w:val="en-GB"/>
        </w:rPr>
      </w:pPr>
    </w:p>
    <w:p w14:paraId="23EB58BF" w14:textId="4FDE65A1" w:rsidR="004C66CF" w:rsidRPr="00EF3F54" w:rsidRDefault="00F91125" w:rsidP="00F91125">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szCs w:val="24"/>
          <w:lang w:val="en-GB"/>
        </w:rPr>
        <w:t xml:space="preserve">A number of measures </w:t>
      </w:r>
      <w:proofErr w:type="gramStart"/>
      <w:r w:rsidRPr="00EF3F54">
        <w:rPr>
          <w:rFonts w:ascii="Times New Roman" w:hAnsi="Times New Roman" w:cs="Times New Roman"/>
          <w:iCs/>
          <w:sz w:val="24"/>
          <w:szCs w:val="24"/>
          <w:lang w:val="en-GB"/>
        </w:rPr>
        <w:t>were introduced</w:t>
      </w:r>
      <w:proofErr w:type="gramEnd"/>
      <w:r w:rsidRPr="00EF3F54">
        <w:rPr>
          <w:rFonts w:ascii="Times New Roman" w:hAnsi="Times New Roman" w:cs="Times New Roman"/>
          <w:iCs/>
          <w:sz w:val="24"/>
          <w:szCs w:val="24"/>
          <w:lang w:val="en-GB"/>
        </w:rPr>
        <w:t xml:space="preserve"> over the few years to strengthen working-age benefits. These include an increase in state-supported income and its indexation to the amount of minimum consumption needs from 2019, revisions in unemployment benefits that increased coverage and made payment rates more generous, and changes in the family benefits notably through the introduction of a universal-child benefit (non-means tested). The state-supported income </w:t>
      </w:r>
      <w:proofErr w:type="gramStart"/>
      <w:r w:rsidRPr="00EF3F54">
        <w:rPr>
          <w:rFonts w:ascii="Times New Roman" w:hAnsi="Times New Roman" w:cs="Times New Roman"/>
          <w:iCs/>
          <w:sz w:val="24"/>
          <w:szCs w:val="24"/>
          <w:lang w:val="en-GB"/>
        </w:rPr>
        <w:t>is indexed</w:t>
      </w:r>
      <w:proofErr w:type="gramEnd"/>
      <w:r w:rsidRPr="00EF3F54">
        <w:rPr>
          <w:rFonts w:ascii="Times New Roman" w:hAnsi="Times New Roman" w:cs="Times New Roman"/>
          <w:iCs/>
          <w:sz w:val="24"/>
          <w:szCs w:val="24"/>
          <w:lang w:val="en-GB"/>
        </w:rPr>
        <w:t xml:space="preserve"> to the amount of minimum consumption needs, thereby adjusting automatically for price level changes. Heating Compensation is an important instrument to tackle energy poverty. The government further increased in 2020 and 2021 the general part (non-earnings related) of the old-age pension by more than foreseen by the automatic pension index, subject to budget constraints.</w:t>
      </w:r>
      <w:r w:rsidRPr="00EF3F54">
        <w:rPr>
          <w:rFonts w:ascii="Times New Roman" w:hAnsi="Times New Roman" w:cs="Times New Roman"/>
          <w:sz w:val="24"/>
          <w:szCs w:val="24"/>
          <w:lang w:val="en-GB"/>
        </w:rPr>
        <w:t xml:space="preserve"> </w:t>
      </w:r>
      <w:r w:rsidRPr="00EF3F54">
        <w:rPr>
          <w:rFonts w:ascii="Times New Roman" w:hAnsi="Times New Roman" w:cs="Times New Roman"/>
          <w:iCs/>
          <w:sz w:val="24"/>
          <w:szCs w:val="24"/>
          <w:lang w:val="en-GB"/>
        </w:rPr>
        <w:t xml:space="preserve">In an effort to address undersupply of social housing, since 2019, municipalities are permitted to rent housing from private or legal persons and sublet it to individuals (families) awaiting for social housing. Steps </w:t>
      </w:r>
      <w:proofErr w:type="gramStart"/>
      <w:r w:rsidRPr="00EF3F54">
        <w:rPr>
          <w:rFonts w:ascii="Times New Roman" w:hAnsi="Times New Roman" w:cs="Times New Roman"/>
          <w:iCs/>
          <w:sz w:val="24"/>
          <w:szCs w:val="24"/>
          <w:lang w:val="en-GB"/>
        </w:rPr>
        <w:t>were also taken</w:t>
      </w:r>
      <w:proofErr w:type="gramEnd"/>
      <w:r w:rsidRPr="00EF3F54">
        <w:rPr>
          <w:rFonts w:ascii="Times New Roman" w:hAnsi="Times New Roman" w:cs="Times New Roman"/>
          <w:iCs/>
          <w:sz w:val="24"/>
          <w:szCs w:val="24"/>
          <w:lang w:val="en-GB"/>
        </w:rPr>
        <w:t xml:space="preserve"> to shorten the long waiting time for social housing. A new law, in particular, set the upper limit for the waiting to five years initially and then to three years. A municipality will have to reimburse the actual rental costs in case it cannot meet its obligation by the end of this period. Promising steps </w:t>
      </w:r>
      <w:proofErr w:type="gramStart"/>
      <w:r w:rsidRPr="00EF3F54">
        <w:rPr>
          <w:rFonts w:ascii="Times New Roman" w:hAnsi="Times New Roman" w:cs="Times New Roman"/>
          <w:iCs/>
          <w:sz w:val="24"/>
          <w:szCs w:val="24"/>
          <w:lang w:val="en-GB"/>
        </w:rPr>
        <w:t>were taken</w:t>
      </w:r>
      <w:proofErr w:type="gramEnd"/>
      <w:r w:rsidRPr="00EF3F54">
        <w:rPr>
          <w:rFonts w:ascii="Times New Roman" w:hAnsi="Times New Roman" w:cs="Times New Roman"/>
          <w:iCs/>
          <w:sz w:val="24"/>
          <w:szCs w:val="24"/>
          <w:lang w:val="en-GB"/>
        </w:rPr>
        <w:t xml:space="preserve"> to help families to reconcile family and work responsibilities. The new Labour Code offers more part-time work and remote working opportunities, as well as </w:t>
      </w:r>
      <w:proofErr w:type="gramStart"/>
      <w:r w:rsidRPr="00EF3F54">
        <w:rPr>
          <w:rFonts w:ascii="Times New Roman" w:hAnsi="Times New Roman" w:cs="Times New Roman"/>
          <w:iCs/>
          <w:sz w:val="24"/>
          <w:szCs w:val="24"/>
          <w:lang w:val="en-GB"/>
        </w:rPr>
        <w:t>more flexible working schedules</w:t>
      </w:r>
      <w:proofErr w:type="gramEnd"/>
      <w:r w:rsidRPr="00EF3F54">
        <w:rPr>
          <w:rFonts w:ascii="Times New Roman" w:hAnsi="Times New Roman" w:cs="Times New Roman"/>
          <w:iCs/>
          <w:sz w:val="24"/>
          <w:szCs w:val="24"/>
          <w:lang w:val="en-GB"/>
        </w:rPr>
        <w:t>. Recent reforms also changed leave provisions for parents. One of the main goals of the Government is to create more opportunities for women to return to the labour market. Expanding the network of early childhood education facilities and creating a family-friendly environment is essential to achieve this goal</w:t>
      </w:r>
      <w:r w:rsidR="00972B0A" w:rsidRPr="00EF3F54">
        <w:rPr>
          <w:rFonts w:ascii="Times New Roman" w:hAnsi="Times New Roman" w:cs="Times New Roman"/>
          <w:sz w:val="24"/>
          <w:szCs w:val="24"/>
          <w:lang w:val="en-GB"/>
        </w:rPr>
        <w:t>.</w:t>
      </w:r>
    </w:p>
    <w:p w14:paraId="25234561" w14:textId="77777777" w:rsidR="004C66CF" w:rsidRPr="00EF3F54" w:rsidRDefault="004C66CF" w:rsidP="004C66CF">
      <w:pPr>
        <w:pStyle w:val="ListParagraph"/>
        <w:rPr>
          <w:rFonts w:ascii="Times New Roman" w:hAnsi="Times New Roman" w:cs="Times New Roman"/>
          <w:sz w:val="24"/>
          <w:szCs w:val="24"/>
          <w:lang w:val="en-GB"/>
        </w:rPr>
      </w:pPr>
    </w:p>
    <w:p w14:paraId="68083C69" w14:textId="7682B1D5" w:rsidR="004C66CF" w:rsidRPr="00EF3F54" w:rsidRDefault="00D856C8" w:rsidP="00D93969">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szCs w:val="24"/>
          <w:lang w:val="en-GB"/>
        </w:rPr>
        <w:t xml:space="preserve">In order to reduce income inequality and poverty in Lithuania, is improving the state social insurance and monetary social support system will and is increasing the progressivity of the tax system. The employment support system </w:t>
      </w:r>
      <w:proofErr w:type="gramStart"/>
      <w:r w:rsidRPr="00EF3F54">
        <w:rPr>
          <w:rFonts w:ascii="Times New Roman" w:hAnsi="Times New Roman" w:cs="Times New Roman"/>
          <w:iCs/>
          <w:sz w:val="24"/>
          <w:szCs w:val="24"/>
          <w:lang w:val="en-GB"/>
        </w:rPr>
        <w:t>will also be improved</w:t>
      </w:r>
      <w:proofErr w:type="gramEnd"/>
      <w:r w:rsidRPr="00EF3F54">
        <w:rPr>
          <w:rFonts w:ascii="Times New Roman" w:hAnsi="Times New Roman" w:cs="Times New Roman"/>
          <w:iCs/>
          <w:sz w:val="24"/>
          <w:szCs w:val="24"/>
          <w:lang w:val="en-GB"/>
        </w:rPr>
        <w:t xml:space="preserve">, its coverage will be expanded, the employment of vulnerable groups of persons will be increased, people's entrepreneurship will be effectively combated against illegal and undeclared work, and the quality and development of social dialogue will be promoted. This </w:t>
      </w:r>
      <w:proofErr w:type="gramStart"/>
      <w:r w:rsidRPr="00EF3F54">
        <w:rPr>
          <w:rFonts w:ascii="Times New Roman" w:hAnsi="Times New Roman" w:cs="Times New Roman"/>
          <w:iCs/>
          <w:sz w:val="24"/>
          <w:szCs w:val="24"/>
          <w:lang w:val="en-GB"/>
        </w:rPr>
        <w:t>is foreseen</w:t>
      </w:r>
      <w:proofErr w:type="gramEnd"/>
      <w:r w:rsidRPr="00EF3F54">
        <w:rPr>
          <w:rFonts w:ascii="Times New Roman" w:hAnsi="Times New Roman" w:cs="Times New Roman"/>
          <w:iCs/>
          <w:sz w:val="24"/>
          <w:szCs w:val="24"/>
          <w:lang w:val="en-GB"/>
        </w:rPr>
        <w:t xml:space="preserve"> in the Income Inequality Reduction and Labour Market Inclusion Development Programs prepared by the Ministry of Social Security and Labour, which meet the goals of the National Progress Plan for 2021-2030</w:t>
      </w:r>
      <w:r w:rsidRPr="00EF3F54">
        <w:rPr>
          <w:rFonts w:ascii="Times New Roman" w:hAnsi="Times New Roman" w:cs="Times New Roman"/>
          <w:sz w:val="24"/>
          <w:szCs w:val="24"/>
          <w:lang w:val="en-GB"/>
        </w:rPr>
        <w:t>.</w:t>
      </w:r>
    </w:p>
    <w:p w14:paraId="3C6FBED2" w14:textId="77777777" w:rsidR="004C66CF" w:rsidRPr="00EF3F54" w:rsidRDefault="004C66CF" w:rsidP="004C66CF">
      <w:pPr>
        <w:pStyle w:val="ListParagraph"/>
        <w:rPr>
          <w:rFonts w:ascii="Times New Roman" w:hAnsi="Times New Roman" w:cs="Times New Roman"/>
          <w:sz w:val="24"/>
          <w:szCs w:val="24"/>
          <w:lang w:val="en-GB"/>
        </w:rPr>
      </w:pPr>
    </w:p>
    <w:p w14:paraId="7E966A61" w14:textId="6CCD7019" w:rsidR="00D856C8" w:rsidRPr="00EF3F54" w:rsidRDefault="00D856C8" w:rsidP="00D856C8">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szCs w:val="24"/>
          <w:lang w:val="en-GB"/>
        </w:rPr>
        <w:t>The Employment Service</w:t>
      </w:r>
      <w:r w:rsidR="00B41B62">
        <w:rPr>
          <w:rFonts w:ascii="Times New Roman" w:hAnsi="Times New Roman" w:cs="Times New Roman"/>
          <w:iCs/>
          <w:sz w:val="24"/>
          <w:szCs w:val="24"/>
          <w:lang w:val="en-GB"/>
        </w:rPr>
        <w:t xml:space="preserve"> of Lithuania</w:t>
      </w:r>
      <w:r w:rsidRPr="00EF3F54">
        <w:rPr>
          <w:rFonts w:ascii="Times New Roman" w:hAnsi="Times New Roman" w:cs="Times New Roman"/>
          <w:iCs/>
          <w:sz w:val="24"/>
          <w:szCs w:val="24"/>
          <w:lang w:val="en-GB"/>
        </w:rPr>
        <w:t xml:space="preserve"> developed the online Social Assistance Map. </w:t>
      </w:r>
      <w:proofErr w:type="gramStart"/>
      <w:r w:rsidRPr="00EF3F54">
        <w:rPr>
          <w:rFonts w:ascii="Times New Roman" w:hAnsi="Times New Roman" w:cs="Times New Roman"/>
          <w:iCs/>
          <w:sz w:val="24"/>
          <w:szCs w:val="24"/>
          <w:lang w:val="en-GB"/>
        </w:rPr>
        <w:t>It is a convenient tool for all jobseekers including women who need complex assistance in any municipality of the country (legal, social, psychological assistance or catering, accommodation, medical services).</w:t>
      </w:r>
      <w:proofErr w:type="gramEnd"/>
      <w:r w:rsidRPr="00EF3F54">
        <w:rPr>
          <w:rFonts w:ascii="Times New Roman" w:hAnsi="Times New Roman" w:cs="Times New Roman"/>
          <w:iCs/>
          <w:sz w:val="24"/>
          <w:szCs w:val="24"/>
          <w:lang w:val="en-GB"/>
        </w:rPr>
        <w:t xml:space="preserve"> The social assistance map </w:t>
      </w:r>
      <w:proofErr w:type="gramStart"/>
      <w:r w:rsidRPr="00EF3F54">
        <w:rPr>
          <w:rFonts w:ascii="Times New Roman" w:hAnsi="Times New Roman" w:cs="Times New Roman"/>
          <w:iCs/>
          <w:sz w:val="24"/>
          <w:szCs w:val="24"/>
          <w:lang w:val="en-GB"/>
        </w:rPr>
        <w:t>was created</w:t>
      </w:r>
      <w:proofErr w:type="gramEnd"/>
      <w:r w:rsidRPr="00EF3F54">
        <w:rPr>
          <w:rFonts w:ascii="Times New Roman" w:hAnsi="Times New Roman" w:cs="Times New Roman"/>
          <w:iCs/>
          <w:sz w:val="24"/>
          <w:szCs w:val="24"/>
          <w:lang w:val="en-GB"/>
        </w:rPr>
        <w:t xml:space="preserve"> through the implementation of the case management model, which requires coordinated, integrated </w:t>
      </w:r>
      <w:r w:rsidRPr="00EF3F54">
        <w:rPr>
          <w:rFonts w:ascii="Times New Roman" w:hAnsi="Times New Roman" w:cs="Times New Roman"/>
          <w:iCs/>
          <w:sz w:val="24"/>
          <w:szCs w:val="24"/>
          <w:lang w:val="en-GB"/>
        </w:rPr>
        <w:lastRenderedPageBreak/>
        <w:t xml:space="preserve">services for the assistance of persons with complex problems. Please visit the Map: </w:t>
      </w:r>
      <w:hyperlink r:id="rId11" w:history="1">
        <w:r w:rsidRPr="00EF3F54">
          <w:rPr>
            <w:rStyle w:val="Hyperlink"/>
            <w:rFonts w:ascii="Times New Roman" w:hAnsi="Times New Roman" w:cs="Times New Roman"/>
            <w:iCs/>
            <w:sz w:val="24"/>
            <w:szCs w:val="24"/>
            <w:lang w:val="en-GB"/>
          </w:rPr>
          <w:t>https://soczemelapis.uzt.lt/</w:t>
        </w:r>
      </w:hyperlink>
    </w:p>
    <w:p w14:paraId="7EADD4F2" w14:textId="77777777" w:rsidR="00D856C8" w:rsidRPr="00EF3F54" w:rsidRDefault="00D856C8" w:rsidP="00D856C8">
      <w:pPr>
        <w:pStyle w:val="ListParagraph"/>
        <w:jc w:val="both"/>
        <w:rPr>
          <w:rFonts w:ascii="Times New Roman" w:hAnsi="Times New Roman" w:cs="Times New Roman"/>
          <w:sz w:val="24"/>
          <w:szCs w:val="24"/>
          <w:lang w:val="en-GB"/>
        </w:rPr>
      </w:pPr>
    </w:p>
    <w:p w14:paraId="6D545558" w14:textId="1E7FF4F1" w:rsidR="004C66CF" w:rsidRPr="00EF3F54" w:rsidRDefault="00C76F2D" w:rsidP="00D93969">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szCs w:val="24"/>
          <w:lang w:val="en-GB"/>
        </w:rPr>
        <w:t>Participate in the activities of NGOs that initiate public management decisions related to reducing poverty and social exclusion. For instance in Lithuania the "National Network of Poverty Alleviation Organizations" unites 59 non-governmental organizations fighting poverty and social exclusion</w:t>
      </w:r>
      <w:r w:rsidRPr="00EF3F54">
        <w:rPr>
          <w:rFonts w:ascii="Times New Roman" w:hAnsi="Times New Roman" w:cs="Times New Roman"/>
          <w:sz w:val="24"/>
          <w:szCs w:val="24"/>
          <w:lang w:val="en-GB"/>
        </w:rPr>
        <w:t>.</w:t>
      </w:r>
    </w:p>
    <w:p w14:paraId="2053C79A" w14:textId="77777777" w:rsidR="004C66CF" w:rsidRPr="00EF3F54" w:rsidRDefault="004C66CF" w:rsidP="004C66CF">
      <w:pPr>
        <w:pStyle w:val="ListParagraph"/>
        <w:rPr>
          <w:rFonts w:ascii="Times New Roman" w:hAnsi="Times New Roman" w:cs="Times New Roman"/>
          <w:sz w:val="24"/>
          <w:szCs w:val="24"/>
          <w:lang w:val="en-GB"/>
        </w:rPr>
      </w:pPr>
    </w:p>
    <w:p w14:paraId="5B16585F" w14:textId="017599FC" w:rsidR="004C66CF" w:rsidRPr="00EF3F54" w:rsidRDefault="004C66CF" w:rsidP="00EE4B13">
      <w:pPr>
        <w:pStyle w:val="ListParagraph"/>
        <w:numPr>
          <w:ilvl w:val="0"/>
          <w:numId w:val="1"/>
        </w:numPr>
        <w:jc w:val="both"/>
        <w:rPr>
          <w:rFonts w:ascii="Times New Roman" w:hAnsi="Times New Roman" w:cs="Times New Roman"/>
          <w:sz w:val="24"/>
          <w:szCs w:val="24"/>
          <w:lang w:val="en-GB"/>
        </w:rPr>
      </w:pPr>
    </w:p>
    <w:p w14:paraId="617BF435" w14:textId="77777777" w:rsidR="00EE4B13" w:rsidRPr="00EF3F54" w:rsidRDefault="00EE4B13" w:rsidP="00EE4B13">
      <w:pPr>
        <w:pStyle w:val="ListParagraph"/>
        <w:widowControl w:val="0"/>
        <w:numPr>
          <w:ilvl w:val="0"/>
          <w:numId w:val="4"/>
        </w:numPr>
        <w:tabs>
          <w:tab w:val="left" w:pos="1189"/>
        </w:tabs>
        <w:autoSpaceDE w:val="0"/>
        <w:autoSpaceDN w:val="0"/>
        <w:spacing w:after="0" w:line="256" w:lineRule="auto"/>
        <w:ind w:right="477"/>
        <w:contextualSpacing w:val="0"/>
        <w:jc w:val="both"/>
        <w:rPr>
          <w:rFonts w:ascii="Times New Roman" w:hAnsi="Times New Roman" w:cs="Times New Roman"/>
          <w:sz w:val="24"/>
          <w:szCs w:val="24"/>
          <w:lang w:val="en-GB"/>
        </w:rPr>
      </w:pPr>
      <w:r w:rsidRPr="00EF3F54">
        <w:rPr>
          <w:rFonts w:ascii="Times New Roman" w:hAnsi="Times New Roman" w:cs="Times New Roman"/>
          <w:i/>
          <w:iCs/>
          <w:sz w:val="24"/>
          <w:szCs w:val="24"/>
          <w:lang w:val="en-GB"/>
        </w:rPr>
        <w:t>Incorporate gender mainstreaming into national development plans, poverty reduction strategies and national budgets.</w:t>
      </w:r>
      <w:r w:rsidRPr="00EF3F54">
        <w:rPr>
          <w:rFonts w:ascii="Times New Roman" w:hAnsi="Times New Roman" w:cs="Times New Roman"/>
          <w:sz w:val="24"/>
          <w:szCs w:val="24"/>
          <w:lang w:val="en-GB"/>
        </w:rPr>
        <w:t xml:space="preserve"> </w:t>
      </w:r>
    </w:p>
    <w:p w14:paraId="6B547AB4" w14:textId="77777777" w:rsidR="00EE4B13" w:rsidRPr="00EF3F54" w:rsidRDefault="00EE4B13" w:rsidP="00EE4B13">
      <w:pPr>
        <w:pStyle w:val="ListParagraph"/>
        <w:widowControl w:val="0"/>
        <w:numPr>
          <w:ilvl w:val="0"/>
          <w:numId w:val="4"/>
        </w:numPr>
        <w:tabs>
          <w:tab w:val="left" w:pos="1189"/>
        </w:tabs>
        <w:autoSpaceDE w:val="0"/>
        <w:autoSpaceDN w:val="0"/>
        <w:spacing w:after="0" w:line="256" w:lineRule="auto"/>
        <w:ind w:right="477"/>
        <w:contextualSpacing w:val="0"/>
        <w:jc w:val="both"/>
        <w:rPr>
          <w:rFonts w:ascii="Times New Roman" w:hAnsi="Times New Roman" w:cs="Times New Roman"/>
          <w:i/>
          <w:iCs/>
          <w:sz w:val="24"/>
          <w:szCs w:val="24"/>
          <w:lang w:val="en-GB"/>
        </w:rPr>
      </w:pPr>
      <w:r w:rsidRPr="00EF3F54">
        <w:rPr>
          <w:rFonts w:ascii="Times New Roman" w:hAnsi="Times New Roman" w:cs="Times New Roman"/>
          <w:i/>
          <w:iCs/>
          <w:sz w:val="24"/>
          <w:szCs w:val="24"/>
          <w:lang w:val="en-GB"/>
        </w:rPr>
        <w:t>Strike a better work-family balance and improve work incentives.</w:t>
      </w:r>
    </w:p>
    <w:p w14:paraId="22F44959" w14:textId="77777777" w:rsidR="00EE4B13" w:rsidRPr="00EF3F54" w:rsidRDefault="00EE4B13" w:rsidP="00EE4B13">
      <w:pPr>
        <w:pStyle w:val="ListParagraph"/>
        <w:widowControl w:val="0"/>
        <w:numPr>
          <w:ilvl w:val="0"/>
          <w:numId w:val="4"/>
        </w:numPr>
        <w:tabs>
          <w:tab w:val="left" w:pos="1189"/>
        </w:tabs>
        <w:autoSpaceDE w:val="0"/>
        <w:autoSpaceDN w:val="0"/>
        <w:spacing w:after="0" w:line="256" w:lineRule="auto"/>
        <w:ind w:right="477"/>
        <w:contextualSpacing w:val="0"/>
        <w:jc w:val="both"/>
        <w:rPr>
          <w:rFonts w:ascii="Times New Roman" w:hAnsi="Times New Roman" w:cs="Times New Roman"/>
          <w:i/>
          <w:iCs/>
          <w:sz w:val="24"/>
          <w:szCs w:val="24"/>
          <w:lang w:val="en-GB"/>
        </w:rPr>
      </w:pPr>
      <w:r w:rsidRPr="00EF3F54">
        <w:rPr>
          <w:rFonts w:ascii="Times New Roman" w:hAnsi="Times New Roman" w:cs="Times New Roman"/>
          <w:i/>
          <w:iCs/>
          <w:sz w:val="24"/>
          <w:szCs w:val="24"/>
          <w:lang w:val="en-GB"/>
        </w:rPr>
        <w:t>Create more and better quality jobs in the formal sector, especially for the low-skilled women.</w:t>
      </w:r>
    </w:p>
    <w:p w14:paraId="10AE9BD9" w14:textId="77777777" w:rsidR="00EE4B13" w:rsidRPr="00EF3F54" w:rsidRDefault="00EE4B13" w:rsidP="00EE4B13">
      <w:pPr>
        <w:pStyle w:val="ListParagraph"/>
        <w:widowControl w:val="0"/>
        <w:numPr>
          <w:ilvl w:val="0"/>
          <w:numId w:val="4"/>
        </w:numPr>
        <w:tabs>
          <w:tab w:val="left" w:pos="1189"/>
        </w:tabs>
        <w:autoSpaceDE w:val="0"/>
        <w:autoSpaceDN w:val="0"/>
        <w:spacing w:after="0" w:line="256" w:lineRule="auto"/>
        <w:ind w:right="477"/>
        <w:contextualSpacing w:val="0"/>
        <w:jc w:val="both"/>
        <w:rPr>
          <w:rFonts w:ascii="Times New Roman" w:hAnsi="Times New Roman" w:cs="Times New Roman"/>
          <w:i/>
          <w:iCs/>
          <w:sz w:val="24"/>
          <w:szCs w:val="24"/>
          <w:lang w:val="en-GB"/>
        </w:rPr>
      </w:pPr>
      <w:r w:rsidRPr="00EF3F54">
        <w:rPr>
          <w:rFonts w:ascii="Times New Roman" w:hAnsi="Times New Roman" w:cs="Times New Roman"/>
          <w:i/>
          <w:iCs/>
          <w:sz w:val="24"/>
          <w:szCs w:val="24"/>
          <w:lang w:val="en-GB"/>
        </w:rPr>
        <w:t>Enlarge women participation in life-long learning programmes, which could contribute to re-skilling and up-skilling towards higher incomes.</w:t>
      </w:r>
    </w:p>
    <w:p w14:paraId="159D965F" w14:textId="77777777" w:rsidR="00EE4B13" w:rsidRPr="00EF3F54" w:rsidRDefault="00EE4B13" w:rsidP="00EE4B13">
      <w:pPr>
        <w:pStyle w:val="ListParagraph"/>
        <w:widowControl w:val="0"/>
        <w:numPr>
          <w:ilvl w:val="0"/>
          <w:numId w:val="4"/>
        </w:numPr>
        <w:tabs>
          <w:tab w:val="left" w:pos="1189"/>
        </w:tabs>
        <w:autoSpaceDE w:val="0"/>
        <w:autoSpaceDN w:val="0"/>
        <w:spacing w:after="0" w:line="256" w:lineRule="auto"/>
        <w:ind w:right="477"/>
        <w:contextualSpacing w:val="0"/>
        <w:jc w:val="both"/>
        <w:rPr>
          <w:rFonts w:ascii="Times New Roman" w:hAnsi="Times New Roman" w:cs="Times New Roman"/>
          <w:i/>
          <w:iCs/>
          <w:sz w:val="24"/>
          <w:szCs w:val="24"/>
          <w:lang w:val="en-GB"/>
        </w:rPr>
      </w:pPr>
      <w:r w:rsidRPr="00EF3F54">
        <w:rPr>
          <w:rFonts w:ascii="Times New Roman" w:hAnsi="Times New Roman" w:cs="Times New Roman"/>
          <w:i/>
          <w:iCs/>
          <w:sz w:val="24"/>
          <w:szCs w:val="24"/>
          <w:lang w:val="en-GB"/>
        </w:rPr>
        <w:t>Increase spending on well-designed labour market activation policies.</w:t>
      </w:r>
    </w:p>
    <w:p w14:paraId="3BF5D868" w14:textId="77777777" w:rsidR="00EE4B13" w:rsidRPr="00EF3F54" w:rsidRDefault="00EE4B13" w:rsidP="004C66CF">
      <w:pPr>
        <w:pStyle w:val="ListParagraph"/>
        <w:rPr>
          <w:rFonts w:ascii="Times New Roman" w:hAnsi="Times New Roman" w:cs="Times New Roman"/>
          <w:sz w:val="24"/>
          <w:szCs w:val="24"/>
          <w:lang w:val="en-GB"/>
        </w:rPr>
      </w:pPr>
    </w:p>
    <w:p w14:paraId="03E74978" w14:textId="2B69E8F1" w:rsidR="004C66CF" w:rsidRPr="00EF3F54" w:rsidRDefault="00EF3F54" w:rsidP="00D93969">
      <w:pPr>
        <w:pStyle w:val="ListParagraph"/>
        <w:numPr>
          <w:ilvl w:val="0"/>
          <w:numId w:val="1"/>
        </w:numPr>
        <w:jc w:val="both"/>
        <w:rPr>
          <w:rFonts w:ascii="Times New Roman" w:hAnsi="Times New Roman" w:cs="Times New Roman"/>
          <w:sz w:val="24"/>
          <w:szCs w:val="24"/>
          <w:lang w:val="en-GB"/>
        </w:rPr>
      </w:pPr>
      <w:r w:rsidRPr="00EF3F54">
        <w:rPr>
          <w:rFonts w:ascii="Times New Roman" w:hAnsi="Times New Roman" w:cs="Times New Roman"/>
          <w:iCs/>
          <w:sz w:val="24"/>
          <w:szCs w:val="24"/>
          <w:lang w:val="en-GB"/>
        </w:rPr>
        <w:t xml:space="preserve">To set out clear gender equity goals, particularly in the areas of economic equality between the sexes and equal distribution of unpaid care and household work, make clear decisions to achieve these goals, and support those decisions. Women's leadership </w:t>
      </w:r>
      <w:proofErr w:type="gramStart"/>
      <w:r w:rsidRPr="00EF3F54">
        <w:rPr>
          <w:rFonts w:ascii="Times New Roman" w:hAnsi="Times New Roman" w:cs="Times New Roman"/>
          <w:iCs/>
          <w:sz w:val="24"/>
          <w:szCs w:val="24"/>
          <w:lang w:val="en-GB"/>
        </w:rPr>
        <w:t>should be promoted</w:t>
      </w:r>
      <w:proofErr w:type="gramEnd"/>
      <w:r w:rsidRPr="00EF3F54">
        <w:rPr>
          <w:rFonts w:ascii="Times New Roman" w:hAnsi="Times New Roman" w:cs="Times New Roman"/>
          <w:iCs/>
          <w:sz w:val="24"/>
          <w:szCs w:val="24"/>
          <w:lang w:val="en-GB"/>
        </w:rPr>
        <w:t xml:space="preserve"> from childhood, by combating stereotypes, promoting girls' leadership and participation in public life and politics</w:t>
      </w:r>
      <w:r w:rsidRPr="00EF3F54">
        <w:rPr>
          <w:rFonts w:ascii="Times New Roman" w:hAnsi="Times New Roman" w:cs="Times New Roman"/>
          <w:sz w:val="24"/>
          <w:szCs w:val="24"/>
          <w:lang w:val="en-GB"/>
        </w:rPr>
        <w:t>.</w:t>
      </w:r>
    </w:p>
    <w:p w14:paraId="11B13D07" w14:textId="77777777" w:rsidR="004C66CF" w:rsidRPr="00EF3F54" w:rsidRDefault="004C66CF" w:rsidP="004C66CF">
      <w:pPr>
        <w:pStyle w:val="ListParagraph"/>
        <w:rPr>
          <w:rFonts w:ascii="Times New Roman" w:hAnsi="Times New Roman" w:cs="Times New Roman"/>
          <w:sz w:val="24"/>
          <w:szCs w:val="24"/>
          <w:lang w:val="en-GB"/>
        </w:rPr>
      </w:pPr>
    </w:p>
    <w:p w14:paraId="3A8624FE" w14:textId="0D8855B9" w:rsidR="004C66CF" w:rsidRPr="00EF3F54" w:rsidRDefault="00EF3F54" w:rsidP="00D93969">
      <w:pPr>
        <w:pStyle w:val="ListParagraph"/>
        <w:numPr>
          <w:ilvl w:val="0"/>
          <w:numId w:val="1"/>
        </w:numPr>
        <w:jc w:val="both"/>
        <w:rPr>
          <w:rFonts w:ascii="Times New Roman" w:hAnsi="Times New Roman" w:cs="Times New Roman"/>
          <w:sz w:val="24"/>
          <w:szCs w:val="24"/>
          <w:lang w:val="en-GB"/>
        </w:rPr>
      </w:pPr>
      <w:proofErr w:type="gramStart"/>
      <w:r w:rsidRPr="00EF3F54">
        <w:rPr>
          <w:rFonts w:ascii="Times New Roman" w:hAnsi="Times New Roman" w:cs="Times New Roman"/>
          <w:iCs/>
          <w:sz w:val="24"/>
          <w:szCs w:val="24"/>
          <w:lang w:val="en-GB"/>
        </w:rPr>
        <w:t>To further promote</w:t>
      </w:r>
      <w:proofErr w:type="gramEnd"/>
      <w:r w:rsidRPr="00EF3F54">
        <w:rPr>
          <w:rFonts w:ascii="Times New Roman" w:hAnsi="Times New Roman" w:cs="Times New Roman"/>
          <w:iCs/>
          <w:sz w:val="24"/>
          <w:szCs w:val="24"/>
          <w:lang w:val="en-GB"/>
        </w:rPr>
        <w:t xml:space="preserve"> women’s and girls' empowerment and advocacy at the national level and to increase public awareness of legislation (national and international, for instance the ratification of Istanbul Convention) related to women’s rights</w:t>
      </w:r>
      <w:r w:rsidRPr="00EF3F54">
        <w:rPr>
          <w:rFonts w:ascii="Times New Roman" w:hAnsi="Times New Roman" w:cs="Times New Roman"/>
          <w:sz w:val="24"/>
          <w:szCs w:val="24"/>
          <w:lang w:val="en-GB"/>
        </w:rPr>
        <w:t>.</w:t>
      </w:r>
    </w:p>
    <w:sectPr w:rsidR="004C66CF" w:rsidRPr="00EF3F54">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17B53" w14:textId="77777777" w:rsidR="00BB60CD" w:rsidRDefault="00BB60CD" w:rsidP="00BB60CD">
      <w:pPr>
        <w:spacing w:after="0" w:line="240" w:lineRule="auto"/>
      </w:pPr>
      <w:r>
        <w:separator/>
      </w:r>
    </w:p>
  </w:endnote>
  <w:endnote w:type="continuationSeparator" w:id="0">
    <w:p w14:paraId="52832E82" w14:textId="77777777" w:rsidR="00BB60CD" w:rsidRDefault="00BB60CD" w:rsidP="00BB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393B1" w14:textId="77777777" w:rsidR="00BB60CD" w:rsidRDefault="00BB60CD" w:rsidP="00BB60CD">
      <w:pPr>
        <w:spacing w:after="0" w:line="240" w:lineRule="auto"/>
      </w:pPr>
      <w:r>
        <w:separator/>
      </w:r>
    </w:p>
  </w:footnote>
  <w:footnote w:type="continuationSeparator" w:id="0">
    <w:p w14:paraId="4747CE74" w14:textId="77777777" w:rsidR="00BB60CD" w:rsidRDefault="00BB60CD" w:rsidP="00BB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423694"/>
      <w:docPartObj>
        <w:docPartGallery w:val="Page Numbers (Top of Page)"/>
        <w:docPartUnique/>
      </w:docPartObj>
    </w:sdtPr>
    <w:sdtEndPr>
      <w:rPr>
        <w:rFonts w:ascii="Times New Roman" w:hAnsi="Times New Roman" w:cs="Times New Roman"/>
        <w:noProof/>
        <w:sz w:val="24"/>
      </w:rPr>
    </w:sdtEndPr>
    <w:sdtContent>
      <w:p w14:paraId="2581E580" w14:textId="5120A5C5" w:rsidR="00BB60CD" w:rsidRPr="00BB60CD" w:rsidRDefault="00BB60CD">
        <w:pPr>
          <w:pStyle w:val="Header"/>
          <w:jc w:val="center"/>
          <w:rPr>
            <w:rFonts w:ascii="Times New Roman" w:hAnsi="Times New Roman" w:cs="Times New Roman"/>
            <w:sz w:val="24"/>
          </w:rPr>
        </w:pPr>
        <w:r w:rsidRPr="00BB60CD">
          <w:rPr>
            <w:rFonts w:ascii="Times New Roman" w:hAnsi="Times New Roman" w:cs="Times New Roman"/>
            <w:sz w:val="24"/>
          </w:rPr>
          <w:fldChar w:fldCharType="begin"/>
        </w:r>
        <w:r w:rsidRPr="00BB60CD">
          <w:rPr>
            <w:rFonts w:ascii="Times New Roman" w:hAnsi="Times New Roman" w:cs="Times New Roman"/>
            <w:sz w:val="24"/>
          </w:rPr>
          <w:instrText xml:space="preserve"> PAGE   \* MERGEFORMAT </w:instrText>
        </w:r>
        <w:r w:rsidRPr="00BB60CD">
          <w:rPr>
            <w:rFonts w:ascii="Times New Roman" w:hAnsi="Times New Roman" w:cs="Times New Roman"/>
            <w:sz w:val="24"/>
          </w:rPr>
          <w:fldChar w:fldCharType="separate"/>
        </w:r>
        <w:r>
          <w:rPr>
            <w:rFonts w:ascii="Times New Roman" w:hAnsi="Times New Roman" w:cs="Times New Roman"/>
            <w:noProof/>
            <w:sz w:val="24"/>
          </w:rPr>
          <w:t>4</w:t>
        </w:r>
        <w:r w:rsidRPr="00BB60CD">
          <w:rPr>
            <w:rFonts w:ascii="Times New Roman" w:hAnsi="Times New Roman" w:cs="Times New Roman"/>
            <w:noProof/>
            <w:sz w:val="24"/>
          </w:rPr>
          <w:fldChar w:fldCharType="end"/>
        </w:r>
      </w:p>
    </w:sdtContent>
  </w:sdt>
  <w:p w14:paraId="35D0677C" w14:textId="77777777" w:rsidR="00BB60CD" w:rsidRDefault="00BB6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1940"/>
    <w:multiLevelType w:val="hybridMultilevel"/>
    <w:tmpl w:val="E744A016"/>
    <w:lvl w:ilvl="0" w:tplc="04270001">
      <w:start w:val="1"/>
      <w:numFmt w:val="bullet"/>
      <w:lvlText w:val=""/>
      <w:lvlJc w:val="left"/>
      <w:pPr>
        <w:ind w:left="1584" w:hanging="360"/>
      </w:pPr>
      <w:rPr>
        <w:rFonts w:ascii="Symbol" w:hAnsi="Symbol" w:hint="default"/>
      </w:rPr>
    </w:lvl>
    <w:lvl w:ilvl="1" w:tplc="04270003" w:tentative="1">
      <w:start w:val="1"/>
      <w:numFmt w:val="bullet"/>
      <w:lvlText w:val="o"/>
      <w:lvlJc w:val="left"/>
      <w:pPr>
        <w:ind w:left="2304" w:hanging="360"/>
      </w:pPr>
      <w:rPr>
        <w:rFonts w:ascii="Courier New" w:hAnsi="Courier New" w:cs="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cs="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cs="Courier New" w:hint="default"/>
      </w:rPr>
    </w:lvl>
    <w:lvl w:ilvl="8" w:tplc="04270005" w:tentative="1">
      <w:start w:val="1"/>
      <w:numFmt w:val="bullet"/>
      <w:lvlText w:val=""/>
      <w:lvlJc w:val="left"/>
      <w:pPr>
        <w:ind w:left="7344" w:hanging="360"/>
      </w:pPr>
      <w:rPr>
        <w:rFonts w:ascii="Wingdings" w:hAnsi="Wingdings" w:hint="default"/>
      </w:rPr>
    </w:lvl>
  </w:abstractNum>
  <w:abstractNum w:abstractNumId="1" w15:restartNumberingAfterBreak="0">
    <w:nsid w:val="3E2314BD"/>
    <w:multiLevelType w:val="hybridMultilevel"/>
    <w:tmpl w:val="81BEB8DE"/>
    <w:lvl w:ilvl="0" w:tplc="A0E26A4A">
      <w:start w:val="1"/>
      <w:numFmt w:val="decimal"/>
      <w:lvlText w:val="%1."/>
      <w:lvlJc w:val="left"/>
      <w:pPr>
        <w:ind w:left="1228" w:hanging="332"/>
      </w:pPr>
      <w:rPr>
        <w:rFonts w:ascii="Times New Roman" w:eastAsia="Times New Roman" w:hAnsi="Times New Roman" w:cs="Times New Roman" w:hint="default"/>
        <w:b w:val="0"/>
        <w:bCs w:val="0"/>
        <w:i w:val="0"/>
        <w:iCs w:val="0"/>
        <w:w w:val="96"/>
        <w:sz w:val="21"/>
        <w:szCs w:val="21"/>
        <w:lang w:val="en-US" w:eastAsia="en-US" w:bidi="ar-SA"/>
      </w:rPr>
    </w:lvl>
    <w:lvl w:ilvl="1" w:tplc="F2CE5496">
      <w:numFmt w:val="bullet"/>
      <w:lvlText w:val="•"/>
      <w:lvlJc w:val="left"/>
      <w:pPr>
        <w:ind w:left="1731" w:hanging="320"/>
      </w:pPr>
      <w:rPr>
        <w:rFonts w:ascii="Times New Roman" w:eastAsia="Times New Roman" w:hAnsi="Times New Roman" w:cs="Times New Roman" w:hint="default"/>
        <w:b w:val="0"/>
        <w:bCs w:val="0"/>
        <w:i w:val="0"/>
        <w:iCs w:val="0"/>
        <w:w w:val="110"/>
        <w:sz w:val="21"/>
        <w:szCs w:val="21"/>
        <w:lang w:val="en-US" w:eastAsia="en-US" w:bidi="ar-SA"/>
      </w:rPr>
    </w:lvl>
    <w:lvl w:ilvl="2" w:tplc="5AC48424">
      <w:numFmt w:val="bullet"/>
      <w:lvlText w:val="•"/>
      <w:lvlJc w:val="left"/>
      <w:pPr>
        <w:ind w:left="2571" w:hanging="320"/>
      </w:pPr>
      <w:rPr>
        <w:rFonts w:hint="default"/>
        <w:lang w:val="en-US" w:eastAsia="en-US" w:bidi="ar-SA"/>
      </w:rPr>
    </w:lvl>
    <w:lvl w:ilvl="3" w:tplc="DE48FD28">
      <w:numFmt w:val="bullet"/>
      <w:lvlText w:val="•"/>
      <w:lvlJc w:val="left"/>
      <w:pPr>
        <w:ind w:left="3403" w:hanging="320"/>
      </w:pPr>
      <w:rPr>
        <w:rFonts w:hint="default"/>
        <w:lang w:val="en-US" w:eastAsia="en-US" w:bidi="ar-SA"/>
      </w:rPr>
    </w:lvl>
    <w:lvl w:ilvl="4" w:tplc="A0764240">
      <w:numFmt w:val="bullet"/>
      <w:lvlText w:val="•"/>
      <w:lvlJc w:val="left"/>
      <w:pPr>
        <w:ind w:left="4235" w:hanging="320"/>
      </w:pPr>
      <w:rPr>
        <w:rFonts w:hint="default"/>
        <w:lang w:val="en-US" w:eastAsia="en-US" w:bidi="ar-SA"/>
      </w:rPr>
    </w:lvl>
    <w:lvl w:ilvl="5" w:tplc="24B6CE00">
      <w:numFmt w:val="bullet"/>
      <w:lvlText w:val="•"/>
      <w:lvlJc w:val="left"/>
      <w:pPr>
        <w:ind w:left="5067" w:hanging="320"/>
      </w:pPr>
      <w:rPr>
        <w:rFonts w:hint="default"/>
        <w:lang w:val="en-US" w:eastAsia="en-US" w:bidi="ar-SA"/>
      </w:rPr>
    </w:lvl>
    <w:lvl w:ilvl="6" w:tplc="68760272">
      <w:numFmt w:val="bullet"/>
      <w:lvlText w:val="•"/>
      <w:lvlJc w:val="left"/>
      <w:pPr>
        <w:ind w:left="5899" w:hanging="320"/>
      </w:pPr>
      <w:rPr>
        <w:rFonts w:hint="default"/>
        <w:lang w:val="en-US" w:eastAsia="en-US" w:bidi="ar-SA"/>
      </w:rPr>
    </w:lvl>
    <w:lvl w:ilvl="7" w:tplc="203E3F12">
      <w:numFmt w:val="bullet"/>
      <w:lvlText w:val="•"/>
      <w:lvlJc w:val="left"/>
      <w:pPr>
        <w:ind w:left="6730" w:hanging="320"/>
      </w:pPr>
      <w:rPr>
        <w:rFonts w:hint="default"/>
        <w:lang w:val="en-US" w:eastAsia="en-US" w:bidi="ar-SA"/>
      </w:rPr>
    </w:lvl>
    <w:lvl w:ilvl="8" w:tplc="EC1688D2">
      <w:numFmt w:val="bullet"/>
      <w:lvlText w:val="•"/>
      <w:lvlJc w:val="left"/>
      <w:pPr>
        <w:ind w:left="7562" w:hanging="320"/>
      </w:pPr>
      <w:rPr>
        <w:rFonts w:hint="default"/>
        <w:lang w:val="en-US" w:eastAsia="en-US" w:bidi="ar-SA"/>
      </w:rPr>
    </w:lvl>
  </w:abstractNum>
  <w:abstractNum w:abstractNumId="2" w15:restartNumberingAfterBreak="0">
    <w:nsid w:val="65386CBC"/>
    <w:multiLevelType w:val="hybridMultilevel"/>
    <w:tmpl w:val="5844BED6"/>
    <w:lvl w:ilvl="0" w:tplc="B4F0F98E">
      <w:start w:val="1"/>
      <w:numFmt w:val="decimal"/>
      <w:lvlText w:val="%1."/>
      <w:lvlJc w:val="left"/>
      <w:pPr>
        <w:ind w:left="720" w:hanging="360"/>
      </w:pPr>
      <w:rPr>
        <w:rFonts w:ascii="Times New Roman" w:hAnsi="Times New Roman" w:cs="Times New Roman" w:hint="default"/>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E9226CE"/>
    <w:multiLevelType w:val="hybridMultilevel"/>
    <w:tmpl w:val="5DB8CBF2"/>
    <w:lvl w:ilvl="0" w:tplc="A3F8D63C">
      <w:start w:val="1"/>
      <w:numFmt w:val="bullet"/>
      <w:lvlText w:val="-"/>
      <w:lvlJc w:val="left"/>
      <w:pPr>
        <w:ind w:left="1003" w:hanging="360"/>
      </w:pPr>
      <w:rPr>
        <w:rFonts w:ascii="Times New Roman" w:eastAsiaTheme="minorHAnsi" w:hAnsi="Times New Roman" w:cs="Times New Roman" w:hint="default"/>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5A"/>
    <w:rsid w:val="00071DE1"/>
    <w:rsid w:val="000E6D9B"/>
    <w:rsid w:val="001840EB"/>
    <w:rsid w:val="00197383"/>
    <w:rsid w:val="0023703C"/>
    <w:rsid w:val="002B5093"/>
    <w:rsid w:val="002C607C"/>
    <w:rsid w:val="002E42B5"/>
    <w:rsid w:val="003042A4"/>
    <w:rsid w:val="0036798E"/>
    <w:rsid w:val="003A3633"/>
    <w:rsid w:val="003A4007"/>
    <w:rsid w:val="004C66CF"/>
    <w:rsid w:val="005E3F1A"/>
    <w:rsid w:val="00634455"/>
    <w:rsid w:val="00644C7F"/>
    <w:rsid w:val="0071296F"/>
    <w:rsid w:val="00734BE6"/>
    <w:rsid w:val="00770887"/>
    <w:rsid w:val="0077242A"/>
    <w:rsid w:val="007D130C"/>
    <w:rsid w:val="0080238B"/>
    <w:rsid w:val="00813DE0"/>
    <w:rsid w:val="00840671"/>
    <w:rsid w:val="00882723"/>
    <w:rsid w:val="00927643"/>
    <w:rsid w:val="00932F0E"/>
    <w:rsid w:val="00972B0A"/>
    <w:rsid w:val="009F7310"/>
    <w:rsid w:val="00A63D9D"/>
    <w:rsid w:val="00A642A3"/>
    <w:rsid w:val="00A92EA6"/>
    <w:rsid w:val="00B20C8D"/>
    <w:rsid w:val="00B36FE1"/>
    <w:rsid w:val="00B41B0B"/>
    <w:rsid w:val="00B41B62"/>
    <w:rsid w:val="00B87519"/>
    <w:rsid w:val="00BB60CD"/>
    <w:rsid w:val="00BD2262"/>
    <w:rsid w:val="00C17CF5"/>
    <w:rsid w:val="00C61F3C"/>
    <w:rsid w:val="00C76F2D"/>
    <w:rsid w:val="00CC06A7"/>
    <w:rsid w:val="00CE7D61"/>
    <w:rsid w:val="00D1595A"/>
    <w:rsid w:val="00D2300A"/>
    <w:rsid w:val="00D856C8"/>
    <w:rsid w:val="00D93969"/>
    <w:rsid w:val="00E21DCD"/>
    <w:rsid w:val="00EE4B13"/>
    <w:rsid w:val="00EF3F54"/>
    <w:rsid w:val="00F91125"/>
    <w:rsid w:val="00FB5589"/>
    <w:rsid w:val="00FF28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6971"/>
  <w15:chartTrackingRefBased/>
  <w15:docId w15:val="{00134630-05E4-4EDA-9CEE-B0D14E16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595A"/>
    <w:pPr>
      <w:ind w:left="720"/>
      <w:contextualSpacing/>
    </w:pPr>
  </w:style>
  <w:style w:type="paragraph" w:styleId="BalloonText">
    <w:name w:val="Balloon Text"/>
    <w:basedOn w:val="Normal"/>
    <w:link w:val="BalloonTextChar"/>
    <w:uiPriority w:val="99"/>
    <w:semiHidden/>
    <w:unhideWhenUsed/>
    <w:rsid w:val="00B4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B0B"/>
    <w:rPr>
      <w:rFonts w:ascii="Segoe UI" w:hAnsi="Segoe UI" w:cs="Segoe UI"/>
      <w:sz w:val="18"/>
      <w:szCs w:val="18"/>
    </w:rPr>
  </w:style>
  <w:style w:type="character" w:styleId="CommentReference">
    <w:name w:val="annotation reference"/>
    <w:basedOn w:val="DefaultParagraphFont"/>
    <w:uiPriority w:val="99"/>
    <w:semiHidden/>
    <w:unhideWhenUsed/>
    <w:rsid w:val="001840EB"/>
    <w:rPr>
      <w:sz w:val="16"/>
      <w:szCs w:val="16"/>
    </w:rPr>
  </w:style>
  <w:style w:type="paragraph" w:styleId="CommentText">
    <w:name w:val="annotation text"/>
    <w:basedOn w:val="Normal"/>
    <w:link w:val="CommentTextChar"/>
    <w:uiPriority w:val="99"/>
    <w:semiHidden/>
    <w:unhideWhenUsed/>
    <w:rsid w:val="001840EB"/>
    <w:pPr>
      <w:spacing w:line="240" w:lineRule="auto"/>
    </w:pPr>
    <w:rPr>
      <w:sz w:val="20"/>
      <w:szCs w:val="20"/>
    </w:rPr>
  </w:style>
  <w:style w:type="character" w:customStyle="1" w:styleId="CommentTextChar">
    <w:name w:val="Comment Text Char"/>
    <w:basedOn w:val="DefaultParagraphFont"/>
    <w:link w:val="CommentText"/>
    <w:uiPriority w:val="99"/>
    <w:semiHidden/>
    <w:rsid w:val="001840EB"/>
    <w:rPr>
      <w:sz w:val="20"/>
      <w:szCs w:val="20"/>
    </w:rPr>
  </w:style>
  <w:style w:type="paragraph" w:styleId="CommentSubject">
    <w:name w:val="annotation subject"/>
    <w:basedOn w:val="CommentText"/>
    <w:next w:val="CommentText"/>
    <w:link w:val="CommentSubjectChar"/>
    <w:uiPriority w:val="99"/>
    <w:semiHidden/>
    <w:unhideWhenUsed/>
    <w:rsid w:val="001840EB"/>
    <w:rPr>
      <w:b/>
      <w:bCs/>
    </w:rPr>
  </w:style>
  <w:style w:type="character" w:customStyle="1" w:styleId="CommentSubjectChar">
    <w:name w:val="Comment Subject Char"/>
    <w:basedOn w:val="CommentTextChar"/>
    <w:link w:val="CommentSubject"/>
    <w:uiPriority w:val="99"/>
    <w:semiHidden/>
    <w:rsid w:val="001840EB"/>
    <w:rPr>
      <w:b/>
      <w:bCs/>
      <w:sz w:val="20"/>
      <w:szCs w:val="20"/>
    </w:rPr>
  </w:style>
  <w:style w:type="character" w:styleId="Hyperlink">
    <w:name w:val="Hyperlink"/>
    <w:basedOn w:val="DefaultParagraphFont"/>
    <w:uiPriority w:val="99"/>
    <w:unhideWhenUsed/>
    <w:rsid w:val="009F7310"/>
    <w:rPr>
      <w:color w:val="0563C1" w:themeColor="hyperlink"/>
      <w:u w:val="single"/>
    </w:rPr>
  </w:style>
  <w:style w:type="character" w:styleId="FollowedHyperlink">
    <w:name w:val="FollowedHyperlink"/>
    <w:basedOn w:val="DefaultParagraphFont"/>
    <w:uiPriority w:val="99"/>
    <w:semiHidden/>
    <w:unhideWhenUsed/>
    <w:rsid w:val="009F7310"/>
    <w:rPr>
      <w:color w:val="954F72" w:themeColor="followedHyperlink"/>
      <w:u w:val="single"/>
    </w:rPr>
  </w:style>
  <w:style w:type="paragraph" w:styleId="BodyText">
    <w:name w:val="Body Text"/>
    <w:basedOn w:val="Normal"/>
    <w:link w:val="BodyTextChar"/>
    <w:uiPriority w:val="1"/>
    <w:qFormat/>
    <w:rsid w:val="009F7310"/>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9F7310"/>
    <w:rPr>
      <w:rFonts w:ascii="Times New Roman" w:eastAsia="Times New Roman" w:hAnsi="Times New Roman" w:cs="Times New Roman"/>
      <w:sz w:val="21"/>
      <w:szCs w:val="21"/>
      <w:lang w:val="en-US"/>
    </w:rPr>
  </w:style>
  <w:style w:type="table" w:customStyle="1" w:styleId="TableNormal1">
    <w:name w:val="Table Normal1"/>
    <w:uiPriority w:val="2"/>
    <w:semiHidden/>
    <w:unhideWhenUsed/>
    <w:qFormat/>
    <w:rsid w:val="00F911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BB60CD"/>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60CD"/>
  </w:style>
  <w:style w:type="paragraph" w:styleId="Footer">
    <w:name w:val="footer"/>
    <w:basedOn w:val="Normal"/>
    <w:link w:val="FooterChar"/>
    <w:uiPriority w:val="99"/>
    <w:unhideWhenUsed/>
    <w:rsid w:val="00BB60CD"/>
    <w:pPr>
      <w:tabs>
        <w:tab w:val="center" w:pos="4819"/>
        <w:tab w:val="right" w:pos="9638"/>
      </w:tabs>
      <w:spacing w:after="0" w:line="240" w:lineRule="auto"/>
    </w:pPr>
  </w:style>
  <w:style w:type="character" w:customStyle="1" w:styleId="FooterChar">
    <w:name w:val="Footer Char"/>
    <w:basedOn w:val="DefaultParagraphFont"/>
    <w:link w:val="Footer"/>
    <w:uiPriority w:val="99"/>
    <w:rsid w:val="00BB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stat.gov.lt/lietuvos-gyventoju-pajamos-ir-gyvenimo-salygos-2022/izang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zemelapis.uzt.lt/" TargetMode="External"/><Relationship Id="rId5" Type="http://schemas.openxmlformats.org/officeDocument/2006/relationships/webSettings" Target="webSettings.xml"/><Relationship Id="rId10" Type="http://schemas.openxmlformats.org/officeDocument/2006/relationships/hyperlink" Target="https://osp.stat.gov.lt/en/statistiniu-rodikliu-analize?hash=57729ac9-1cfa-443b-a71f-c93ec04963c7" TargetMode="External"/><Relationship Id="rId4" Type="http://schemas.openxmlformats.org/officeDocument/2006/relationships/settings" Target="settings.xml"/><Relationship Id="rId9" Type="http://schemas.openxmlformats.org/officeDocument/2006/relationships/hyperlink" Target="https://osp.stat.gov.lt/en/statistiniu-rodikliu-analize?hash=4ea781a3-fed7-4bf1-a992-%20f38e538d21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09EF9-9375-4B6C-8F0A-58F0BE50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7486</Words>
  <Characters>4268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Raimondas Nugaras</dc:creator>
  <cp:lastModifiedBy>Emilija Giedraitytė</cp:lastModifiedBy>
  <cp:revision>3</cp:revision>
  <dcterms:created xsi:type="dcterms:W3CDTF">2022-11-03T16:30:00Z</dcterms:created>
  <dcterms:modified xsi:type="dcterms:W3CDTF">2022-11-03T16:51:00Z</dcterms:modified>
</cp:coreProperties>
</file>