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C5B8" w14:textId="5019E3C2" w:rsidR="000770A4" w:rsidRPr="000770A4" w:rsidRDefault="00212C86" w:rsidP="000770A4">
      <w:pPr>
        <w:tabs>
          <w:tab w:val="left" w:pos="960"/>
        </w:tabs>
        <w:spacing w:after="200" w:line="276" w:lineRule="auto"/>
        <w:ind w:right="-28"/>
        <w:rPr>
          <w:rFonts w:ascii="Times New Roman" w:eastAsia="Calibri" w:hAnsi="Times New Roman" w:cs="Times New Roman"/>
          <w:sz w:val="28"/>
          <w:szCs w:val="28"/>
        </w:rPr>
      </w:pPr>
      <w:r>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61372B90" wp14:editId="0C4360FF">
            <wp:simplePos x="787400" y="787400"/>
            <wp:positionH relativeFrom="column">
              <wp:align>left</wp:align>
            </wp:positionH>
            <wp:positionV relativeFrom="paragraph">
              <wp:align>top</wp:align>
            </wp:positionV>
            <wp:extent cx="2712357" cy="5715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alphaModFix amt="50000"/>
                      <a:extLst>
                        <a:ext uri="{28A0092B-C50C-407E-A947-70E740481C1C}">
                          <a14:useLocalDpi xmlns:a14="http://schemas.microsoft.com/office/drawing/2010/main" val="0"/>
                        </a:ext>
                      </a:extLst>
                    </a:blip>
                    <a:stretch>
                      <a:fillRect/>
                    </a:stretch>
                  </pic:blipFill>
                  <pic:spPr>
                    <a:xfrm>
                      <a:off x="0" y="0"/>
                      <a:ext cx="2712357" cy="571500"/>
                    </a:xfrm>
                    <a:prstGeom prst="rect">
                      <a:avLst/>
                    </a:prstGeom>
                  </pic:spPr>
                </pic:pic>
              </a:graphicData>
            </a:graphic>
          </wp:anchor>
        </w:drawing>
      </w:r>
      <w:r w:rsidR="000770A4">
        <w:rPr>
          <w:rFonts w:ascii="Times New Roman" w:eastAsia="Calibri" w:hAnsi="Times New Roman" w:cs="Times New Roman"/>
          <w:sz w:val="24"/>
          <w:szCs w:val="24"/>
        </w:rPr>
        <w:tab/>
      </w:r>
    </w:p>
    <w:p w14:paraId="110732B4" w14:textId="0FECD01C" w:rsidR="000770A4" w:rsidRPr="000770A4" w:rsidRDefault="000770A4" w:rsidP="000770A4">
      <w:pPr>
        <w:spacing w:after="200" w:line="276" w:lineRule="auto"/>
        <w:ind w:right="-28"/>
        <w:rPr>
          <w:rFonts w:ascii="Times New Roman" w:eastAsia="Calibri" w:hAnsi="Times New Roman" w:cs="Times New Roman"/>
          <w:sz w:val="24"/>
          <w:szCs w:val="24"/>
        </w:rPr>
      </w:pPr>
      <w:r>
        <w:rPr>
          <w:rFonts w:ascii="Times New Roman" w:eastAsia="Calibri" w:hAnsi="Times New Roman" w:cs="Times New Roman"/>
          <w:sz w:val="24"/>
          <w:szCs w:val="24"/>
        </w:rPr>
        <w:br w:type="textWrapping" w:clear="all"/>
      </w:r>
    </w:p>
    <w:p w14:paraId="2DE42A38" w14:textId="06D413C5" w:rsidR="00212C86" w:rsidRPr="000770A4" w:rsidRDefault="00BB553D" w:rsidP="00212C86">
      <w:pPr>
        <w:spacing w:after="200" w:line="276" w:lineRule="auto"/>
        <w:ind w:right="-28"/>
        <w:jc w:val="center"/>
        <w:rPr>
          <w:rFonts w:ascii="Helvetica" w:eastAsia="Calibri" w:hAnsi="Helvetica" w:cs="Times New Roman"/>
          <w:b/>
          <w:bCs/>
          <w:sz w:val="24"/>
          <w:szCs w:val="24"/>
          <w:lang w:val="en-US"/>
        </w:rPr>
      </w:pPr>
      <w:r w:rsidRPr="000770A4">
        <w:rPr>
          <w:rFonts w:ascii="Helvetica" w:eastAsia="Calibri" w:hAnsi="Helvetica" w:cs="Times New Roman"/>
          <w:b/>
          <w:bCs/>
          <w:sz w:val="24"/>
          <w:szCs w:val="24"/>
          <w:lang w:val="en-US"/>
        </w:rPr>
        <w:t>Questionnaire on women</w:t>
      </w:r>
      <w:r w:rsidR="00904FDB" w:rsidRPr="000770A4">
        <w:rPr>
          <w:rFonts w:ascii="Helvetica" w:eastAsia="Calibri" w:hAnsi="Helvetica" w:cs="Times New Roman"/>
          <w:b/>
          <w:bCs/>
          <w:sz w:val="24"/>
          <w:szCs w:val="24"/>
          <w:lang w:val="en-US"/>
        </w:rPr>
        <w:t>’</w:t>
      </w:r>
      <w:r w:rsidR="005D18F9" w:rsidRPr="000770A4">
        <w:rPr>
          <w:rFonts w:ascii="Helvetica" w:eastAsia="Calibri" w:hAnsi="Helvetica" w:cs="Times New Roman"/>
          <w:b/>
          <w:bCs/>
          <w:sz w:val="24"/>
          <w:szCs w:val="24"/>
          <w:lang w:val="en-US"/>
        </w:rPr>
        <w:t>s and girls’ human security in the context of</w:t>
      </w:r>
      <w:r w:rsidRPr="000770A4">
        <w:rPr>
          <w:rFonts w:ascii="Helvetica" w:eastAsia="Calibri" w:hAnsi="Helvetica" w:cs="Times New Roman"/>
          <w:b/>
          <w:bCs/>
          <w:sz w:val="24"/>
          <w:szCs w:val="24"/>
          <w:lang w:val="en-US"/>
        </w:rPr>
        <w:t xml:space="preserve"> poverty</w:t>
      </w:r>
      <w:r w:rsidR="005D18F9" w:rsidRPr="000770A4">
        <w:rPr>
          <w:rFonts w:ascii="Helvetica" w:eastAsia="Calibri" w:hAnsi="Helvetica" w:cs="Times New Roman"/>
          <w:b/>
          <w:bCs/>
          <w:sz w:val="24"/>
          <w:szCs w:val="24"/>
          <w:lang w:val="en-US"/>
        </w:rPr>
        <w:t xml:space="preserve"> and inequality</w:t>
      </w:r>
      <w:r w:rsidR="00212C86" w:rsidRPr="000770A4">
        <w:rPr>
          <w:rFonts w:ascii="Helvetica" w:eastAsia="Calibri" w:hAnsi="Helvetica" w:cs="Times New Roman"/>
          <w:b/>
          <w:bCs/>
          <w:sz w:val="24"/>
          <w:szCs w:val="24"/>
          <w:lang w:val="en-US"/>
        </w:rPr>
        <w:t xml:space="preserve">, report by the UN Working Group on discrimination against women and girls </w:t>
      </w:r>
    </w:p>
    <w:p w14:paraId="2CA0C507" w14:textId="243F7DC1" w:rsidR="00212C86" w:rsidRPr="000770A4" w:rsidRDefault="00212C86" w:rsidP="00212C86">
      <w:pPr>
        <w:spacing w:after="200" w:line="276" w:lineRule="auto"/>
        <w:jc w:val="center"/>
        <w:rPr>
          <w:rFonts w:ascii="Helvetica" w:eastAsia="Calibri" w:hAnsi="Helvetica" w:cs="Times New Roman"/>
          <w:b/>
          <w:bCs/>
          <w:u w:val="single"/>
          <w:lang w:val="en-US"/>
        </w:rPr>
      </w:pPr>
      <w:r w:rsidRPr="000770A4">
        <w:rPr>
          <w:rFonts w:ascii="Helvetica" w:eastAsia="Calibri" w:hAnsi="Helvetica" w:cs="Times New Roman"/>
          <w:b/>
          <w:bCs/>
          <w:u w:val="single"/>
          <w:lang w:val="en-US"/>
        </w:rPr>
        <w:t>UNESCO CONTRIBUTION</w:t>
      </w:r>
    </w:p>
    <w:p w14:paraId="73B33170" w14:textId="230F14AE" w:rsidR="00212C86" w:rsidRPr="00444C60" w:rsidRDefault="00444C60" w:rsidP="00212C86">
      <w:pPr>
        <w:jc w:val="both"/>
        <w:rPr>
          <w:rFonts w:ascii="Helvetica" w:eastAsia="Calibri" w:hAnsi="Helvetica" w:cs="Times New Roman"/>
          <w:b/>
          <w:bCs/>
          <w:sz w:val="23"/>
          <w:szCs w:val="23"/>
          <w:lang w:val="en-US"/>
        </w:rPr>
      </w:pPr>
      <w:r w:rsidRPr="00444C60">
        <w:rPr>
          <w:rFonts w:ascii="Helvetica" w:eastAsia="Calibri" w:hAnsi="Helvetica" w:cs="Times New Roman"/>
          <w:b/>
          <w:bCs/>
          <w:sz w:val="23"/>
          <w:szCs w:val="23"/>
          <w:lang w:val="en-US"/>
        </w:rPr>
        <w:t>EXECUTIVE SUMMARY</w:t>
      </w:r>
    </w:p>
    <w:p w14:paraId="08A0D461" w14:textId="007DA464" w:rsidR="00212C86" w:rsidRDefault="00212C86" w:rsidP="00212C86">
      <w:pPr>
        <w:jc w:val="both"/>
        <w:rPr>
          <w:rFonts w:ascii="Helvetica" w:eastAsia="Calibri" w:hAnsi="Helvetica" w:cs="Times New Roman"/>
          <w:sz w:val="23"/>
          <w:szCs w:val="23"/>
          <w:lang w:val="en-US"/>
        </w:rPr>
      </w:pPr>
      <w:r w:rsidRPr="00212C86">
        <w:rPr>
          <w:rFonts w:ascii="Helvetica" w:eastAsia="Calibri" w:hAnsi="Helvetica" w:cs="Times New Roman"/>
          <w:sz w:val="23"/>
          <w:szCs w:val="23"/>
          <w:lang w:val="en-US"/>
        </w:rPr>
        <w:t>As the UN custodian agency for Sustainable Development Goals (SDG) Indicator 16.10.2, UNESCO continues to report not only on progress on the adoption and the implementation of Access to Information guarantees worldwide, but also promotes efforts around the issue.  Access to Information laws allow the general public to access information held by governments, and often, by private entities that perform public duties or receive public funds. It is critical to the exercise of other rights, the reduction of poverty, and meaningful participation and voice.</w:t>
      </w:r>
      <w:r w:rsidR="00E14F66" w:rsidRPr="00E14F66">
        <w:rPr>
          <w:rFonts w:ascii="Helvetica" w:eastAsia="Calibri" w:hAnsi="Helvetica" w:cs="Times New Roman"/>
          <w:sz w:val="23"/>
          <w:szCs w:val="23"/>
          <w:lang w:val="en-US"/>
        </w:rPr>
        <w:t xml:space="preserve"> </w:t>
      </w:r>
      <w:r w:rsidR="00E14F66" w:rsidRPr="00212C86">
        <w:rPr>
          <w:rFonts w:ascii="Helvetica" w:eastAsia="Calibri" w:hAnsi="Helvetica" w:cs="Times New Roman"/>
          <w:sz w:val="23"/>
          <w:szCs w:val="23"/>
          <w:lang w:val="en-US"/>
        </w:rPr>
        <w:t>UNESCO</w:t>
      </w:r>
      <w:r w:rsidR="00E14F66">
        <w:rPr>
          <w:rFonts w:ascii="Helvetica" w:eastAsia="Calibri" w:hAnsi="Helvetica" w:cs="Times New Roman"/>
          <w:sz w:val="23"/>
          <w:szCs w:val="23"/>
          <w:lang w:val="en-US"/>
        </w:rPr>
        <w:t xml:space="preserve"> therefore</w:t>
      </w:r>
      <w:r w:rsidR="00E14F66" w:rsidRPr="00212C86">
        <w:rPr>
          <w:rFonts w:ascii="Helvetica" w:eastAsia="Calibri" w:hAnsi="Helvetica" w:cs="Times New Roman"/>
          <w:sz w:val="23"/>
          <w:szCs w:val="23"/>
          <w:lang w:val="en-US"/>
        </w:rPr>
        <w:t xml:space="preserve"> takes pleasure in contributing to this important report by Working Group on discrimination against women and girls and stands ready to provide further information as requested</w:t>
      </w:r>
      <w:r w:rsidR="00E14F66">
        <w:rPr>
          <w:rFonts w:ascii="Helvetica" w:eastAsia="Calibri" w:hAnsi="Helvetica" w:cs="Times New Roman"/>
          <w:sz w:val="23"/>
          <w:szCs w:val="23"/>
          <w:lang w:val="en-US"/>
        </w:rPr>
        <w:t>.</w:t>
      </w:r>
    </w:p>
    <w:p w14:paraId="6D698469" w14:textId="77777777" w:rsidR="00212C86" w:rsidRPr="00212C86" w:rsidRDefault="00212C86" w:rsidP="00212C86">
      <w:pPr>
        <w:jc w:val="both"/>
        <w:rPr>
          <w:rFonts w:ascii="Helvetica" w:eastAsia="Calibri" w:hAnsi="Helvetica" w:cs="Times New Roman"/>
          <w:sz w:val="23"/>
          <w:szCs w:val="23"/>
          <w:lang w:val="en-US"/>
        </w:rPr>
      </w:pPr>
      <w:r w:rsidRPr="00212C86">
        <w:rPr>
          <w:rFonts w:ascii="Helvetica" w:eastAsia="Calibri" w:hAnsi="Helvetica" w:cs="Times New Roman"/>
          <w:sz w:val="23"/>
          <w:szCs w:val="23"/>
          <w:lang w:val="en-US"/>
        </w:rPr>
        <w:t>In UNESCO’s annual survey on Access to Information 24 Member States reported on the promotion of gender equality in access to information legislation implementation. Women are the least likely to demand and receive access to information yet are perhaps the most in need.  Challenges faced by women in exercising the right to information include poverty, lack of awareness of the right to information and where/how to make requests to access information, fear, including fear of asking for information or cultural constraints.</w:t>
      </w:r>
    </w:p>
    <w:p w14:paraId="0409A3B0" w14:textId="77777777" w:rsidR="00212C86" w:rsidRPr="00212C86" w:rsidRDefault="00212C86" w:rsidP="00212C86">
      <w:pPr>
        <w:jc w:val="both"/>
        <w:rPr>
          <w:rFonts w:ascii="Helvetica" w:eastAsia="Calibri" w:hAnsi="Helvetica" w:cs="Times New Roman"/>
          <w:sz w:val="23"/>
          <w:szCs w:val="23"/>
          <w:lang w:val="en-US"/>
        </w:rPr>
      </w:pPr>
      <w:r w:rsidRPr="00212C86">
        <w:rPr>
          <w:rFonts w:ascii="Helvetica" w:eastAsia="Calibri" w:hAnsi="Helvetica" w:cs="Times New Roman"/>
          <w:sz w:val="23"/>
          <w:szCs w:val="23"/>
          <w:lang w:val="en-US"/>
        </w:rPr>
        <w:t xml:space="preserve">The need to assure gender transformative access to information laws is clear from the low percentages of requesters that are women and the scant number of women that appeal against denials of requests. </w:t>
      </w:r>
      <w:r w:rsidRPr="00212C86">
        <w:rPr>
          <w:rFonts w:ascii="Helvetica" w:eastAsia="Calibri" w:hAnsi="Helvetica" w:cs="Times New Roman"/>
          <w:b/>
          <w:bCs/>
          <w:sz w:val="23"/>
          <w:szCs w:val="23"/>
          <w:lang w:val="en-US"/>
        </w:rPr>
        <w:t xml:space="preserve">According to the findings of a questionnaire sent to Information Commissions in 2021 through the International Conference of Information Commissioners (ICIC), of the 18 national responses and 6 subnational, men were requesting information more often than women. In some cases, as much as 75% of requests were submitted by men. </w:t>
      </w:r>
    </w:p>
    <w:p w14:paraId="0CCC640D" w14:textId="6A3E41E4" w:rsidR="00E32B8E" w:rsidRDefault="004B079C" w:rsidP="00212C86">
      <w:pPr>
        <w:jc w:val="both"/>
        <w:rPr>
          <w:rFonts w:ascii="Helvetica" w:eastAsia="Calibri" w:hAnsi="Helvetica" w:cs="Times New Roman"/>
          <w:sz w:val="23"/>
          <w:szCs w:val="23"/>
          <w:lang w:val="en-US"/>
        </w:rPr>
      </w:pPr>
      <w:r w:rsidRPr="004B079C">
        <w:rPr>
          <w:rFonts w:ascii="Helvetica" w:eastAsia="Calibri" w:hAnsi="Helvetica" w:cs="Times New Roman"/>
          <w:sz w:val="23"/>
          <w:szCs w:val="23"/>
          <w:lang w:val="en-US"/>
        </w:rPr>
        <w:t>Women often face the double burden of sustaining income generation while caring for their families. Increasingly, they are the key decision makers as the number of female-headed households has risen due to civil conflicts, and as men find work farther from home. As a result of limited economic and educational opportunities, women represent a disproportionate number of people living below the poverty line and two-thirds of the world's illiterate. With genuine access to information women can take advantage of opportunities to transform their lives, families, and communities.</w:t>
      </w:r>
    </w:p>
    <w:p w14:paraId="50DEAEAF" w14:textId="77777777" w:rsidR="004B079C" w:rsidRPr="004B079C" w:rsidRDefault="004B079C" w:rsidP="004B079C">
      <w:pPr>
        <w:rPr>
          <w:rFonts w:ascii="Helvetica" w:eastAsia="Calibri" w:hAnsi="Helvetica" w:cs="Times New Roman"/>
          <w:sz w:val="23"/>
          <w:szCs w:val="23"/>
          <w:lang w:val="en-US"/>
        </w:rPr>
      </w:pPr>
      <w:r w:rsidRPr="004B079C">
        <w:rPr>
          <w:rFonts w:ascii="Helvetica" w:eastAsia="Calibri" w:hAnsi="Helvetica" w:cs="Times New Roman"/>
          <w:sz w:val="23"/>
          <w:szCs w:val="23"/>
          <w:lang w:val="en-US"/>
        </w:rPr>
        <w:t>In particular, access to information:</w:t>
      </w:r>
    </w:p>
    <w:p w14:paraId="7BFD1E38" w14:textId="77777777" w:rsidR="004B079C" w:rsidRPr="004B079C" w:rsidRDefault="004B079C" w:rsidP="004B079C">
      <w:pPr>
        <w:pStyle w:val="ListParagraph"/>
        <w:numPr>
          <w:ilvl w:val="0"/>
          <w:numId w:val="6"/>
        </w:numPr>
        <w:rPr>
          <w:rFonts w:ascii="Helvetica" w:eastAsia="Calibri" w:hAnsi="Helvetica" w:cs="Times New Roman"/>
          <w:sz w:val="23"/>
          <w:szCs w:val="23"/>
          <w:lang w:val="en-US"/>
        </w:rPr>
      </w:pPr>
      <w:r w:rsidRPr="004B079C">
        <w:rPr>
          <w:rFonts w:ascii="Helvetica" w:eastAsia="Calibri" w:hAnsi="Helvetica" w:cs="Times New Roman"/>
          <w:sz w:val="23"/>
          <w:szCs w:val="23"/>
          <w:lang w:val="en-US"/>
        </w:rPr>
        <w:t>empowers women to make more effective decisions, for example with relation to education, crop production, land ownership, and health care;</w:t>
      </w:r>
    </w:p>
    <w:p w14:paraId="387D515E" w14:textId="77777777" w:rsidR="004B079C" w:rsidRPr="004B079C" w:rsidRDefault="004B079C" w:rsidP="004B079C">
      <w:pPr>
        <w:pStyle w:val="ListParagraph"/>
        <w:numPr>
          <w:ilvl w:val="0"/>
          <w:numId w:val="6"/>
        </w:numPr>
        <w:rPr>
          <w:rFonts w:ascii="Helvetica" w:eastAsia="Calibri" w:hAnsi="Helvetica" w:cs="Times New Roman"/>
          <w:sz w:val="23"/>
          <w:szCs w:val="23"/>
          <w:lang w:val="en-US"/>
        </w:rPr>
      </w:pPr>
      <w:r w:rsidRPr="004B079C">
        <w:rPr>
          <w:rFonts w:ascii="Helvetica" w:eastAsia="Calibri" w:hAnsi="Helvetica" w:cs="Times New Roman"/>
          <w:sz w:val="23"/>
          <w:szCs w:val="23"/>
          <w:lang w:val="en-US"/>
        </w:rPr>
        <w:t>enables women to understand and exercise their full range of rights;</w:t>
      </w:r>
    </w:p>
    <w:p w14:paraId="3AA742EA" w14:textId="77777777" w:rsidR="004B079C" w:rsidRPr="004B079C" w:rsidRDefault="004B079C" w:rsidP="004B079C">
      <w:pPr>
        <w:pStyle w:val="ListParagraph"/>
        <w:numPr>
          <w:ilvl w:val="0"/>
          <w:numId w:val="6"/>
        </w:numPr>
        <w:rPr>
          <w:rFonts w:ascii="Helvetica" w:eastAsia="Calibri" w:hAnsi="Helvetica" w:cs="Times New Roman"/>
          <w:sz w:val="23"/>
          <w:szCs w:val="23"/>
          <w:lang w:val="en-US"/>
        </w:rPr>
      </w:pPr>
      <w:r w:rsidRPr="004B079C">
        <w:rPr>
          <w:rFonts w:ascii="Helvetica" w:eastAsia="Calibri" w:hAnsi="Helvetica" w:cs="Times New Roman"/>
          <w:sz w:val="23"/>
          <w:szCs w:val="23"/>
          <w:lang w:val="en-US"/>
        </w:rPr>
        <w:lastRenderedPageBreak/>
        <w:t>helps women to participate more fully in public life;</w:t>
      </w:r>
    </w:p>
    <w:p w14:paraId="3DBED496" w14:textId="77777777" w:rsidR="004B079C" w:rsidRPr="004B079C" w:rsidRDefault="004B079C" w:rsidP="004B079C">
      <w:pPr>
        <w:pStyle w:val="ListParagraph"/>
        <w:numPr>
          <w:ilvl w:val="0"/>
          <w:numId w:val="6"/>
        </w:numPr>
        <w:rPr>
          <w:rFonts w:ascii="Helvetica" w:eastAsia="Calibri" w:hAnsi="Helvetica" w:cs="Times New Roman"/>
          <w:sz w:val="23"/>
          <w:szCs w:val="23"/>
          <w:lang w:val="en-US"/>
        </w:rPr>
      </w:pPr>
      <w:r w:rsidRPr="004B079C">
        <w:rPr>
          <w:rFonts w:ascii="Helvetica" w:eastAsia="Calibri" w:hAnsi="Helvetica" w:cs="Times New Roman"/>
          <w:sz w:val="23"/>
          <w:szCs w:val="23"/>
          <w:lang w:val="en-US"/>
        </w:rPr>
        <w:t>is critical for holding government and service providers accountable;</w:t>
      </w:r>
    </w:p>
    <w:p w14:paraId="5CEE6691" w14:textId="77777777" w:rsidR="004B079C" w:rsidRPr="004B079C" w:rsidRDefault="004B079C" w:rsidP="004B079C">
      <w:pPr>
        <w:pStyle w:val="ListParagraph"/>
        <w:numPr>
          <w:ilvl w:val="0"/>
          <w:numId w:val="6"/>
        </w:numPr>
        <w:rPr>
          <w:rFonts w:ascii="Helvetica" w:eastAsia="Calibri" w:hAnsi="Helvetica" w:cs="Times New Roman"/>
          <w:sz w:val="23"/>
          <w:szCs w:val="23"/>
          <w:lang w:val="en-US"/>
        </w:rPr>
      </w:pPr>
      <w:r w:rsidRPr="004B079C">
        <w:rPr>
          <w:rFonts w:ascii="Helvetica" w:eastAsia="Calibri" w:hAnsi="Helvetica" w:cs="Times New Roman"/>
          <w:sz w:val="23"/>
          <w:szCs w:val="23"/>
          <w:lang w:val="en-US"/>
        </w:rPr>
        <w:t>bridges gender gaps and helps to shift power in decision-making processes; and</w:t>
      </w:r>
    </w:p>
    <w:p w14:paraId="7172B9A4" w14:textId="40E1ADFB" w:rsidR="004B079C" w:rsidRPr="004B079C" w:rsidRDefault="004B079C" w:rsidP="004B079C">
      <w:pPr>
        <w:pStyle w:val="ListParagraph"/>
        <w:numPr>
          <w:ilvl w:val="0"/>
          <w:numId w:val="6"/>
        </w:numPr>
        <w:jc w:val="both"/>
        <w:rPr>
          <w:rFonts w:ascii="Helvetica" w:eastAsia="Calibri" w:hAnsi="Helvetica" w:cs="Times New Roman"/>
          <w:sz w:val="23"/>
          <w:szCs w:val="23"/>
          <w:lang w:val="en-US"/>
        </w:rPr>
      </w:pPr>
      <w:r w:rsidRPr="004B079C">
        <w:rPr>
          <w:rFonts w:ascii="Helvetica" w:eastAsia="Calibri" w:hAnsi="Helvetica" w:cs="Times New Roman"/>
          <w:sz w:val="23"/>
          <w:szCs w:val="23"/>
          <w:lang w:val="en-US"/>
        </w:rPr>
        <w:t>can link women with the needed resources for achieving economic empowerment.</w:t>
      </w:r>
    </w:p>
    <w:p w14:paraId="676EB74B" w14:textId="7EF49F0B" w:rsidR="00444C60" w:rsidRPr="00444C60" w:rsidRDefault="00B52F09" w:rsidP="00212C86">
      <w:pPr>
        <w:jc w:val="both"/>
        <w:rPr>
          <w:rFonts w:ascii="Helvetica" w:eastAsia="Calibri" w:hAnsi="Helvetica" w:cs="Times New Roman"/>
          <w:b/>
          <w:bCs/>
          <w:sz w:val="23"/>
          <w:szCs w:val="23"/>
          <w:lang w:val="en-US"/>
        </w:rPr>
      </w:pPr>
      <w:r>
        <w:rPr>
          <w:rFonts w:ascii="Helvetica" w:eastAsia="Calibri" w:hAnsi="Helvetica" w:cs="Times New Roman"/>
          <w:b/>
          <w:bCs/>
          <w:sz w:val="23"/>
          <w:szCs w:val="23"/>
          <w:lang w:val="en-US"/>
        </w:rPr>
        <w:t xml:space="preserve">QUESTIONNAIRE: </w:t>
      </w:r>
    </w:p>
    <w:p w14:paraId="2C181025" w14:textId="12270499" w:rsidR="004F61D0" w:rsidRPr="006457A6" w:rsidRDefault="00444C60" w:rsidP="006457A6">
      <w:pPr>
        <w:pStyle w:val="ListParagraph"/>
        <w:numPr>
          <w:ilvl w:val="0"/>
          <w:numId w:val="15"/>
        </w:numPr>
        <w:spacing w:after="0" w:line="240" w:lineRule="auto"/>
        <w:jc w:val="both"/>
        <w:rPr>
          <w:rFonts w:ascii="Helvetica" w:eastAsia="Calibri" w:hAnsi="Helvetica" w:cs="Times New Roman"/>
          <w:b/>
          <w:bCs/>
          <w:i/>
          <w:iCs/>
          <w:sz w:val="23"/>
          <w:szCs w:val="23"/>
          <w:lang w:val="en-US"/>
        </w:rPr>
      </w:pPr>
      <w:r w:rsidRPr="006457A6">
        <w:rPr>
          <w:rFonts w:ascii="Helvetica" w:eastAsia="Calibri" w:hAnsi="Helvetica" w:cs="Times New Roman"/>
          <w:b/>
          <w:bCs/>
          <w:i/>
          <w:iCs/>
          <w:sz w:val="23"/>
          <w:szCs w:val="23"/>
          <w:lang w:val="en-US"/>
        </w:rPr>
        <w:t xml:space="preserve">What </w:t>
      </w:r>
      <w:proofErr w:type="gramStart"/>
      <w:r w:rsidRPr="006457A6">
        <w:rPr>
          <w:rFonts w:ascii="Helvetica" w:eastAsia="Calibri" w:hAnsi="Helvetica" w:cs="Times New Roman"/>
          <w:b/>
          <w:bCs/>
          <w:i/>
          <w:iCs/>
          <w:sz w:val="23"/>
          <w:szCs w:val="23"/>
          <w:lang w:val="en-US"/>
        </w:rPr>
        <w:t>are</w:t>
      </w:r>
      <w:proofErr w:type="gramEnd"/>
      <w:r w:rsidRPr="006457A6">
        <w:rPr>
          <w:rFonts w:ascii="Helvetica" w:eastAsia="Calibri" w:hAnsi="Helvetica" w:cs="Times New Roman"/>
          <w:b/>
          <w:bCs/>
          <w:i/>
          <w:iCs/>
          <w:sz w:val="23"/>
          <w:szCs w:val="23"/>
          <w:lang w:val="en-US"/>
        </w:rPr>
        <w:t xml:space="preserve"> the concrete</w:t>
      </w:r>
      <w:r w:rsidR="000E7821" w:rsidRPr="006457A6">
        <w:rPr>
          <w:rFonts w:ascii="Helvetica" w:eastAsia="Calibri" w:hAnsi="Helvetica" w:cs="Times New Roman"/>
          <w:b/>
          <w:bCs/>
          <w:i/>
          <w:iCs/>
          <w:sz w:val="23"/>
          <w:szCs w:val="23"/>
          <w:lang w:val="en-US"/>
        </w:rPr>
        <w:t xml:space="preserve"> action adopted to promote and protect the economic and social human rights of women and girls?</w:t>
      </w:r>
    </w:p>
    <w:p w14:paraId="7CCF47D1" w14:textId="77777777" w:rsidR="00444C60" w:rsidRDefault="00444C60" w:rsidP="00444C60">
      <w:pPr>
        <w:spacing w:after="0" w:line="240" w:lineRule="auto"/>
        <w:contextualSpacing/>
        <w:jc w:val="both"/>
        <w:rPr>
          <w:rFonts w:ascii="Helvetica" w:eastAsia="Calibri" w:hAnsi="Helvetica" w:cs="Times New Roman"/>
          <w:sz w:val="23"/>
          <w:szCs w:val="23"/>
          <w:lang w:val="en-US"/>
        </w:rPr>
      </w:pPr>
    </w:p>
    <w:p w14:paraId="3049BE50" w14:textId="1D681FA1" w:rsidR="00B33D56" w:rsidRDefault="00E32B8E" w:rsidP="002E3BD2">
      <w:pPr>
        <w:spacing w:after="0" w:line="240" w:lineRule="auto"/>
        <w:contextualSpacing/>
        <w:jc w:val="both"/>
        <w:rPr>
          <w:rFonts w:ascii="Helvetica" w:eastAsia="Calibri" w:hAnsi="Helvetica" w:cs="Times New Roman"/>
          <w:iCs/>
          <w:sz w:val="23"/>
          <w:szCs w:val="23"/>
          <w:lang w:val="en-US"/>
        </w:rPr>
      </w:pPr>
      <w:bookmarkStart w:id="0" w:name="_Hlk118387963"/>
      <w:r w:rsidRPr="002E3BD2">
        <w:rPr>
          <w:rFonts w:ascii="Helvetica" w:eastAsia="Calibri" w:hAnsi="Helvetica" w:cs="Times New Roman"/>
          <w:iCs/>
          <w:sz w:val="23"/>
          <w:szCs w:val="23"/>
          <w:lang w:val="en-US"/>
        </w:rPr>
        <w:t xml:space="preserve">UNESCO </w:t>
      </w:r>
      <w:r w:rsidR="004B079C" w:rsidRPr="002E3BD2">
        <w:rPr>
          <w:rFonts w:ascii="Helvetica" w:eastAsia="Calibri" w:hAnsi="Helvetica" w:cs="Times New Roman"/>
          <w:iCs/>
          <w:sz w:val="23"/>
          <w:szCs w:val="23"/>
          <w:lang w:val="en-US"/>
        </w:rPr>
        <w:t xml:space="preserve">is actively </w:t>
      </w:r>
      <w:r w:rsidR="00AD4DA9">
        <w:rPr>
          <w:rFonts w:ascii="Helvetica" w:eastAsia="Calibri" w:hAnsi="Helvetica" w:cs="Times New Roman"/>
          <w:iCs/>
          <w:sz w:val="23"/>
          <w:szCs w:val="23"/>
          <w:lang w:val="en-US"/>
        </w:rPr>
        <w:t xml:space="preserve">advocating </w:t>
      </w:r>
      <w:r w:rsidR="004B079C" w:rsidRPr="002E3BD2">
        <w:rPr>
          <w:rFonts w:ascii="Helvetica" w:eastAsia="Calibri" w:hAnsi="Helvetica" w:cs="Times New Roman"/>
          <w:iCs/>
          <w:sz w:val="23"/>
          <w:szCs w:val="23"/>
          <w:lang w:val="en-US"/>
        </w:rPr>
        <w:t xml:space="preserve">efforts aimed to strengthen access to information </w:t>
      </w:r>
      <w:r w:rsidR="002E3BD2" w:rsidRPr="002E3BD2">
        <w:rPr>
          <w:rFonts w:ascii="Helvetica" w:eastAsia="Calibri" w:hAnsi="Helvetica" w:cs="Times New Roman"/>
          <w:iCs/>
          <w:sz w:val="23"/>
          <w:szCs w:val="23"/>
          <w:lang w:val="en-US"/>
        </w:rPr>
        <w:t xml:space="preserve">for women through </w:t>
      </w:r>
      <w:r w:rsidR="00AD4DA9">
        <w:rPr>
          <w:rFonts w:ascii="Helvetica" w:eastAsia="Calibri" w:hAnsi="Helvetica" w:cs="Times New Roman"/>
          <w:iCs/>
          <w:sz w:val="23"/>
          <w:szCs w:val="23"/>
          <w:lang w:val="en-US"/>
        </w:rPr>
        <w:t xml:space="preserve">celebration of </w:t>
      </w:r>
      <w:r w:rsidR="002E3BD2" w:rsidRPr="002E3BD2">
        <w:rPr>
          <w:rFonts w:ascii="Helvetica" w:eastAsia="Calibri" w:hAnsi="Helvetica" w:cs="Times New Roman"/>
          <w:iCs/>
          <w:sz w:val="23"/>
          <w:szCs w:val="23"/>
          <w:lang w:val="en-US"/>
        </w:rPr>
        <w:t xml:space="preserve">the International Day of Universal </w:t>
      </w:r>
      <w:r w:rsidR="002515D3">
        <w:rPr>
          <w:rFonts w:ascii="Helvetica" w:eastAsia="Calibri" w:hAnsi="Helvetica" w:cs="Times New Roman"/>
          <w:iCs/>
          <w:sz w:val="23"/>
          <w:szCs w:val="23"/>
          <w:lang w:val="en-US"/>
        </w:rPr>
        <w:t>A</w:t>
      </w:r>
      <w:r w:rsidR="002E3BD2" w:rsidRPr="002E3BD2">
        <w:rPr>
          <w:rFonts w:ascii="Helvetica" w:eastAsia="Calibri" w:hAnsi="Helvetica" w:cs="Times New Roman"/>
          <w:iCs/>
          <w:sz w:val="23"/>
          <w:szCs w:val="23"/>
          <w:lang w:val="en-US"/>
        </w:rPr>
        <w:t>ccess to Information</w:t>
      </w:r>
      <w:r w:rsidR="00AD4DA9">
        <w:rPr>
          <w:rFonts w:ascii="Helvetica" w:eastAsia="Calibri" w:hAnsi="Helvetica" w:cs="Times New Roman"/>
          <w:iCs/>
          <w:sz w:val="23"/>
          <w:szCs w:val="23"/>
          <w:lang w:val="en-US"/>
        </w:rPr>
        <w:t xml:space="preserve"> </w:t>
      </w:r>
      <w:r w:rsidR="00AD4DA9" w:rsidRPr="002E3BD2">
        <w:rPr>
          <w:rFonts w:ascii="Helvetica" w:eastAsia="Calibri" w:hAnsi="Helvetica" w:cs="Times New Roman"/>
          <w:iCs/>
          <w:sz w:val="23"/>
          <w:szCs w:val="23"/>
          <w:lang w:val="en-US"/>
        </w:rPr>
        <w:t>(IDUAI)</w:t>
      </w:r>
      <w:r w:rsidR="00B33D56">
        <w:rPr>
          <w:rFonts w:ascii="Helvetica" w:eastAsia="Calibri" w:hAnsi="Helvetica" w:cs="Times New Roman"/>
          <w:iCs/>
          <w:sz w:val="23"/>
          <w:szCs w:val="23"/>
          <w:lang w:val="en-US"/>
        </w:rPr>
        <w:t>.</w:t>
      </w:r>
    </w:p>
    <w:p w14:paraId="3BEC8C38" w14:textId="77777777" w:rsidR="00B33D56" w:rsidRDefault="00B33D56" w:rsidP="002E3BD2">
      <w:pPr>
        <w:spacing w:after="0" w:line="240" w:lineRule="auto"/>
        <w:contextualSpacing/>
        <w:jc w:val="both"/>
        <w:rPr>
          <w:rFonts w:ascii="Helvetica" w:eastAsia="Calibri" w:hAnsi="Helvetica" w:cs="Times New Roman"/>
          <w:iCs/>
          <w:sz w:val="23"/>
          <w:szCs w:val="23"/>
          <w:lang w:val="en-US"/>
        </w:rPr>
      </w:pPr>
    </w:p>
    <w:p w14:paraId="0D10AACF" w14:textId="226883A8" w:rsidR="00E32B8E" w:rsidRDefault="002E3BD2" w:rsidP="00B33D56">
      <w:pPr>
        <w:spacing w:after="0" w:line="240" w:lineRule="auto"/>
        <w:contextualSpacing/>
        <w:jc w:val="both"/>
        <w:rPr>
          <w:rFonts w:ascii="Helvetica" w:eastAsia="Calibri" w:hAnsi="Helvetica" w:cs="Times New Roman"/>
          <w:iCs/>
          <w:sz w:val="23"/>
          <w:szCs w:val="23"/>
          <w:lang w:val="en-US"/>
        </w:rPr>
      </w:pPr>
      <w:r w:rsidRPr="002E3BD2">
        <w:rPr>
          <w:rFonts w:ascii="Helvetica" w:eastAsia="Calibri" w:hAnsi="Helvetica" w:cs="Times New Roman"/>
          <w:iCs/>
          <w:sz w:val="23"/>
          <w:szCs w:val="23"/>
          <w:lang w:val="en-US"/>
        </w:rPr>
        <w:t>UNESCO declared on 17 November 2015 that the International Day for Universal Access to Information will be marked and celebrated on 28 September every year.</w:t>
      </w:r>
      <w:r>
        <w:rPr>
          <w:rFonts w:ascii="Helvetica" w:eastAsia="Calibri" w:hAnsi="Helvetica" w:cs="Times New Roman"/>
          <w:iCs/>
          <w:sz w:val="23"/>
          <w:szCs w:val="23"/>
          <w:lang w:val="en-US"/>
        </w:rPr>
        <w:t xml:space="preserve"> </w:t>
      </w:r>
      <w:r w:rsidRPr="002E3BD2">
        <w:rPr>
          <w:rFonts w:ascii="Helvetica" w:eastAsia="Calibri" w:hAnsi="Helvetica" w:cs="Times New Roman"/>
          <w:iCs/>
          <w:sz w:val="23"/>
          <w:szCs w:val="23"/>
          <w:lang w:val="en-US"/>
        </w:rPr>
        <w:t xml:space="preserve">Recognizing the significance of access to information, the 74th UN General Assembly proclaimed 28 September as the International Day for Universal Access to Information at the UN level in October 2019. </w:t>
      </w:r>
    </w:p>
    <w:p w14:paraId="21CCEA33" w14:textId="36150EED" w:rsidR="002E3BD2" w:rsidRDefault="002E3BD2" w:rsidP="002E3BD2">
      <w:pPr>
        <w:spacing w:after="0" w:line="240" w:lineRule="auto"/>
        <w:contextualSpacing/>
        <w:jc w:val="both"/>
        <w:rPr>
          <w:rFonts w:ascii="Helvetica" w:eastAsia="Calibri" w:hAnsi="Helvetica" w:cs="Times New Roman"/>
          <w:iCs/>
          <w:sz w:val="23"/>
          <w:szCs w:val="23"/>
          <w:lang w:val="en-US"/>
        </w:rPr>
      </w:pPr>
    </w:p>
    <w:p w14:paraId="630F851C" w14:textId="77777777" w:rsidR="002515D3" w:rsidRDefault="002515D3" w:rsidP="002E3BD2">
      <w:pPr>
        <w:spacing w:after="0" w:line="240" w:lineRule="auto"/>
        <w:contextualSpacing/>
        <w:jc w:val="both"/>
        <w:rPr>
          <w:rFonts w:ascii="Helvetica" w:eastAsia="Calibri" w:hAnsi="Helvetica" w:cs="Times New Roman"/>
          <w:iCs/>
          <w:sz w:val="23"/>
          <w:szCs w:val="23"/>
          <w:lang w:val="en-US"/>
        </w:rPr>
      </w:pPr>
      <w:r>
        <w:rPr>
          <w:rFonts w:ascii="Helvetica" w:eastAsia="Calibri" w:hAnsi="Helvetica" w:cs="Times New Roman"/>
          <w:iCs/>
          <w:sz w:val="23"/>
          <w:szCs w:val="23"/>
          <w:lang w:val="en-US"/>
        </w:rPr>
        <w:t>S</w:t>
      </w:r>
      <w:r w:rsidR="002E3BD2">
        <w:rPr>
          <w:rFonts w:ascii="Helvetica" w:eastAsia="Calibri" w:hAnsi="Helvetica" w:cs="Times New Roman"/>
          <w:iCs/>
          <w:sz w:val="23"/>
          <w:szCs w:val="23"/>
          <w:lang w:val="en-US"/>
        </w:rPr>
        <w:t>ince 201</w:t>
      </w:r>
      <w:r w:rsidR="00B33D56">
        <w:rPr>
          <w:rFonts w:ascii="Helvetica" w:eastAsia="Calibri" w:hAnsi="Helvetica" w:cs="Times New Roman"/>
          <w:iCs/>
          <w:sz w:val="23"/>
          <w:szCs w:val="23"/>
          <w:lang w:val="en-US"/>
        </w:rPr>
        <w:t>6</w:t>
      </w:r>
      <w:r w:rsidR="002E3BD2">
        <w:rPr>
          <w:rFonts w:ascii="Helvetica" w:eastAsia="Calibri" w:hAnsi="Helvetica" w:cs="Times New Roman"/>
          <w:iCs/>
          <w:sz w:val="23"/>
          <w:szCs w:val="23"/>
          <w:lang w:val="en-US"/>
        </w:rPr>
        <w:t xml:space="preserve"> UNESCO has organized more tha</w:t>
      </w:r>
      <w:r w:rsidR="00B33D56">
        <w:rPr>
          <w:rFonts w:ascii="Helvetica" w:eastAsia="Calibri" w:hAnsi="Helvetica" w:cs="Times New Roman"/>
          <w:iCs/>
          <w:sz w:val="23"/>
          <w:szCs w:val="23"/>
          <w:lang w:val="en-US"/>
        </w:rPr>
        <w:t>n</w:t>
      </w:r>
      <w:r w:rsidR="002E3BD2">
        <w:rPr>
          <w:rFonts w:ascii="Helvetica" w:eastAsia="Calibri" w:hAnsi="Helvetica" w:cs="Times New Roman"/>
          <w:iCs/>
          <w:sz w:val="23"/>
          <w:szCs w:val="23"/>
          <w:lang w:val="en-US"/>
        </w:rPr>
        <w:t xml:space="preserve"> 100 global</w:t>
      </w:r>
      <w:r w:rsidR="00B33D56">
        <w:rPr>
          <w:rFonts w:ascii="Helvetica" w:eastAsia="Calibri" w:hAnsi="Helvetica" w:cs="Times New Roman"/>
          <w:iCs/>
          <w:sz w:val="23"/>
          <w:szCs w:val="23"/>
          <w:lang w:val="en-US"/>
        </w:rPr>
        <w:t xml:space="preserve">, </w:t>
      </w:r>
      <w:r w:rsidR="002E3BD2">
        <w:rPr>
          <w:rFonts w:ascii="Helvetica" w:eastAsia="Calibri" w:hAnsi="Helvetica" w:cs="Times New Roman"/>
          <w:iCs/>
          <w:sz w:val="23"/>
          <w:szCs w:val="23"/>
          <w:lang w:val="en-US"/>
        </w:rPr>
        <w:t xml:space="preserve">regional and national </w:t>
      </w:r>
      <w:r>
        <w:rPr>
          <w:rFonts w:ascii="Helvetica" w:eastAsia="Calibri" w:hAnsi="Helvetica" w:cs="Times New Roman"/>
          <w:iCs/>
          <w:sz w:val="23"/>
          <w:szCs w:val="23"/>
          <w:lang w:val="en-US"/>
        </w:rPr>
        <w:t xml:space="preserve">IDUAI </w:t>
      </w:r>
      <w:r w:rsidR="002E3BD2">
        <w:rPr>
          <w:rFonts w:ascii="Helvetica" w:eastAsia="Calibri" w:hAnsi="Helvetica" w:cs="Times New Roman"/>
          <w:iCs/>
          <w:sz w:val="23"/>
          <w:szCs w:val="23"/>
          <w:lang w:val="en-US"/>
        </w:rPr>
        <w:t xml:space="preserve">events aimed to promote the right to information in general and the right of women to access information in particular. </w:t>
      </w:r>
    </w:p>
    <w:p w14:paraId="74B99075" w14:textId="77777777" w:rsidR="002515D3" w:rsidRDefault="002515D3" w:rsidP="002E3BD2">
      <w:pPr>
        <w:spacing w:after="0" w:line="240" w:lineRule="auto"/>
        <w:contextualSpacing/>
        <w:jc w:val="both"/>
        <w:rPr>
          <w:rFonts w:ascii="Helvetica" w:eastAsia="Calibri" w:hAnsi="Helvetica" w:cs="Times New Roman"/>
          <w:iCs/>
          <w:sz w:val="23"/>
          <w:szCs w:val="23"/>
          <w:lang w:val="en-US"/>
        </w:rPr>
      </w:pPr>
    </w:p>
    <w:p w14:paraId="6889FB9F" w14:textId="28071F6D" w:rsidR="002E3BD2" w:rsidRPr="002E3BD2" w:rsidRDefault="002E3BD2" w:rsidP="002E3BD2">
      <w:pPr>
        <w:spacing w:after="0" w:line="240" w:lineRule="auto"/>
        <w:contextualSpacing/>
        <w:jc w:val="both"/>
        <w:rPr>
          <w:rFonts w:ascii="Helvetica" w:eastAsia="Calibri" w:hAnsi="Helvetica" w:cs="Times New Roman"/>
          <w:iCs/>
          <w:sz w:val="23"/>
          <w:szCs w:val="23"/>
          <w:lang w:val="en-US"/>
        </w:rPr>
      </w:pPr>
      <w:r>
        <w:rPr>
          <w:rFonts w:ascii="Helvetica" w:eastAsia="Calibri" w:hAnsi="Helvetica" w:cs="Times New Roman"/>
          <w:iCs/>
          <w:sz w:val="23"/>
          <w:szCs w:val="23"/>
          <w:lang w:val="en-US"/>
        </w:rPr>
        <w:t xml:space="preserve">A wide range of partners, </w:t>
      </w:r>
      <w:r w:rsidR="00AD4DA9">
        <w:rPr>
          <w:rFonts w:ascii="Helvetica" w:eastAsia="Calibri" w:hAnsi="Helvetica" w:cs="Times New Roman"/>
          <w:iCs/>
          <w:sz w:val="23"/>
          <w:szCs w:val="23"/>
          <w:lang w:val="en-US"/>
        </w:rPr>
        <w:t>such as government i</w:t>
      </w:r>
      <w:r>
        <w:rPr>
          <w:rFonts w:ascii="Helvetica" w:eastAsia="Calibri" w:hAnsi="Helvetica" w:cs="Times New Roman"/>
          <w:iCs/>
          <w:sz w:val="23"/>
          <w:szCs w:val="23"/>
          <w:lang w:val="en-US"/>
        </w:rPr>
        <w:t>nstitutions, civil society organizations and academia</w:t>
      </w:r>
      <w:r w:rsidR="002515D3">
        <w:rPr>
          <w:rFonts w:ascii="Helvetica" w:eastAsia="Calibri" w:hAnsi="Helvetica" w:cs="Times New Roman"/>
          <w:iCs/>
          <w:sz w:val="23"/>
          <w:szCs w:val="23"/>
          <w:lang w:val="en-US"/>
        </w:rPr>
        <w:t>, including t</w:t>
      </w:r>
      <w:r w:rsidR="002515D3" w:rsidRPr="002515D3">
        <w:rPr>
          <w:rFonts w:ascii="Helvetica" w:eastAsia="Calibri" w:hAnsi="Helvetica" w:cs="Times New Roman"/>
          <w:iCs/>
          <w:sz w:val="23"/>
          <w:szCs w:val="23"/>
          <w:lang w:val="en-US"/>
        </w:rPr>
        <w:t xml:space="preserve">he International Conference </w:t>
      </w:r>
      <w:r w:rsidR="002515D3">
        <w:rPr>
          <w:rFonts w:ascii="Helvetica" w:eastAsia="Calibri" w:hAnsi="Helvetica" w:cs="Times New Roman"/>
          <w:iCs/>
          <w:sz w:val="23"/>
          <w:szCs w:val="23"/>
          <w:lang w:val="en-US"/>
        </w:rPr>
        <w:t xml:space="preserve">of </w:t>
      </w:r>
      <w:r w:rsidR="002515D3" w:rsidRPr="002515D3">
        <w:rPr>
          <w:rFonts w:ascii="Helvetica" w:eastAsia="Calibri" w:hAnsi="Helvetica" w:cs="Times New Roman"/>
          <w:iCs/>
          <w:sz w:val="23"/>
          <w:szCs w:val="23"/>
          <w:lang w:val="en-US"/>
        </w:rPr>
        <w:t>Information Commissioners,</w:t>
      </w:r>
      <w:r w:rsidR="002515D3">
        <w:rPr>
          <w:rFonts w:ascii="Helvetica" w:eastAsia="Calibri" w:hAnsi="Helvetica" w:cs="Times New Roman"/>
          <w:iCs/>
          <w:sz w:val="23"/>
          <w:szCs w:val="23"/>
          <w:lang w:val="en-US"/>
        </w:rPr>
        <w:t xml:space="preserve"> which </w:t>
      </w:r>
      <w:r w:rsidR="00AD4DA9">
        <w:rPr>
          <w:rFonts w:ascii="Helvetica" w:eastAsia="Calibri" w:hAnsi="Helvetica" w:cs="Times New Roman"/>
          <w:iCs/>
          <w:sz w:val="23"/>
          <w:szCs w:val="23"/>
          <w:lang w:val="en-US"/>
        </w:rPr>
        <w:t>comprises</w:t>
      </w:r>
      <w:r w:rsidR="002515D3">
        <w:rPr>
          <w:rFonts w:ascii="Helvetica" w:eastAsia="Calibri" w:hAnsi="Helvetica" w:cs="Times New Roman"/>
          <w:iCs/>
          <w:sz w:val="23"/>
          <w:szCs w:val="23"/>
          <w:lang w:val="en-US"/>
        </w:rPr>
        <w:t xml:space="preserve"> IC’s, </w:t>
      </w:r>
      <w:r w:rsidR="002515D3" w:rsidRPr="002515D3">
        <w:rPr>
          <w:rFonts w:ascii="Helvetica" w:eastAsia="Calibri" w:hAnsi="Helvetica" w:cs="Times New Roman"/>
          <w:iCs/>
          <w:sz w:val="23"/>
          <w:szCs w:val="23"/>
          <w:lang w:val="en-US"/>
        </w:rPr>
        <w:t>Ombudspersons and other bodies charged with overseeing the implementation of A</w:t>
      </w:r>
      <w:r w:rsidR="002515D3">
        <w:rPr>
          <w:rFonts w:ascii="Helvetica" w:eastAsia="Calibri" w:hAnsi="Helvetica" w:cs="Times New Roman"/>
          <w:iCs/>
          <w:sz w:val="23"/>
          <w:szCs w:val="23"/>
          <w:lang w:val="en-US"/>
        </w:rPr>
        <w:t xml:space="preserve">TI laws, </w:t>
      </w:r>
      <w:r>
        <w:rPr>
          <w:rFonts w:ascii="Helvetica" w:eastAsia="Calibri" w:hAnsi="Helvetica" w:cs="Times New Roman"/>
          <w:iCs/>
          <w:sz w:val="23"/>
          <w:szCs w:val="23"/>
          <w:lang w:val="en-US"/>
        </w:rPr>
        <w:t>are supporting UNESCO effort</w:t>
      </w:r>
      <w:r w:rsidR="00AD4DA9">
        <w:rPr>
          <w:rFonts w:ascii="Helvetica" w:eastAsia="Calibri" w:hAnsi="Helvetica" w:cs="Times New Roman"/>
          <w:iCs/>
          <w:sz w:val="23"/>
          <w:szCs w:val="23"/>
          <w:lang w:val="en-US"/>
        </w:rPr>
        <w:t>s</w:t>
      </w:r>
      <w:r>
        <w:rPr>
          <w:rFonts w:ascii="Helvetica" w:eastAsia="Calibri" w:hAnsi="Helvetica" w:cs="Times New Roman"/>
          <w:iCs/>
          <w:sz w:val="23"/>
          <w:szCs w:val="23"/>
          <w:lang w:val="en-US"/>
        </w:rPr>
        <w:t xml:space="preserve"> to </w:t>
      </w:r>
      <w:r w:rsidR="00AD4DA9">
        <w:rPr>
          <w:rFonts w:ascii="Helvetica" w:eastAsia="Calibri" w:hAnsi="Helvetica" w:cs="Times New Roman"/>
          <w:iCs/>
          <w:sz w:val="23"/>
          <w:szCs w:val="23"/>
          <w:lang w:val="en-US"/>
        </w:rPr>
        <w:t xml:space="preserve">advocate for the </w:t>
      </w:r>
      <w:r>
        <w:rPr>
          <w:rFonts w:ascii="Helvetica" w:eastAsia="Calibri" w:hAnsi="Helvetica" w:cs="Times New Roman"/>
          <w:iCs/>
          <w:sz w:val="23"/>
          <w:szCs w:val="23"/>
          <w:lang w:val="en-US"/>
        </w:rPr>
        <w:t>implement</w:t>
      </w:r>
      <w:r w:rsidR="00AD4DA9">
        <w:rPr>
          <w:rFonts w:ascii="Helvetica" w:eastAsia="Calibri" w:hAnsi="Helvetica" w:cs="Times New Roman"/>
          <w:iCs/>
          <w:sz w:val="23"/>
          <w:szCs w:val="23"/>
          <w:lang w:val="en-US"/>
        </w:rPr>
        <w:t xml:space="preserve">ation of </w:t>
      </w:r>
      <w:proofErr w:type="spellStart"/>
      <w:r w:rsidR="00AD4DA9">
        <w:rPr>
          <w:rFonts w:ascii="Helvetica" w:eastAsia="Calibri" w:hAnsi="Helvetica" w:cs="Times New Roman"/>
          <w:iCs/>
          <w:sz w:val="23"/>
          <w:szCs w:val="23"/>
          <w:lang w:val="en-US"/>
        </w:rPr>
        <w:t>ther</w:t>
      </w:r>
      <w:proofErr w:type="spellEnd"/>
      <w:r>
        <w:rPr>
          <w:rFonts w:ascii="Helvetica" w:eastAsia="Calibri" w:hAnsi="Helvetica" w:cs="Times New Roman"/>
          <w:iCs/>
          <w:sz w:val="23"/>
          <w:szCs w:val="23"/>
          <w:lang w:val="en-US"/>
        </w:rPr>
        <w:t xml:space="preserve"> </w:t>
      </w:r>
      <w:r w:rsidRPr="002E3BD2">
        <w:rPr>
          <w:rFonts w:ascii="Helvetica" w:eastAsia="Calibri" w:hAnsi="Helvetica" w:cs="Times New Roman"/>
          <w:iCs/>
          <w:sz w:val="23"/>
          <w:szCs w:val="23"/>
          <w:lang w:val="en-US"/>
        </w:rPr>
        <w:t>Sustainable Development Goal</w:t>
      </w:r>
      <w:r w:rsidR="00AD4DA9">
        <w:rPr>
          <w:rFonts w:ascii="Helvetica" w:eastAsia="Calibri" w:hAnsi="Helvetica" w:cs="Times New Roman"/>
          <w:iCs/>
          <w:sz w:val="23"/>
          <w:szCs w:val="23"/>
          <w:lang w:val="en-US"/>
        </w:rPr>
        <w:t>,</w:t>
      </w:r>
      <w:r w:rsidRPr="002E3BD2">
        <w:rPr>
          <w:rFonts w:ascii="Helvetica" w:eastAsia="Calibri" w:hAnsi="Helvetica" w:cs="Times New Roman"/>
          <w:iCs/>
          <w:sz w:val="23"/>
          <w:szCs w:val="23"/>
          <w:lang w:val="en-US"/>
        </w:rPr>
        <w:t xml:space="preserve"> Indicator 16.10.2 which looks at “the number of countries that have adopted and implemented constitutional, statutory and/or policy guarantees for public access to Information</w:t>
      </w:r>
      <w:r w:rsidR="00B33D56">
        <w:rPr>
          <w:rFonts w:ascii="Helvetica" w:eastAsia="Calibri" w:hAnsi="Helvetica" w:cs="Times New Roman"/>
          <w:iCs/>
          <w:sz w:val="23"/>
          <w:szCs w:val="23"/>
          <w:lang w:val="en-US"/>
        </w:rPr>
        <w:t>”</w:t>
      </w:r>
      <w:r>
        <w:rPr>
          <w:rFonts w:ascii="Helvetica" w:eastAsia="Calibri" w:hAnsi="Helvetica" w:cs="Times New Roman"/>
          <w:iCs/>
          <w:sz w:val="23"/>
          <w:szCs w:val="23"/>
          <w:lang w:val="en-US"/>
        </w:rPr>
        <w:t xml:space="preserve">. </w:t>
      </w:r>
      <w:r w:rsidR="00B33D56">
        <w:rPr>
          <w:rFonts w:ascii="Helvetica" w:eastAsia="Calibri" w:hAnsi="Helvetica" w:cs="Times New Roman"/>
          <w:iCs/>
          <w:sz w:val="23"/>
          <w:szCs w:val="23"/>
          <w:lang w:val="en-US"/>
        </w:rPr>
        <w:t xml:space="preserve">UNESCO </w:t>
      </w:r>
      <w:r w:rsidR="00AD4DA9">
        <w:rPr>
          <w:rFonts w:ascii="Helvetica" w:eastAsia="Calibri" w:hAnsi="Helvetica" w:cs="Times New Roman"/>
          <w:iCs/>
          <w:sz w:val="23"/>
          <w:szCs w:val="23"/>
          <w:lang w:val="en-US"/>
        </w:rPr>
        <w:t xml:space="preserve">is </w:t>
      </w:r>
      <w:r w:rsidR="00B33D56" w:rsidRPr="00B33D56">
        <w:rPr>
          <w:rFonts w:ascii="Helvetica" w:eastAsia="Calibri" w:hAnsi="Helvetica" w:cs="Times New Roman"/>
          <w:iCs/>
          <w:sz w:val="23"/>
          <w:szCs w:val="23"/>
          <w:lang w:val="en-US"/>
        </w:rPr>
        <w:t>the UN custodian agency for S</w:t>
      </w:r>
      <w:r w:rsidR="00AD4DA9">
        <w:rPr>
          <w:rFonts w:ascii="Helvetica" w:eastAsia="Calibri" w:hAnsi="Helvetica" w:cs="Times New Roman"/>
          <w:iCs/>
          <w:sz w:val="23"/>
          <w:szCs w:val="23"/>
          <w:lang w:val="en-US"/>
        </w:rPr>
        <w:t xml:space="preserve">DG </w:t>
      </w:r>
      <w:r w:rsidR="00B33D56" w:rsidRPr="00B33D56">
        <w:rPr>
          <w:rFonts w:ascii="Helvetica" w:eastAsia="Calibri" w:hAnsi="Helvetica" w:cs="Times New Roman"/>
          <w:iCs/>
          <w:sz w:val="23"/>
          <w:szCs w:val="23"/>
          <w:lang w:val="en-US"/>
        </w:rPr>
        <w:t>16</w:t>
      </w:r>
      <w:r w:rsidR="00AD4DA9">
        <w:rPr>
          <w:rFonts w:ascii="Helvetica" w:eastAsia="Calibri" w:hAnsi="Helvetica" w:cs="Times New Roman"/>
          <w:iCs/>
          <w:sz w:val="23"/>
          <w:szCs w:val="23"/>
          <w:lang w:val="en-US"/>
        </w:rPr>
        <w:t>,</w:t>
      </w:r>
      <w:r w:rsidR="00AD4DA9" w:rsidRPr="00AD4DA9">
        <w:rPr>
          <w:rFonts w:ascii="Helvetica" w:eastAsia="Calibri" w:hAnsi="Helvetica" w:cs="Times New Roman"/>
          <w:iCs/>
          <w:sz w:val="23"/>
          <w:szCs w:val="23"/>
          <w:lang w:val="en-US"/>
        </w:rPr>
        <w:t xml:space="preserve"> </w:t>
      </w:r>
      <w:r w:rsidR="00AD4DA9">
        <w:rPr>
          <w:rFonts w:ascii="Helvetica" w:eastAsia="Calibri" w:hAnsi="Helvetica" w:cs="Times New Roman"/>
          <w:iCs/>
          <w:sz w:val="23"/>
          <w:szCs w:val="23"/>
          <w:lang w:val="en-US"/>
        </w:rPr>
        <w:t>i</w:t>
      </w:r>
      <w:r w:rsidR="00AD4DA9" w:rsidRPr="00B33D56">
        <w:rPr>
          <w:rFonts w:ascii="Helvetica" w:eastAsia="Calibri" w:hAnsi="Helvetica" w:cs="Times New Roman"/>
          <w:iCs/>
          <w:sz w:val="23"/>
          <w:szCs w:val="23"/>
          <w:lang w:val="en-US"/>
        </w:rPr>
        <w:t xml:space="preserve">ndicator </w:t>
      </w:r>
      <w:r w:rsidR="00B33D56" w:rsidRPr="00B33D56">
        <w:rPr>
          <w:rFonts w:ascii="Helvetica" w:eastAsia="Calibri" w:hAnsi="Helvetica" w:cs="Times New Roman"/>
          <w:iCs/>
          <w:sz w:val="23"/>
          <w:szCs w:val="23"/>
          <w:lang w:val="en-US"/>
        </w:rPr>
        <w:t>10.2</w:t>
      </w:r>
      <w:r w:rsidR="00B33D56">
        <w:rPr>
          <w:rFonts w:ascii="Helvetica" w:eastAsia="Calibri" w:hAnsi="Helvetica" w:cs="Times New Roman"/>
          <w:iCs/>
          <w:sz w:val="23"/>
          <w:szCs w:val="23"/>
          <w:lang w:val="en-US"/>
        </w:rPr>
        <w:t xml:space="preserve">. </w:t>
      </w:r>
    </w:p>
    <w:p w14:paraId="25F13642" w14:textId="77777777" w:rsidR="002E3BD2" w:rsidRDefault="002E3BD2" w:rsidP="00444C60">
      <w:pPr>
        <w:spacing w:after="0" w:line="240" w:lineRule="auto"/>
        <w:contextualSpacing/>
        <w:jc w:val="both"/>
        <w:rPr>
          <w:rFonts w:ascii="Helvetica" w:eastAsia="Calibri" w:hAnsi="Helvetica" w:cs="Times New Roman"/>
          <w:i/>
          <w:sz w:val="23"/>
          <w:szCs w:val="23"/>
          <w:lang w:val="en-US"/>
        </w:rPr>
      </w:pPr>
    </w:p>
    <w:p w14:paraId="7169FFAC" w14:textId="366766EE" w:rsidR="00E32B8E" w:rsidRPr="00B33D56" w:rsidRDefault="00E32B8E" w:rsidP="00444C60">
      <w:pPr>
        <w:spacing w:after="0" w:line="240" w:lineRule="auto"/>
        <w:contextualSpacing/>
        <w:jc w:val="both"/>
        <w:rPr>
          <w:rFonts w:ascii="Helvetica" w:eastAsia="Calibri" w:hAnsi="Helvetica" w:cs="Times New Roman"/>
          <w:iCs/>
          <w:sz w:val="23"/>
          <w:szCs w:val="23"/>
          <w:lang w:val="en-US"/>
        </w:rPr>
      </w:pPr>
      <w:r w:rsidRPr="00B33D56">
        <w:rPr>
          <w:rFonts w:ascii="Helvetica" w:eastAsia="Calibri" w:hAnsi="Helvetica" w:cs="Times New Roman"/>
          <w:iCs/>
          <w:sz w:val="23"/>
          <w:szCs w:val="23"/>
          <w:lang w:val="en-US"/>
        </w:rPr>
        <w:t xml:space="preserve">UNESCO has </w:t>
      </w:r>
      <w:r w:rsidR="002E3BD2" w:rsidRPr="00B33D56">
        <w:rPr>
          <w:rFonts w:ascii="Helvetica" w:eastAsia="Calibri" w:hAnsi="Helvetica" w:cs="Times New Roman"/>
          <w:iCs/>
          <w:sz w:val="23"/>
          <w:szCs w:val="23"/>
          <w:lang w:val="en-US"/>
        </w:rPr>
        <w:t xml:space="preserve">developed a report </w:t>
      </w:r>
      <w:r w:rsidR="00AD4DA9">
        <w:rPr>
          <w:rFonts w:ascii="Helvetica" w:eastAsia="Calibri" w:hAnsi="Helvetica" w:cs="Times New Roman"/>
          <w:iCs/>
          <w:sz w:val="23"/>
          <w:szCs w:val="23"/>
          <w:lang w:val="en-US"/>
        </w:rPr>
        <w:t>titled “</w:t>
      </w:r>
      <w:hyperlink r:id="rId9" w:history="1">
        <w:r w:rsidR="002E3BD2" w:rsidRPr="00E14F66">
          <w:rPr>
            <w:rStyle w:val="Hyperlink"/>
            <w:rFonts w:ascii="Helvetica" w:eastAsia="Calibri" w:hAnsi="Helvetica" w:cs="Times New Roman"/>
            <w:iCs/>
            <w:sz w:val="23"/>
            <w:szCs w:val="23"/>
            <w:lang w:val="en-US"/>
          </w:rPr>
          <w:t>Promoting Gender Equity in the Right of Access to Information</w:t>
        </w:r>
      </w:hyperlink>
      <w:r w:rsidR="00AD4DA9">
        <w:rPr>
          <w:rFonts w:ascii="Helvetica" w:eastAsia="Calibri" w:hAnsi="Helvetica" w:cs="Times New Roman"/>
          <w:iCs/>
          <w:sz w:val="23"/>
          <w:szCs w:val="23"/>
          <w:lang w:val="en-US"/>
        </w:rPr>
        <w:t>”</w:t>
      </w:r>
      <w:r w:rsidR="00B33D56" w:rsidRPr="00B33D56">
        <w:rPr>
          <w:rFonts w:ascii="Helvetica" w:eastAsia="Calibri" w:hAnsi="Helvetica" w:cs="Times New Roman"/>
          <w:iCs/>
          <w:sz w:val="23"/>
          <w:szCs w:val="23"/>
          <w:lang w:val="en-US"/>
        </w:rPr>
        <w:t>. The report outlines a number of recommendations on national and international level</w:t>
      </w:r>
      <w:r w:rsidR="00AD4DA9">
        <w:rPr>
          <w:rFonts w:ascii="Helvetica" w:eastAsia="Calibri" w:hAnsi="Helvetica" w:cs="Times New Roman"/>
          <w:iCs/>
          <w:sz w:val="23"/>
          <w:szCs w:val="23"/>
          <w:lang w:val="en-US"/>
        </w:rPr>
        <w:t>,</w:t>
      </w:r>
      <w:r w:rsidR="00B33D56" w:rsidRPr="00B33D56">
        <w:rPr>
          <w:rFonts w:ascii="Helvetica" w:eastAsia="Calibri" w:hAnsi="Helvetica" w:cs="Times New Roman"/>
          <w:iCs/>
          <w:sz w:val="23"/>
          <w:szCs w:val="23"/>
          <w:lang w:val="en-US"/>
        </w:rPr>
        <w:t xml:space="preserve"> aimed to support the right of information for women. </w:t>
      </w:r>
    </w:p>
    <w:p w14:paraId="764EE6AC" w14:textId="77777777" w:rsidR="002E3BD2" w:rsidRDefault="002E3BD2" w:rsidP="00444C60">
      <w:pPr>
        <w:spacing w:after="0" w:line="240" w:lineRule="auto"/>
        <w:contextualSpacing/>
        <w:jc w:val="both"/>
        <w:rPr>
          <w:rFonts w:ascii="Helvetica" w:eastAsia="Calibri" w:hAnsi="Helvetica" w:cs="Times New Roman"/>
          <w:i/>
          <w:sz w:val="23"/>
          <w:szCs w:val="23"/>
          <w:lang w:val="en-US"/>
        </w:rPr>
      </w:pPr>
    </w:p>
    <w:p w14:paraId="6E2280BA" w14:textId="71D903FE" w:rsidR="00E32B8E" w:rsidRDefault="00AD4DA9" w:rsidP="00444C60">
      <w:pPr>
        <w:spacing w:after="0" w:line="240" w:lineRule="auto"/>
        <w:contextualSpacing/>
        <w:jc w:val="both"/>
        <w:rPr>
          <w:rFonts w:ascii="Helvetica" w:eastAsia="Calibri" w:hAnsi="Helvetica" w:cs="Times New Roman"/>
          <w:iCs/>
          <w:sz w:val="23"/>
          <w:szCs w:val="23"/>
          <w:lang w:val="en-US"/>
        </w:rPr>
      </w:pPr>
      <w:r>
        <w:rPr>
          <w:rFonts w:ascii="Helvetica" w:eastAsia="Calibri" w:hAnsi="Helvetica" w:cs="Times New Roman"/>
          <w:iCs/>
          <w:sz w:val="23"/>
          <w:szCs w:val="23"/>
          <w:lang w:val="en-US"/>
        </w:rPr>
        <w:t xml:space="preserve">Report notes that at the </w:t>
      </w:r>
      <w:proofErr w:type="gramStart"/>
      <w:r>
        <w:rPr>
          <w:rFonts w:ascii="Helvetica" w:eastAsia="Calibri" w:hAnsi="Helvetica" w:cs="Times New Roman"/>
          <w:iCs/>
          <w:sz w:val="23"/>
          <w:szCs w:val="23"/>
          <w:lang w:val="en-US"/>
        </w:rPr>
        <w:t>i</w:t>
      </w:r>
      <w:r w:rsidR="00B33D56" w:rsidRPr="00B33D56">
        <w:rPr>
          <w:rFonts w:ascii="Helvetica" w:eastAsia="Calibri" w:hAnsi="Helvetica" w:cs="Times New Roman"/>
          <w:iCs/>
          <w:sz w:val="23"/>
          <w:szCs w:val="23"/>
          <w:lang w:val="en-US"/>
        </w:rPr>
        <w:t xml:space="preserve">nternational  </w:t>
      </w:r>
      <w:r>
        <w:rPr>
          <w:rFonts w:ascii="Helvetica" w:eastAsia="Calibri" w:hAnsi="Helvetica" w:cs="Times New Roman"/>
          <w:iCs/>
          <w:sz w:val="23"/>
          <w:szCs w:val="23"/>
          <w:lang w:val="en-US"/>
        </w:rPr>
        <w:t>level</w:t>
      </w:r>
      <w:proofErr w:type="gramEnd"/>
      <w:r>
        <w:rPr>
          <w:rFonts w:ascii="Helvetica" w:eastAsia="Calibri" w:hAnsi="Helvetica" w:cs="Times New Roman"/>
          <w:iCs/>
          <w:sz w:val="23"/>
          <w:szCs w:val="23"/>
          <w:lang w:val="en-US"/>
        </w:rPr>
        <w:t xml:space="preserve"> existing </w:t>
      </w:r>
      <w:r w:rsidR="00B33D56" w:rsidRPr="00B33D56">
        <w:rPr>
          <w:rFonts w:ascii="Helvetica" w:eastAsia="Calibri" w:hAnsi="Helvetica" w:cs="Times New Roman"/>
          <w:iCs/>
          <w:sz w:val="23"/>
          <w:szCs w:val="23"/>
          <w:lang w:val="en-US"/>
        </w:rPr>
        <w:t>instruments</w:t>
      </w:r>
      <w:r>
        <w:rPr>
          <w:rFonts w:ascii="Helvetica" w:eastAsia="Calibri" w:hAnsi="Helvetica" w:cs="Times New Roman"/>
          <w:iCs/>
          <w:sz w:val="23"/>
          <w:szCs w:val="23"/>
          <w:lang w:val="en-US"/>
        </w:rPr>
        <w:t xml:space="preserve"> and </w:t>
      </w:r>
      <w:r w:rsidR="00B33D56" w:rsidRPr="00B33D56">
        <w:rPr>
          <w:rFonts w:ascii="Helvetica" w:eastAsia="Calibri" w:hAnsi="Helvetica" w:cs="Times New Roman"/>
          <w:iCs/>
          <w:sz w:val="23"/>
          <w:szCs w:val="23"/>
          <w:lang w:val="en-US"/>
        </w:rPr>
        <w:t xml:space="preserve">mechanisms   have   been   relatively   silent   regarding  the  explicit  inclusion  of  women’s  fundamental  right  of  access  to  information.  </w:t>
      </w:r>
      <w:proofErr w:type="gramStart"/>
      <w:r w:rsidR="00B33D56" w:rsidRPr="00B33D56">
        <w:rPr>
          <w:rFonts w:ascii="Helvetica" w:eastAsia="Calibri" w:hAnsi="Helvetica" w:cs="Times New Roman"/>
          <w:iCs/>
          <w:sz w:val="23"/>
          <w:szCs w:val="23"/>
          <w:lang w:val="en-US"/>
        </w:rPr>
        <w:t>In  general</w:t>
      </w:r>
      <w:proofErr w:type="gramEnd"/>
      <w:r w:rsidR="00B33D56" w:rsidRPr="00B33D56">
        <w:rPr>
          <w:rFonts w:ascii="Helvetica" w:eastAsia="Calibri" w:hAnsi="Helvetica" w:cs="Times New Roman"/>
          <w:iCs/>
          <w:sz w:val="23"/>
          <w:szCs w:val="23"/>
          <w:lang w:val="en-US"/>
        </w:rPr>
        <w:t xml:space="preserve">,  where  these  instruments  have  included    access    to    information,    it    has    been  limited  to  the  issues  of  reproductive  rights  or  information  and  communication  technology. For women to benefit more fully from their right of access to information, the international   mechanisms   must   recognize   the gender aspect of the human right and as a foundation for the exercise of other rights, </w:t>
      </w:r>
      <w:proofErr w:type="gramStart"/>
      <w:r w:rsidR="00B33D56" w:rsidRPr="00B33D56">
        <w:rPr>
          <w:rFonts w:ascii="Helvetica" w:eastAsia="Calibri" w:hAnsi="Helvetica" w:cs="Times New Roman"/>
          <w:iCs/>
          <w:sz w:val="23"/>
          <w:szCs w:val="23"/>
          <w:lang w:val="en-US"/>
        </w:rPr>
        <w:t>participation,  and</w:t>
      </w:r>
      <w:proofErr w:type="gramEnd"/>
      <w:r w:rsidR="00B33D56" w:rsidRPr="00B33D56">
        <w:rPr>
          <w:rFonts w:ascii="Helvetica" w:eastAsia="Calibri" w:hAnsi="Helvetica" w:cs="Times New Roman"/>
          <w:iCs/>
          <w:sz w:val="23"/>
          <w:szCs w:val="23"/>
          <w:lang w:val="en-US"/>
        </w:rPr>
        <w:t xml:space="preserve">  economic  empowerment.    This   means   explicitly   including   it   in   the   discourse    and    instruments    as    well    as    promoting better oversight and reporting.</w:t>
      </w:r>
    </w:p>
    <w:p w14:paraId="03678950" w14:textId="360B75FD" w:rsidR="00B33D56" w:rsidRDefault="00B33D56" w:rsidP="00444C60">
      <w:pPr>
        <w:spacing w:after="0" w:line="240" w:lineRule="auto"/>
        <w:contextualSpacing/>
        <w:jc w:val="both"/>
        <w:rPr>
          <w:rFonts w:ascii="Helvetica" w:eastAsia="Calibri" w:hAnsi="Helvetica" w:cs="Times New Roman"/>
          <w:iCs/>
          <w:sz w:val="23"/>
          <w:szCs w:val="23"/>
          <w:lang w:val="en-US"/>
        </w:rPr>
      </w:pPr>
    </w:p>
    <w:p w14:paraId="7EC23C0A" w14:textId="77777777" w:rsidR="00AD4DA9" w:rsidRDefault="00AD4DA9" w:rsidP="00444C60">
      <w:pPr>
        <w:spacing w:after="0" w:line="240" w:lineRule="auto"/>
        <w:contextualSpacing/>
        <w:jc w:val="both"/>
        <w:rPr>
          <w:rFonts w:ascii="Helvetica" w:eastAsia="Calibri" w:hAnsi="Helvetica" w:cs="Times New Roman"/>
          <w:iCs/>
          <w:sz w:val="23"/>
          <w:szCs w:val="23"/>
          <w:lang w:val="en-US"/>
        </w:rPr>
      </w:pPr>
      <w:r>
        <w:rPr>
          <w:rFonts w:ascii="Helvetica" w:eastAsia="Calibri" w:hAnsi="Helvetica" w:cs="Times New Roman"/>
          <w:iCs/>
          <w:sz w:val="23"/>
          <w:szCs w:val="23"/>
          <w:lang w:val="en-US"/>
        </w:rPr>
        <w:t xml:space="preserve">According to the report </w:t>
      </w:r>
      <w:proofErr w:type="gramStart"/>
      <w:r>
        <w:rPr>
          <w:rFonts w:ascii="Helvetica" w:eastAsia="Calibri" w:hAnsi="Helvetica" w:cs="Times New Roman"/>
          <w:iCs/>
          <w:sz w:val="23"/>
          <w:szCs w:val="23"/>
          <w:lang w:val="en-US"/>
        </w:rPr>
        <w:t>a</w:t>
      </w:r>
      <w:r w:rsidR="00B33D56" w:rsidRPr="00B33D56">
        <w:rPr>
          <w:rFonts w:ascii="Helvetica" w:eastAsia="Calibri" w:hAnsi="Helvetica" w:cs="Times New Roman"/>
          <w:iCs/>
          <w:sz w:val="23"/>
          <w:szCs w:val="23"/>
          <w:lang w:val="en-US"/>
        </w:rPr>
        <w:t xml:space="preserve">  gender</w:t>
      </w:r>
      <w:proofErr w:type="gramEnd"/>
      <w:r w:rsidR="00B33D56" w:rsidRPr="00B33D56">
        <w:rPr>
          <w:rFonts w:ascii="Helvetica" w:eastAsia="Calibri" w:hAnsi="Helvetica" w:cs="Times New Roman"/>
          <w:iCs/>
          <w:sz w:val="23"/>
          <w:szCs w:val="23"/>
          <w:lang w:val="en-US"/>
        </w:rPr>
        <w:t xml:space="preserve">  review  of  a  right  to  information  law</w:t>
      </w:r>
      <w:r w:rsidR="00B33D56">
        <w:rPr>
          <w:rFonts w:ascii="Helvetica" w:eastAsia="Calibri" w:hAnsi="Helvetica" w:cs="Times New Roman"/>
          <w:iCs/>
          <w:sz w:val="23"/>
          <w:szCs w:val="23"/>
          <w:lang w:val="en-US"/>
        </w:rPr>
        <w:t>s on the national level</w:t>
      </w:r>
      <w:r w:rsidR="00B33D56" w:rsidRPr="00B33D56">
        <w:rPr>
          <w:rFonts w:ascii="Helvetica" w:eastAsia="Calibri" w:hAnsi="Helvetica" w:cs="Times New Roman"/>
          <w:iCs/>
          <w:sz w:val="23"/>
          <w:szCs w:val="23"/>
          <w:lang w:val="en-US"/>
        </w:rPr>
        <w:t xml:space="preserve">  should   engage   various   stakeholders,   including  government  officials,  civil  society  leaders, and gender experts, to consider each of  the  provisions  through  a  gender  lens  and  whether in practice the current formulation of the legislation may have a negative or chilling effect  on  women’s  exercise  of  the  right  to  information. </w:t>
      </w:r>
    </w:p>
    <w:p w14:paraId="495148E2" w14:textId="77777777" w:rsidR="00AD4DA9" w:rsidRDefault="00AD4DA9" w:rsidP="00444C60">
      <w:pPr>
        <w:spacing w:after="0" w:line="240" w:lineRule="auto"/>
        <w:contextualSpacing/>
        <w:jc w:val="both"/>
        <w:rPr>
          <w:rFonts w:ascii="Helvetica" w:eastAsia="Calibri" w:hAnsi="Helvetica" w:cs="Times New Roman"/>
          <w:iCs/>
          <w:sz w:val="23"/>
          <w:szCs w:val="23"/>
          <w:lang w:val="en-US"/>
        </w:rPr>
      </w:pPr>
    </w:p>
    <w:p w14:paraId="70BA4007" w14:textId="7C865AAB" w:rsidR="00B33D56" w:rsidRDefault="00B33D56" w:rsidP="00444C60">
      <w:pPr>
        <w:spacing w:after="0" w:line="240" w:lineRule="auto"/>
        <w:contextualSpacing/>
        <w:jc w:val="both"/>
        <w:rPr>
          <w:rFonts w:ascii="Helvetica" w:eastAsia="Calibri" w:hAnsi="Helvetica" w:cs="Times New Roman"/>
          <w:iCs/>
          <w:sz w:val="23"/>
          <w:szCs w:val="23"/>
          <w:lang w:val="en-US"/>
        </w:rPr>
      </w:pPr>
      <w:r w:rsidRPr="00B33D56">
        <w:rPr>
          <w:rFonts w:ascii="Helvetica" w:eastAsia="Calibri" w:hAnsi="Helvetica" w:cs="Times New Roman"/>
          <w:iCs/>
          <w:sz w:val="23"/>
          <w:szCs w:val="23"/>
          <w:lang w:val="en-US"/>
        </w:rPr>
        <w:lastRenderedPageBreak/>
        <w:t xml:space="preserve">This could include provisions such </w:t>
      </w:r>
      <w:proofErr w:type="gramStart"/>
      <w:r w:rsidRPr="00B33D56">
        <w:rPr>
          <w:rFonts w:ascii="Helvetica" w:eastAsia="Calibri" w:hAnsi="Helvetica" w:cs="Times New Roman"/>
          <w:iCs/>
          <w:sz w:val="23"/>
          <w:szCs w:val="23"/>
          <w:lang w:val="en-US"/>
        </w:rPr>
        <w:t>as  the</w:t>
      </w:r>
      <w:proofErr w:type="gramEnd"/>
      <w:r w:rsidRPr="00B33D56">
        <w:rPr>
          <w:rFonts w:ascii="Helvetica" w:eastAsia="Calibri" w:hAnsi="Helvetica" w:cs="Times New Roman"/>
          <w:iCs/>
          <w:sz w:val="23"/>
          <w:szCs w:val="23"/>
          <w:lang w:val="en-US"/>
        </w:rPr>
        <w:t xml:space="preserve">  necessity  to  make  requests  in  writing  and/or  in  person,  fees  that  would  preclude  persons without the necessary means, or the need  to  show  an  identification  card,  which  some women may not have. In reviewing the </w:t>
      </w:r>
      <w:proofErr w:type="gramStart"/>
      <w:r w:rsidRPr="00B33D56">
        <w:rPr>
          <w:rFonts w:ascii="Helvetica" w:eastAsia="Calibri" w:hAnsi="Helvetica" w:cs="Times New Roman"/>
          <w:iCs/>
          <w:sz w:val="23"/>
          <w:szCs w:val="23"/>
          <w:lang w:val="en-US"/>
        </w:rPr>
        <w:t>law,  the</w:t>
      </w:r>
      <w:proofErr w:type="gramEnd"/>
      <w:r w:rsidRPr="00B33D56">
        <w:rPr>
          <w:rFonts w:ascii="Helvetica" w:eastAsia="Calibri" w:hAnsi="Helvetica" w:cs="Times New Roman"/>
          <w:iCs/>
          <w:sz w:val="23"/>
          <w:szCs w:val="23"/>
          <w:lang w:val="en-US"/>
        </w:rPr>
        <w:t xml:space="preserve">  stakeholders  should  consider  which  sections/areas  would  benefit  from  greater  gender-sensitization, reflecting on issues such as:  gendered  language,  request  procedures,  access, literacy, ability to pay, priorities within proactive disclosure, etc.</w:t>
      </w:r>
    </w:p>
    <w:p w14:paraId="3A71892C" w14:textId="5AD2B058" w:rsidR="00B33D56" w:rsidRDefault="00B33D56" w:rsidP="00444C60">
      <w:pPr>
        <w:spacing w:after="0" w:line="240" w:lineRule="auto"/>
        <w:contextualSpacing/>
        <w:jc w:val="both"/>
        <w:rPr>
          <w:rFonts w:ascii="Helvetica" w:eastAsia="Calibri" w:hAnsi="Helvetica" w:cs="Times New Roman"/>
          <w:iCs/>
          <w:sz w:val="23"/>
          <w:szCs w:val="23"/>
          <w:lang w:val="en-US"/>
        </w:rPr>
      </w:pPr>
    </w:p>
    <w:p w14:paraId="3CF094FE" w14:textId="79EC6FE0" w:rsidR="00B33D56" w:rsidRPr="00B33D56" w:rsidRDefault="00B33D56" w:rsidP="00444C60">
      <w:pPr>
        <w:spacing w:after="0" w:line="240" w:lineRule="auto"/>
        <w:contextualSpacing/>
        <w:jc w:val="both"/>
        <w:rPr>
          <w:rFonts w:ascii="Helvetica" w:eastAsia="Calibri" w:hAnsi="Helvetica" w:cs="Times New Roman"/>
          <w:iCs/>
          <w:sz w:val="23"/>
          <w:szCs w:val="23"/>
          <w:lang w:val="en-US"/>
        </w:rPr>
      </w:pPr>
      <w:r>
        <w:rPr>
          <w:rFonts w:ascii="Helvetica" w:eastAsia="Calibri" w:hAnsi="Helvetica" w:cs="Times New Roman"/>
          <w:iCs/>
          <w:sz w:val="23"/>
          <w:szCs w:val="23"/>
          <w:lang w:val="en-US"/>
        </w:rPr>
        <w:t xml:space="preserve">UNESCO has also developed a set of recommendations, which encourage the </w:t>
      </w:r>
      <w:proofErr w:type="spellStart"/>
      <w:r w:rsidR="00AD4DA9">
        <w:rPr>
          <w:rFonts w:ascii="Helvetica" w:eastAsia="Calibri" w:hAnsi="Helvetica" w:cs="Times New Roman"/>
          <w:iCs/>
          <w:sz w:val="23"/>
          <w:szCs w:val="23"/>
          <w:lang w:val="en-US"/>
        </w:rPr>
        <w:t>the</w:t>
      </w:r>
      <w:proofErr w:type="spellEnd"/>
      <w:r w:rsidR="00AD4DA9">
        <w:rPr>
          <w:rFonts w:ascii="Helvetica" w:eastAsia="Calibri" w:hAnsi="Helvetica" w:cs="Times New Roman"/>
          <w:iCs/>
          <w:sz w:val="23"/>
          <w:szCs w:val="23"/>
          <w:lang w:val="en-US"/>
        </w:rPr>
        <w:t xml:space="preserve"> Member States, which are part of the </w:t>
      </w:r>
      <w:r>
        <w:rPr>
          <w:rFonts w:ascii="Helvetica" w:eastAsia="Calibri" w:hAnsi="Helvetica" w:cs="Times New Roman"/>
          <w:iCs/>
          <w:sz w:val="23"/>
          <w:szCs w:val="23"/>
          <w:lang w:val="en-US"/>
        </w:rPr>
        <w:t>UPR process</w:t>
      </w:r>
      <w:r w:rsidR="00AD4DA9">
        <w:rPr>
          <w:rFonts w:ascii="Helvetica" w:eastAsia="Calibri" w:hAnsi="Helvetica" w:cs="Times New Roman"/>
          <w:iCs/>
          <w:sz w:val="23"/>
          <w:szCs w:val="23"/>
          <w:lang w:val="en-US"/>
        </w:rPr>
        <w:t xml:space="preserve">, </w:t>
      </w:r>
      <w:r>
        <w:rPr>
          <w:rFonts w:ascii="Helvetica" w:eastAsia="Calibri" w:hAnsi="Helvetica" w:cs="Times New Roman"/>
          <w:iCs/>
          <w:sz w:val="23"/>
          <w:szCs w:val="23"/>
          <w:lang w:val="en-US"/>
        </w:rPr>
        <w:t>to recommend</w:t>
      </w:r>
      <w:r w:rsidR="00AD4DA9">
        <w:rPr>
          <w:rFonts w:ascii="Helvetica" w:eastAsia="Calibri" w:hAnsi="Helvetica" w:cs="Times New Roman"/>
          <w:iCs/>
          <w:sz w:val="23"/>
          <w:szCs w:val="23"/>
          <w:lang w:val="en-US"/>
        </w:rPr>
        <w:t xml:space="preserve"> </w:t>
      </w:r>
      <w:r w:rsidR="00113341">
        <w:rPr>
          <w:rFonts w:ascii="Helvetica" w:eastAsia="Calibri" w:hAnsi="Helvetica" w:cs="Times New Roman"/>
          <w:iCs/>
          <w:sz w:val="23"/>
          <w:szCs w:val="23"/>
          <w:lang w:val="en-US"/>
        </w:rPr>
        <w:t>the M</w:t>
      </w:r>
      <w:r>
        <w:rPr>
          <w:rFonts w:ascii="Helvetica" w:eastAsia="Calibri" w:hAnsi="Helvetica" w:cs="Times New Roman"/>
          <w:iCs/>
          <w:sz w:val="23"/>
          <w:szCs w:val="23"/>
          <w:lang w:val="en-US"/>
        </w:rPr>
        <w:t xml:space="preserve">ember </w:t>
      </w:r>
      <w:r w:rsidR="00113341">
        <w:rPr>
          <w:rFonts w:ascii="Helvetica" w:eastAsia="Calibri" w:hAnsi="Helvetica" w:cs="Times New Roman"/>
          <w:iCs/>
          <w:sz w:val="23"/>
          <w:szCs w:val="23"/>
          <w:lang w:val="en-US"/>
        </w:rPr>
        <w:t>S</w:t>
      </w:r>
      <w:r>
        <w:rPr>
          <w:rFonts w:ascii="Helvetica" w:eastAsia="Calibri" w:hAnsi="Helvetica" w:cs="Times New Roman"/>
          <w:iCs/>
          <w:sz w:val="23"/>
          <w:szCs w:val="23"/>
          <w:lang w:val="en-US"/>
        </w:rPr>
        <w:t>tates strengthen</w:t>
      </w:r>
      <w:r w:rsidR="00AD4DA9">
        <w:rPr>
          <w:rFonts w:ascii="Helvetica" w:eastAsia="Calibri" w:hAnsi="Helvetica" w:cs="Times New Roman"/>
          <w:iCs/>
          <w:sz w:val="23"/>
          <w:szCs w:val="23"/>
          <w:lang w:val="en-US"/>
        </w:rPr>
        <w:t>ing</w:t>
      </w:r>
      <w:r>
        <w:rPr>
          <w:rFonts w:ascii="Helvetica" w:eastAsia="Calibri" w:hAnsi="Helvetica" w:cs="Times New Roman"/>
          <w:iCs/>
          <w:sz w:val="23"/>
          <w:szCs w:val="23"/>
          <w:lang w:val="en-US"/>
        </w:rPr>
        <w:t xml:space="preserve"> the right to information of marginalized groups, including women. </w:t>
      </w:r>
    </w:p>
    <w:p w14:paraId="2CA7113A" w14:textId="7A860826" w:rsidR="00E32B8E" w:rsidRDefault="00E32B8E" w:rsidP="00444C60">
      <w:pPr>
        <w:spacing w:after="0" w:line="240" w:lineRule="auto"/>
        <w:contextualSpacing/>
        <w:jc w:val="both"/>
        <w:rPr>
          <w:rFonts w:ascii="Helvetica" w:eastAsia="Calibri" w:hAnsi="Helvetica" w:cs="Times New Roman"/>
          <w:i/>
          <w:sz w:val="23"/>
          <w:szCs w:val="23"/>
          <w:lang w:val="en-US"/>
        </w:rPr>
      </w:pPr>
    </w:p>
    <w:p w14:paraId="02F39571" w14:textId="352BA631" w:rsidR="00E32B8E" w:rsidRPr="006457A6" w:rsidRDefault="00E32B8E" w:rsidP="006457A6">
      <w:pPr>
        <w:pStyle w:val="ListParagraph"/>
        <w:numPr>
          <w:ilvl w:val="0"/>
          <w:numId w:val="15"/>
        </w:numPr>
        <w:spacing w:after="0" w:line="240" w:lineRule="auto"/>
        <w:jc w:val="both"/>
        <w:rPr>
          <w:rFonts w:ascii="Helvetica" w:eastAsia="Calibri" w:hAnsi="Helvetica" w:cs="Times New Roman"/>
          <w:b/>
          <w:bCs/>
          <w:i/>
          <w:sz w:val="23"/>
          <w:szCs w:val="23"/>
          <w:lang w:val="en-US"/>
        </w:rPr>
      </w:pPr>
      <w:r w:rsidRPr="006457A6">
        <w:rPr>
          <w:rFonts w:ascii="Helvetica" w:eastAsia="Calibri" w:hAnsi="Helvetica" w:cs="Times New Roman"/>
          <w:b/>
          <w:bCs/>
          <w:i/>
          <w:sz w:val="23"/>
          <w:szCs w:val="23"/>
          <w:lang w:val="en-US"/>
        </w:rPr>
        <w:t>What would be your main recommendation to advance women’s and girls’ socioeconomic human security?</w:t>
      </w:r>
    </w:p>
    <w:bookmarkEnd w:id="0"/>
    <w:p w14:paraId="5D2E2216" w14:textId="774522B4" w:rsidR="004F61D0" w:rsidRPr="00113341" w:rsidRDefault="004F61D0" w:rsidP="00113341">
      <w:pPr>
        <w:spacing w:after="0" w:line="240" w:lineRule="auto"/>
        <w:jc w:val="both"/>
        <w:rPr>
          <w:rFonts w:ascii="Helvetica" w:eastAsia="Calibri" w:hAnsi="Helvetica" w:cs="Times New Roman"/>
          <w:iCs/>
          <w:sz w:val="23"/>
          <w:szCs w:val="23"/>
          <w:lang w:val="en-US"/>
        </w:rPr>
      </w:pPr>
    </w:p>
    <w:p w14:paraId="325148E1" w14:textId="5DDB90FF" w:rsidR="00B33D56" w:rsidRPr="00113341" w:rsidRDefault="00B33D56" w:rsidP="00113341">
      <w:p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 xml:space="preserve">UNESCO report </w:t>
      </w:r>
      <w:r w:rsidR="00AD4DA9" w:rsidRPr="00AD4DA9">
        <w:rPr>
          <w:rFonts w:ascii="Helvetica" w:eastAsia="Calibri" w:hAnsi="Helvetica" w:cs="Times New Roman"/>
          <w:iCs/>
          <w:sz w:val="23"/>
          <w:szCs w:val="23"/>
          <w:lang w:val="en-US"/>
        </w:rPr>
        <w:t>titled “Promoting Gender Equity in the Right of Access to Information”</w:t>
      </w:r>
      <w:r w:rsidR="00AD4DA9">
        <w:rPr>
          <w:rFonts w:ascii="Helvetica" w:eastAsia="Calibri" w:hAnsi="Helvetica" w:cs="Times New Roman"/>
          <w:iCs/>
          <w:sz w:val="23"/>
          <w:szCs w:val="23"/>
          <w:lang w:val="en-US"/>
        </w:rPr>
        <w:t xml:space="preserve"> </w:t>
      </w:r>
      <w:r w:rsidRPr="00113341">
        <w:rPr>
          <w:rFonts w:ascii="Helvetica" w:eastAsia="Calibri" w:hAnsi="Helvetica" w:cs="Times New Roman"/>
          <w:iCs/>
          <w:sz w:val="23"/>
          <w:szCs w:val="23"/>
          <w:lang w:val="en-US"/>
        </w:rPr>
        <w:t xml:space="preserve">provides following </w:t>
      </w:r>
      <w:r w:rsidR="00113341" w:rsidRPr="00113341">
        <w:rPr>
          <w:rFonts w:ascii="Helvetica" w:eastAsia="Calibri" w:hAnsi="Helvetica" w:cs="Times New Roman"/>
          <w:iCs/>
          <w:sz w:val="23"/>
          <w:szCs w:val="23"/>
          <w:lang w:val="en-US"/>
        </w:rPr>
        <w:t xml:space="preserve">recommendations for international mechanisms: </w:t>
      </w:r>
    </w:p>
    <w:p w14:paraId="491B6674" w14:textId="3B3648EE" w:rsidR="00113341" w:rsidRPr="00113341" w:rsidRDefault="00113341" w:rsidP="00113341">
      <w:pPr>
        <w:spacing w:after="0" w:line="240" w:lineRule="auto"/>
        <w:jc w:val="both"/>
        <w:rPr>
          <w:rFonts w:ascii="Helvetica" w:eastAsia="Calibri" w:hAnsi="Helvetica" w:cs="Times New Roman"/>
          <w:iCs/>
          <w:sz w:val="23"/>
          <w:szCs w:val="23"/>
          <w:lang w:val="en-US"/>
        </w:rPr>
      </w:pPr>
    </w:p>
    <w:p w14:paraId="210718F4" w14:textId="20487438" w:rsidR="00113341" w:rsidRPr="00113341" w:rsidRDefault="00113341" w:rsidP="00113341">
      <w:pPr>
        <w:pStyle w:val="ListParagraph"/>
        <w:numPr>
          <w:ilvl w:val="0"/>
          <w:numId w:val="8"/>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 xml:space="preserve">The Committee on the Elimination of Discrimination against Women (CEDAW </w:t>
      </w:r>
      <w:proofErr w:type="gramStart"/>
      <w:r w:rsidRPr="00113341">
        <w:rPr>
          <w:rFonts w:ascii="Helvetica" w:eastAsia="Calibri" w:hAnsi="Helvetica" w:cs="Times New Roman"/>
          <w:iCs/>
          <w:sz w:val="23"/>
          <w:szCs w:val="23"/>
          <w:lang w:val="en-US"/>
        </w:rPr>
        <w:t>Committee)  could</w:t>
      </w:r>
      <w:proofErr w:type="gramEnd"/>
      <w:r w:rsidRPr="00113341">
        <w:rPr>
          <w:rFonts w:ascii="Helvetica" w:eastAsia="Calibri" w:hAnsi="Helvetica" w:cs="Times New Roman"/>
          <w:iCs/>
          <w:sz w:val="23"/>
          <w:szCs w:val="23"/>
          <w:lang w:val="en-US"/>
        </w:rPr>
        <w:t xml:space="preserve">  publish  a  general  recommendation  or  statement  on  women’s right of access to information.</w:t>
      </w:r>
    </w:p>
    <w:p w14:paraId="3F418B02" w14:textId="77777777" w:rsidR="00113341" w:rsidRPr="00113341" w:rsidRDefault="00113341" w:rsidP="00113341">
      <w:pPr>
        <w:pStyle w:val="ListParagraph"/>
        <w:spacing w:after="0" w:line="240" w:lineRule="auto"/>
        <w:jc w:val="both"/>
        <w:rPr>
          <w:rFonts w:ascii="Helvetica" w:eastAsia="Calibri" w:hAnsi="Helvetica" w:cs="Times New Roman"/>
          <w:iCs/>
          <w:sz w:val="23"/>
          <w:szCs w:val="23"/>
          <w:lang w:val="en-US"/>
        </w:rPr>
      </w:pPr>
    </w:p>
    <w:p w14:paraId="6332D036" w14:textId="00AA2653" w:rsidR="00113341" w:rsidRPr="00113341" w:rsidRDefault="00113341" w:rsidP="00113341">
      <w:pPr>
        <w:pStyle w:val="ListParagraph"/>
        <w:numPr>
          <w:ilvl w:val="0"/>
          <w:numId w:val="8"/>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The Commission on the Status of Women (CSW) could consider:</w:t>
      </w:r>
    </w:p>
    <w:p w14:paraId="3C819E92" w14:textId="77777777" w:rsidR="00113341" w:rsidRPr="00113341" w:rsidRDefault="00113341" w:rsidP="00113341">
      <w:pPr>
        <w:pStyle w:val="ListParagraph"/>
        <w:numPr>
          <w:ilvl w:val="0"/>
          <w:numId w:val="12"/>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Including women’s right of access to information in the final statements and as part of the proceedings through expert panels</w:t>
      </w:r>
    </w:p>
    <w:p w14:paraId="24C70DBD" w14:textId="239F9771" w:rsidR="00113341" w:rsidRPr="00113341" w:rsidRDefault="00113341" w:rsidP="00113341">
      <w:pPr>
        <w:pStyle w:val="ListParagraph"/>
        <w:numPr>
          <w:ilvl w:val="0"/>
          <w:numId w:val="12"/>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Designating “women’s right of access to information” as an emerging issue and/or priority theme at a future annual session.</w:t>
      </w:r>
    </w:p>
    <w:p w14:paraId="7F753233" w14:textId="77777777" w:rsidR="00113341" w:rsidRPr="00113341" w:rsidRDefault="00113341" w:rsidP="00113341">
      <w:pPr>
        <w:pStyle w:val="ListParagraph"/>
        <w:spacing w:after="0" w:line="240" w:lineRule="auto"/>
        <w:jc w:val="both"/>
        <w:rPr>
          <w:rFonts w:ascii="Helvetica" w:eastAsia="Calibri" w:hAnsi="Helvetica" w:cs="Times New Roman"/>
          <w:iCs/>
          <w:sz w:val="23"/>
          <w:szCs w:val="23"/>
          <w:lang w:val="en-US"/>
        </w:rPr>
      </w:pPr>
    </w:p>
    <w:p w14:paraId="69C3641C" w14:textId="42BF9E55" w:rsidR="00113341" w:rsidRPr="00113341" w:rsidRDefault="00113341" w:rsidP="00113341">
      <w:pPr>
        <w:pStyle w:val="ListParagraph"/>
        <w:numPr>
          <w:ilvl w:val="0"/>
          <w:numId w:val="8"/>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The UN Special Procedures could be mobilized to advance women’s right to information through:</w:t>
      </w:r>
    </w:p>
    <w:p w14:paraId="6088F625" w14:textId="0A1013A4" w:rsidR="00113341" w:rsidRPr="00113341" w:rsidRDefault="00113341" w:rsidP="00113341">
      <w:pPr>
        <w:pStyle w:val="ListParagraph"/>
        <w:numPr>
          <w:ilvl w:val="0"/>
          <w:numId w:val="11"/>
        </w:numPr>
        <w:spacing w:after="0" w:line="240" w:lineRule="auto"/>
        <w:jc w:val="both"/>
        <w:rPr>
          <w:rFonts w:ascii="Helvetica" w:eastAsia="Calibri" w:hAnsi="Helvetica" w:cs="Times New Roman"/>
          <w:iCs/>
          <w:sz w:val="23"/>
          <w:szCs w:val="23"/>
          <w:lang w:val="en-US"/>
        </w:rPr>
      </w:pPr>
      <w:proofErr w:type="gramStart"/>
      <w:r w:rsidRPr="00113341">
        <w:rPr>
          <w:rFonts w:ascii="Helvetica" w:eastAsia="Calibri" w:hAnsi="Helvetica" w:cs="Times New Roman"/>
          <w:iCs/>
          <w:sz w:val="23"/>
          <w:szCs w:val="23"/>
          <w:lang w:val="en-US"/>
        </w:rPr>
        <w:t>The  Working</w:t>
      </w:r>
      <w:proofErr w:type="gramEnd"/>
      <w:r w:rsidRPr="00113341">
        <w:rPr>
          <w:rFonts w:ascii="Helvetica" w:eastAsia="Calibri" w:hAnsi="Helvetica" w:cs="Times New Roman"/>
          <w:iCs/>
          <w:sz w:val="23"/>
          <w:szCs w:val="23"/>
          <w:lang w:val="en-US"/>
        </w:rPr>
        <w:t xml:space="preserve">  Group  on  Discrimination  against  Women  and  Girls  publishing  a  thematic  paper  on  women  and  the  right  of  access  to  information</w:t>
      </w:r>
    </w:p>
    <w:p w14:paraId="23CDDA93" w14:textId="4418DA1E" w:rsidR="00113341" w:rsidRPr="00113341" w:rsidRDefault="00113341" w:rsidP="00113341">
      <w:pPr>
        <w:pStyle w:val="ListParagraph"/>
        <w:numPr>
          <w:ilvl w:val="0"/>
          <w:numId w:val="11"/>
        </w:numPr>
        <w:spacing w:after="0" w:line="240" w:lineRule="auto"/>
        <w:jc w:val="both"/>
        <w:rPr>
          <w:rFonts w:ascii="Helvetica" w:eastAsia="Calibri" w:hAnsi="Helvetica" w:cs="Times New Roman"/>
          <w:iCs/>
          <w:sz w:val="23"/>
          <w:szCs w:val="23"/>
          <w:lang w:val="en-US"/>
        </w:rPr>
      </w:pPr>
      <w:proofErr w:type="gramStart"/>
      <w:r w:rsidRPr="00113341">
        <w:rPr>
          <w:rFonts w:ascii="Helvetica" w:eastAsia="Calibri" w:hAnsi="Helvetica" w:cs="Times New Roman"/>
          <w:iCs/>
          <w:sz w:val="23"/>
          <w:szCs w:val="23"/>
          <w:lang w:val="en-US"/>
        </w:rPr>
        <w:t>The  Working</w:t>
      </w:r>
      <w:proofErr w:type="gramEnd"/>
      <w:r w:rsidRPr="00113341">
        <w:rPr>
          <w:rFonts w:ascii="Helvetica" w:eastAsia="Calibri" w:hAnsi="Helvetica" w:cs="Times New Roman"/>
          <w:iCs/>
          <w:sz w:val="23"/>
          <w:szCs w:val="23"/>
          <w:lang w:val="en-US"/>
        </w:rPr>
        <w:t xml:space="preserve">  Group  considering  the  issue  during  country  visits  and  when making recommendations</w:t>
      </w:r>
    </w:p>
    <w:p w14:paraId="5C789FB6" w14:textId="3B150EED" w:rsidR="00113341" w:rsidRPr="00113341" w:rsidRDefault="00113341" w:rsidP="00113341">
      <w:pPr>
        <w:pStyle w:val="ListParagraph"/>
        <w:numPr>
          <w:ilvl w:val="0"/>
          <w:numId w:val="11"/>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Relevant   mandate-holders   publishing   a   joint   thematic   report/statement on women’s right of access to information</w:t>
      </w:r>
    </w:p>
    <w:p w14:paraId="36F0CD25" w14:textId="77777777" w:rsidR="00113341" w:rsidRPr="00113341" w:rsidRDefault="00113341" w:rsidP="00113341">
      <w:pPr>
        <w:spacing w:after="0" w:line="240" w:lineRule="auto"/>
        <w:jc w:val="both"/>
        <w:rPr>
          <w:rFonts w:ascii="Helvetica" w:eastAsia="Calibri" w:hAnsi="Helvetica" w:cs="Times New Roman"/>
          <w:iCs/>
          <w:sz w:val="23"/>
          <w:szCs w:val="23"/>
          <w:lang w:val="en-US"/>
        </w:rPr>
      </w:pPr>
    </w:p>
    <w:p w14:paraId="05572E10" w14:textId="229E8F10" w:rsidR="00113341" w:rsidRPr="00113341" w:rsidRDefault="00113341" w:rsidP="00113341">
      <w:pPr>
        <w:pStyle w:val="ListParagraph"/>
        <w:numPr>
          <w:ilvl w:val="0"/>
          <w:numId w:val="8"/>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The Women’s Major Group for the HLPF could publish annual position papers including a section dedicated to women’s right of access to information</w:t>
      </w:r>
    </w:p>
    <w:p w14:paraId="0C20ADAA" w14:textId="77777777" w:rsidR="00113341" w:rsidRPr="00113341" w:rsidRDefault="00113341" w:rsidP="00113341">
      <w:pPr>
        <w:spacing w:after="0" w:line="240" w:lineRule="auto"/>
        <w:jc w:val="both"/>
        <w:rPr>
          <w:rFonts w:ascii="Helvetica" w:eastAsia="Calibri" w:hAnsi="Helvetica" w:cs="Times New Roman"/>
          <w:iCs/>
          <w:sz w:val="23"/>
          <w:szCs w:val="23"/>
          <w:lang w:val="en-US"/>
        </w:rPr>
      </w:pPr>
    </w:p>
    <w:p w14:paraId="5B30FB66" w14:textId="77D1E856" w:rsidR="00113341" w:rsidRPr="00113341" w:rsidRDefault="00113341" w:rsidP="00113341">
      <w:pPr>
        <w:pStyle w:val="ListParagraph"/>
        <w:numPr>
          <w:ilvl w:val="0"/>
          <w:numId w:val="8"/>
        </w:numPr>
        <w:spacing w:after="0" w:line="240" w:lineRule="auto"/>
        <w:jc w:val="both"/>
        <w:rPr>
          <w:rFonts w:ascii="Helvetica" w:eastAsia="Calibri" w:hAnsi="Helvetica" w:cs="Times New Roman"/>
          <w:iCs/>
          <w:sz w:val="23"/>
          <w:szCs w:val="23"/>
          <w:lang w:val="en-US"/>
        </w:rPr>
      </w:pPr>
      <w:proofErr w:type="gramStart"/>
      <w:r w:rsidRPr="00113341">
        <w:rPr>
          <w:rFonts w:ascii="Helvetica" w:eastAsia="Calibri" w:hAnsi="Helvetica" w:cs="Times New Roman"/>
          <w:iCs/>
          <w:sz w:val="23"/>
          <w:szCs w:val="23"/>
          <w:lang w:val="en-US"/>
        </w:rPr>
        <w:t>UN  agencies</w:t>
      </w:r>
      <w:proofErr w:type="gramEnd"/>
      <w:r w:rsidRPr="00113341">
        <w:rPr>
          <w:rFonts w:ascii="Helvetica" w:eastAsia="Calibri" w:hAnsi="Helvetica" w:cs="Times New Roman"/>
          <w:iCs/>
          <w:sz w:val="23"/>
          <w:szCs w:val="23"/>
          <w:lang w:val="en-US"/>
        </w:rPr>
        <w:t xml:space="preserve">,  </w:t>
      </w:r>
      <w:proofErr w:type="spellStart"/>
      <w:r w:rsidRPr="00113341">
        <w:rPr>
          <w:rFonts w:ascii="Helvetica" w:eastAsia="Calibri" w:hAnsi="Helvetica" w:cs="Times New Roman"/>
          <w:iCs/>
          <w:sz w:val="23"/>
          <w:szCs w:val="23"/>
          <w:lang w:val="en-US"/>
        </w:rPr>
        <w:t>programmes</w:t>
      </w:r>
      <w:proofErr w:type="spellEnd"/>
      <w:r w:rsidRPr="00113341">
        <w:rPr>
          <w:rFonts w:ascii="Helvetica" w:eastAsia="Calibri" w:hAnsi="Helvetica" w:cs="Times New Roman"/>
          <w:iCs/>
          <w:sz w:val="23"/>
          <w:szCs w:val="23"/>
          <w:lang w:val="en-US"/>
        </w:rPr>
        <w:t xml:space="preserve">  and  funds  could  further  engage  to  advance  women’s right to information through:</w:t>
      </w:r>
    </w:p>
    <w:p w14:paraId="2AC43E05" w14:textId="37E3E48A" w:rsidR="00113341" w:rsidRPr="00113341" w:rsidRDefault="00113341" w:rsidP="00113341">
      <w:pPr>
        <w:pStyle w:val="ListParagraph"/>
        <w:numPr>
          <w:ilvl w:val="0"/>
          <w:numId w:val="10"/>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Mainstreaming women’s right to information into existing programming and focus areas</w:t>
      </w:r>
    </w:p>
    <w:p w14:paraId="26D9048F" w14:textId="2E36D06D" w:rsidR="00113341" w:rsidRPr="00113341" w:rsidRDefault="00113341" w:rsidP="00113341">
      <w:pPr>
        <w:pStyle w:val="ListParagraph"/>
        <w:numPr>
          <w:ilvl w:val="0"/>
          <w:numId w:val="10"/>
        </w:numPr>
        <w:spacing w:after="0" w:line="240" w:lineRule="auto"/>
        <w:jc w:val="both"/>
        <w:rPr>
          <w:rFonts w:ascii="Helvetica" w:eastAsia="Calibri" w:hAnsi="Helvetica" w:cs="Times New Roman"/>
          <w:iCs/>
          <w:sz w:val="23"/>
          <w:szCs w:val="23"/>
          <w:lang w:val="en-US"/>
        </w:rPr>
      </w:pPr>
      <w:r w:rsidRPr="00113341">
        <w:rPr>
          <w:rFonts w:ascii="Helvetica" w:eastAsia="Calibri" w:hAnsi="Helvetica" w:cs="Times New Roman"/>
          <w:iCs/>
          <w:sz w:val="23"/>
          <w:szCs w:val="23"/>
          <w:lang w:val="en-US"/>
        </w:rPr>
        <w:t>Developing joint actions, such as publications, events, and forums</w:t>
      </w:r>
    </w:p>
    <w:p w14:paraId="2C98B5AB" w14:textId="675932DD" w:rsidR="00113341" w:rsidRDefault="00113341" w:rsidP="00113341">
      <w:pPr>
        <w:pStyle w:val="ListParagraph"/>
        <w:numPr>
          <w:ilvl w:val="0"/>
          <w:numId w:val="10"/>
        </w:numPr>
        <w:spacing w:after="0" w:line="240" w:lineRule="auto"/>
        <w:jc w:val="both"/>
        <w:rPr>
          <w:rFonts w:ascii="Helvetica" w:eastAsia="Calibri" w:hAnsi="Helvetica" w:cs="Times New Roman"/>
          <w:iCs/>
          <w:sz w:val="23"/>
          <w:szCs w:val="23"/>
          <w:lang w:val="en-US"/>
        </w:rPr>
      </w:pPr>
      <w:proofErr w:type="gramStart"/>
      <w:r w:rsidRPr="00113341">
        <w:rPr>
          <w:rFonts w:ascii="Helvetica" w:eastAsia="Calibri" w:hAnsi="Helvetica" w:cs="Times New Roman"/>
          <w:iCs/>
          <w:sz w:val="23"/>
          <w:szCs w:val="23"/>
          <w:lang w:val="en-US"/>
        </w:rPr>
        <w:t>Including  the</w:t>
      </w:r>
      <w:proofErr w:type="gramEnd"/>
      <w:r w:rsidRPr="00113341">
        <w:rPr>
          <w:rFonts w:ascii="Helvetica" w:eastAsia="Calibri" w:hAnsi="Helvetica" w:cs="Times New Roman"/>
          <w:iCs/>
          <w:sz w:val="23"/>
          <w:szCs w:val="23"/>
          <w:lang w:val="en-US"/>
        </w:rPr>
        <w:t xml:space="preserve">  issue  in  the  work/deliberations  of  the  Inter-Agency  Network on Women and Gender Equality</w:t>
      </w:r>
    </w:p>
    <w:p w14:paraId="64013621" w14:textId="1AFCF4D6" w:rsidR="00113341" w:rsidRDefault="00113341" w:rsidP="00113341">
      <w:pPr>
        <w:spacing w:after="0" w:line="240" w:lineRule="auto"/>
        <w:jc w:val="both"/>
        <w:rPr>
          <w:rFonts w:ascii="Helvetica" w:eastAsia="Calibri" w:hAnsi="Helvetica" w:cs="Times New Roman"/>
          <w:iCs/>
          <w:sz w:val="23"/>
          <w:szCs w:val="23"/>
          <w:lang w:val="en-US"/>
        </w:rPr>
      </w:pPr>
    </w:p>
    <w:p w14:paraId="754982B1" w14:textId="2027AF0C" w:rsidR="006457A6" w:rsidRDefault="006457A6" w:rsidP="00113341">
      <w:pPr>
        <w:spacing w:after="0" w:line="240" w:lineRule="auto"/>
        <w:jc w:val="both"/>
        <w:rPr>
          <w:rFonts w:ascii="Helvetica" w:eastAsia="Calibri" w:hAnsi="Helvetica" w:cs="Times New Roman"/>
          <w:iCs/>
          <w:sz w:val="23"/>
          <w:szCs w:val="23"/>
          <w:lang w:val="en-US"/>
        </w:rPr>
      </w:pPr>
    </w:p>
    <w:p w14:paraId="2D7324D2" w14:textId="77777777" w:rsidR="006457A6" w:rsidRDefault="006457A6" w:rsidP="00113341">
      <w:pPr>
        <w:spacing w:after="0" w:line="240" w:lineRule="auto"/>
        <w:jc w:val="both"/>
        <w:rPr>
          <w:rFonts w:ascii="Helvetica" w:eastAsia="Calibri" w:hAnsi="Helvetica" w:cs="Times New Roman"/>
          <w:iCs/>
          <w:sz w:val="23"/>
          <w:szCs w:val="23"/>
          <w:lang w:val="en-US"/>
        </w:rPr>
      </w:pPr>
    </w:p>
    <w:p w14:paraId="5A05F6E5" w14:textId="5DEFE49B" w:rsidR="00113341" w:rsidRPr="006457A6" w:rsidRDefault="002515D3" w:rsidP="00113341">
      <w:pPr>
        <w:spacing w:after="0" w:line="240" w:lineRule="auto"/>
        <w:jc w:val="both"/>
        <w:rPr>
          <w:rFonts w:ascii="Helvetica" w:eastAsia="Calibri" w:hAnsi="Helvetica" w:cs="Times New Roman"/>
          <w:b/>
          <w:bCs/>
          <w:iCs/>
          <w:sz w:val="23"/>
          <w:szCs w:val="23"/>
          <w:lang w:val="en-US"/>
        </w:rPr>
      </w:pPr>
      <w:r w:rsidRPr="006457A6">
        <w:rPr>
          <w:rFonts w:ascii="Helvetica" w:eastAsia="Calibri" w:hAnsi="Helvetica" w:cs="Times New Roman"/>
          <w:b/>
          <w:bCs/>
          <w:iCs/>
          <w:sz w:val="23"/>
          <w:szCs w:val="23"/>
          <w:lang w:val="en-US"/>
        </w:rPr>
        <w:lastRenderedPageBreak/>
        <w:t>UNESCO report</w:t>
      </w:r>
      <w:r w:rsidR="00AD4DA9" w:rsidRPr="006457A6">
        <w:rPr>
          <w:b/>
          <w:bCs/>
        </w:rPr>
        <w:t xml:space="preserve"> </w:t>
      </w:r>
      <w:r w:rsidR="00AD4DA9" w:rsidRPr="006457A6">
        <w:rPr>
          <w:rFonts w:ascii="Helvetica" w:eastAsia="Calibri" w:hAnsi="Helvetica" w:cs="Times New Roman"/>
          <w:b/>
          <w:bCs/>
          <w:iCs/>
          <w:sz w:val="23"/>
          <w:szCs w:val="23"/>
          <w:lang w:val="en-US"/>
        </w:rPr>
        <w:t>titled “Promoting Gender Equity in the Right of Access to Information”</w:t>
      </w:r>
      <w:r w:rsidRPr="006457A6">
        <w:rPr>
          <w:rFonts w:ascii="Helvetica" w:eastAsia="Calibri" w:hAnsi="Helvetica" w:cs="Times New Roman"/>
          <w:b/>
          <w:bCs/>
          <w:iCs/>
          <w:sz w:val="23"/>
          <w:szCs w:val="23"/>
          <w:lang w:val="en-US"/>
        </w:rPr>
        <w:t xml:space="preserve"> provides following recommendations for improving national laws and practice in the field of ATI: </w:t>
      </w:r>
    </w:p>
    <w:p w14:paraId="07220D8D" w14:textId="406EA0F5" w:rsidR="002515D3" w:rsidRDefault="002515D3" w:rsidP="00113341">
      <w:pPr>
        <w:spacing w:after="0" w:line="240" w:lineRule="auto"/>
        <w:jc w:val="both"/>
        <w:rPr>
          <w:rFonts w:ascii="Helvetica" w:eastAsia="Calibri" w:hAnsi="Helvetica" w:cs="Times New Roman"/>
          <w:iCs/>
          <w:sz w:val="23"/>
          <w:szCs w:val="23"/>
          <w:lang w:val="en-US"/>
        </w:rPr>
      </w:pPr>
    </w:p>
    <w:p w14:paraId="12EFBCE7" w14:textId="77777777" w:rsidR="002515D3" w:rsidRDefault="002515D3" w:rsidP="00113341">
      <w:p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1. Promote gender-sensitive Right to Information (RTI) laws, including:</w:t>
      </w:r>
    </w:p>
    <w:p w14:paraId="21DA578C" w14:textId="6D9A5DD8" w:rsidR="002515D3" w:rsidRPr="002515D3" w:rsidRDefault="002515D3" w:rsidP="002515D3">
      <w:pPr>
        <w:pStyle w:val="ListParagraph"/>
        <w:numPr>
          <w:ilvl w:val="0"/>
          <w:numId w:val="13"/>
        </w:num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Reviewing of RTI legislation through a gender-lens, including assuring at minimum gender-neutral language and gender-sensitivity, with the ideal of a gender-transformative approach</w:t>
      </w:r>
    </w:p>
    <w:p w14:paraId="47B99A4C" w14:textId="2D3F2D19" w:rsidR="002515D3" w:rsidRPr="002515D3" w:rsidRDefault="002515D3" w:rsidP="002515D3">
      <w:pPr>
        <w:pStyle w:val="ListParagraph"/>
        <w:numPr>
          <w:ilvl w:val="0"/>
          <w:numId w:val="13"/>
        </w:num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 xml:space="preserve">Mandatory support for requesters, with specific reference to persons that may be illiterate, functionally literate, or speak different </w:t>
      </w:r>
      <w:proofErr w:type="spellStart"/>
      <w:r w:rsidRPr="002515D3">
        <w:rPr>
          <w:rFonts w:ascii="Helvetica" w:eastAsia="Calibri" w:hAnsi="Helvetica" w:cs="Times New Roman"/>
          <w:iCs/>
          <w:sz w:val="23"/>
          <w:szCs w:val="23"/>
          <w:lang w:val="en-US"/>
        </w:rPr>
        <w:t>languagesc</w:t>
      </w:r>
      <w:proofErr w:type="spellEnd"/>
      <w:r w:rsidRPr="002515D3">
        <w:rPr>
          <w:rFonts w:ascii="Helvetica" w:eastAsia="Calibri" w:hAnsi="Helvetica" w:cs="Times New Roman"/>
          <w:iCs/>
          <w:sz w:val="23"/>
          <w:szCs w:val="23"/>
          <w:lang w:val="en-US"/>
        </w:rPr>
        <w:t xml:space="preserve">. </w:t>
      </w:r>
    </w:p>
    <w:p w14:paraId="79ACC879" w14:textId="77777777" w:rsidR="002515D3" w:rsidRPr="002515D3" w:rsidRDefault="002515D3" w:rsidP="002515D3">
      <w:pPr>
        <w:pStyle w:val="ListParagraph"/>
        <w:numPr>
          <w:ilvl w:val="0"/>
          <w:numId w:val="13"/>
        </w:num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 xml:space="preserve">Incorporating a reduction of fees for search, retrieval and reproduction/copying of documents based on hardship </w:t>
      </w:r>
    </w:p>
    <w:p w14:paraId="615E1FA4" w14:textId="77777777" w:rsidR="002515D3" w:rsidRPr="002515D3" w:rsidRDefault="002515D3" w:rsidP="002515D3">
      <w:pPr>
        <w:pStyle w:val="ListParagraph"/>
        <w:numPr>
          <w:ilvl w:val="0"/>
          <w:numId w:val="13"/>
        </w:numPr>
        <w:spacing w:after="0" w:line="240" w:lineRule="auto"/>
        <w:jc w:val="both"/>
        <w:rPr>
          <w:rFonts w:ascii="Helvetica" w:eastAsia="Calibri" w:hAnsi="Helvetica" w:cs="Times New Roman"/>
          <w:iCs/>
          <w:sz w:val="23"/>
          <w:szCs w:val="23"/>
          <w:lang w:val="en-US"/>
        </w:rPr>
      </w:pPr>
      <w:proofErr w:type="gramStart"/>
      <w:r w:rsidRPr="002515D3">
        <w:rPr>
          <w:rFonts w:ascii="Helvetica" w:eastAsia="Calibri" w:hAnsi="Helvetica" w:cs="Times New Roman"/>
          <w:iCs/>
          <w:sz w:val="23"/>
          <w:szCs w:val="23"/>
          <w:lang w:val="en-US"/>
        </w:rPr>
        <w:t>Explicitly  listing</w:t>
      </w:r>
      <w:proofErr w:type="gramEnd"/>
      <w:r w:rsidRPr="002515D3">
        <w:rPr>
          <w:rFonts w:ascii="Helvetica" w:eastAsia="Calibri" w:hAnsi="Helvetica" w:cs="Times New Roman"/>
          <w:iCs/>
          <w:sz w:val="23"/>
          <w:szCs w:val="23"/>
          <w:lang w:val="en-US"/>
        </w:rPr>
        <w:t xml:space="preserve">  information  most  critical  for  women  in  proactive  publication </w:t>
      </w:r>
      <w:proofErr w:type="spellStart"/>
      <w:r w:rsidRPr="002515D3">
        <w:rPr>
          <w:rFonts w:ascii="Helvetica" w:eastAsia="Calibri" w:hAnsi="Helvetica" w:cs="Times New Roman"/>
          <w:iCs/>
          <w:sz w:val="23"/>
          <w:szCs w:val="23"/>
          <w:lang w:val="en-US"/>
        </w:rPr>
        <w:t>schemese</w:t>
      </w:r>
      <w:proofErr w:type="spellEnd"/>
      <w:r w:rsidRPr="002515D3">
        <w:rPr>
          <w:rFonts w:ascii="Helvetica" w:eastAsia="Calibri" w:hAnsi="Helvetica" w:cs="Times New Roman"/>
          <w:iCs/>
          <w:sz w:val="23"/>
          <w:szCs w:val="23"/>
          <w:lang w:val="en-US"/>
        </w:rPr>
        <w:t xml:space="preserve">.  </w:t>
      </w:r>
      <w:proofErr w:type="gramStart"/>
      <w:r w:rsidRPr="002515D3">
        <w:rPr>
          <w:rFonts w:ascii="Helvetica" w:eastAsia="Calibri" w:hAnsi="Helvetica" w:cs="Times New Roman"/>
          <w:iCs/>
          <w:sz w:val="23"/>
          <w:szCs w:val="23"/>
          <w:lang w:val="en-US"/>
        </w:rPr>
        <w:t>Gender  parity</w:t>
      </w:r>
      <w:proofErr w:type="gramEnd"/>
      <w:r w:rsidRPr="002515D3">
        <w:rPr>
          <w:rFonts w:ascii="Helvetica" w:eastAsia="Calibri" w:hAnsi="Helvetica" w:cs="Times New Roman"/>
          <w:iCs/>
          <w:sz w:val="23"/>
          <w:szCs w:val="23"/>
          <w:lang w:val="en-US"/>
        </w:rPr>
        <w:t xml:space="preserve">  within  the  Information  Commissions  to  encourage  a  diversity  of  opinion  and  model  the  value  of  women’s  access  to  information</w:t>
      </w:r>
    </w:p>
    <w:p w14:paraId="1AA09D06" w14:textId="77777777" w:rsidR="002515D3" w:rsidRDefault="002515D3" w:rsidP="002515D3">
      <w:pPr>
        <w:spacing w:after="0" w:line="240" w:lineRule="auto"/>
        <w:jc w:val="both"/>
        <w:rPr>
          <w:rFonts w:ascii="Helvetica" w:eastAsia="Calibri" w:hAnsi="Helvetica" w:cs="Times New Roman"/>
          <w:iCs/>
          <w:sz w:val="23"/>
          <w:szCs w:val="23"/>
          <w:lang w:val="en-US"/>
        </w:rPr>
      </w:pPr>
    </w:p>
    <w:p w14:paraId="0BBA2C5E" w14:textId="663439F8" w:rsidR="002515D3" w:rsidRDefault="002515D3" w:rsidP="002515D3">
      <w:p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 xml:space="preserve">2. </w:t>
      </w:r>
      <w:proofErr w:type="gramStart"/>
      <w:r w:rsidRPr="002515D3">
        <w:rPr>
          <w:rFonts w:ascii="Helvetica" w:eastAsia="Calibri" w:hAnsi="Helvetica" w:cs="Times New Roman"/>
          <w:iCs/>
          <w:sz w:val="23"/>
          <w:szCs w:val="23"/>
          <w:lang w:val="en-US"/>
        </w:rPr>
        <w:t>Access  to</w:t>
      </w:r>
      <w:proofErr w:type="gramEnd"/>
      <w:r w:rsidRPr="002515D3">
        <w:rPr>
          <w:rFonts w:ascii="Helvetica" w:eastAsia="Calibri" w:hAnsi="Helvetica" w:cs="Times New Roman"/>
          <w:iCs/>
          <w:sz w:val="23"/>
          <w:szCs w:val="23"/>
          <w:lang w:val="en-US"/>
        </w:rPr>
        <w:t xml:space="preserve">  Information  practices  should  be  gender-sensitive,  including: </w:t>
      </w:r>
    </w:p>
    <w:p w14:paraId="6BD6C058" w14:textId="4C43BECF"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proofErr w:type="gramStart"/>
      <w:r w:rsidRPr="002515D3">
        <w:rPr>
          <w:rFonts w:ascii="Helvetica" w:eastAsia="Calibri" w:hAnsi="Helvetica" w:cs="Times New Roman"/>
          <w:iCs/>
          <w:sz w:val="23"/>
          <w:szCs w:val="23"/>
          <w:lang w:val="en-US"/>
        </w:rPr>
        <w:t>Increasing  women’s</w:t>
      </w:r>
      <w:proofErr w:type="gramEnd"/>
      <w:r w:rsidRPr="002515D3">
        <w:rPr>
          <w:rFonts w:ascii="Helvetica" w:eastAsia="Calibri" w:hAnsi="Helvetica" w:cs="Times New Roman"/>
          <w:iCs/>
          <w:sz w:val="23"/>
          <w:szCs w:val="23"/>
          <w:lang w:val="en-US"/>
        </w:rPr>
        <w:t xml:space="preserve">  awareness  of  the  right  to  access  information  and  how  to  exercise  it,  including  through  radio,  town  hall  meetings,  information booths and/or engagement of civil society organizations</w:t>
      </w:r>
    </w:p>
    <w:p w14:paraId="4A5F12CB" w14:textId="5DFBED34"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proofErr w:type="gramStart"/>
      <w:r w:rsidRPr="002515D3">
        <w:rPr>
          <w:rFonts w:ascii="Helvetica" w:eastAsia="Calibri" w:hAnsi="Helvetica" w:cs="Times New Roman"/>
          <w:iCs/>
          <w:sz w:val="23"/>
          <w:szCs w:val="23"/>
          <w:lang w:val="en-US"/>
        </w:rPr>
        <w:t>Placing  proactively</w:t>
      </w:r>
      <w:proofErr w:type="gramEnd"/>
      <w:r w:rsidRPr="002515D3">
        <w:rPr>
          <w:rFonts w:ascii="Helvetica" w:eastAsia="Calibri" w:hAnsi="Helvetica" w:cs="Times New Roman"/>
          <w:iCs/>
          <w:sz w:val="23"/>
          <w:szCs w:val="23"/>
          <w:lang w:val="en-US"/>
        </w:rPr>
        <w:t xml:space="preserve">  disclosed  information  in  locations  where  women  can best and most easily and safely access it</w:t>
      </w:r>
    </w:p>
    <w:p w14:paraId="6BDFBE71" w14:textId="24C7D436"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proofErr w:type="gramStart"/>
      <w:r w:rsidRPr="002515D3">
        <w:rPr>
          <w:rFonts w:ascii="Helvetica" w:eastAsia="Calibri" w:hAnsi="Helvetica" w:cs="Times New Roman"/>
          <w:iCs/>
          <w:sz w:val="23"/>
          <w:szCs w:val="23"/>
          <w:lang w:val="en-US"/>
        </w:rPr>
        <w:t>Disaggregating  data</w:t>
      </w:r>
      <w:proofErr w:type="gramEnd"/>
      <w:r w:rsidRPr="002515D3">
        <w:rPr>
          <w:rFonts w:ascii="Helvetica" w:eastAsia="Calibri" w:hAnsi="Helvetica" w:cs="Times New Roman"/>
          <w:iCs/>
          <w:sz w:val="23"/>
          <w:szCs w:val="23"/>
          <w:lang w:val="en-US"/>
        </w:rPr>
        <w:t xml:space="preserve">  by  sex,  such  as  number  of  women  requesters,  number  of  women  denied  information,  and  number  of  women  that  appeal denials</w:t>
      </w:r>
    </w:p>
    <w:p w14:paraId="094BBCFC" w14:textId="2124D9CF"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proofErr w:type="gramStart"/>
      <w:r w:rsidRPr="002515D3">
        <w:rPr>
          <w:rFonts w:ascii="Helvetica" w:eastAsia="Calibri" w:hAnsi="Helvetica" w:cs="Times New Roman"/>
          <w:iCs/>
          <w:sz w:val="23"/>
          <w:szCs w:val="23"/>
          <w:lang w:val="en-US"/>
        </w:rPr>
        <w:t>Assuring  gender</w:t>
      </w:r>
      <w:proofErr w:type="gramEnd"/>
      <w:r w:rsidRPr="002515D3">
        <w:rPr>
          <w:rFonts w:ascii="Helvetica" w:eastAsia="Calibri" w:hAnsi="Helvetica" w:cs="Times New Roman"/>
          <w:iCs/>
          <w:sz w:val="23"/>
          <w:szCs w:val="23"/>
          <w:lang w:val="en-US"/>
        </w:rPr>
        <w:t xml:space="preserve">  balance  in  the  number  of  designated  information  officers to ensure representativity and encourage women requesters </w:t>
      </w:r>
    </w:p>
    <w:p w14:paraId="59EA0125" w14:textId="77777777"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e. Developing and implementing mandatory gender-sensitivity trainings on the topic of access to information for relevant public officials</w:t>
      </w:r>
    </w:p>
    <w:p w14:paraId="4810A0BF" w14:textId="1DC4AAE6"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Providing specific support to women that are denied information, to ensure they are aware, equipped, and able to appeal such denials</w:t>
      </w:r>
    </w:p>
    <w:p w14:paraId="5F0A6385" w14:textId="1CDD0516" w:rsidR="002515D3" w:rsidRPr="002515D3" w:rsidRDefault="002515D3" w:rsidP="002515D3">
      <w:pPr>
        <w:pStyle w:val="ListParagraph"/>
        <w:numPr>
          <w:ilvl w:val="0"/>
          <w:numId w:val="14"/>
        </w:numPr>
        <w:spacing w:after="0" w:line="240" w:lineRule="auto"/>
        <w:jc w:val="both"/>
        <w:rPr>
          <w:rFonts w:ascii="Helvetica" w:eastAsia="Calibri" w:hAnsi="Helvetica" w:cs="Times New Roman"/>
          <w:iCs/>
          <w:sz w:val="23"/>
          <w:szCs w:val="23"/>
          <w:lang w:val="en-US"/>
        </w:rPr>
      </w:pPr>
      <w:proofErr w:type="gramStart"/>
      <w:r w:rsidRPr="002515D3">
        <w:rPr>
          <w:rFonts w:ascii="Helvetica" w:eastAsia="Calibri" w:hAnsi="Helvetica" w:cs="Times New Roman"/>
          <w:iCs/>
          <w:sz w:val="23"/>
          <w:szCs w:val="23"/>
          <w:lang w:val="en-US"/>
        </w:rPr>
        <w:t>Encouraging  an</w:t>
      </w:r>
      <w:proofErr w:type="gramEnd"/>
      <w:r w:rsidRPr="002515D3">
        <w:rPr>
          <w:rFonts w:ascii="Helvetica" w:eastAsia="Calibri" w:hAnsi="Helvetica" w:cs="Times New Roman"/>
          <w:iCs/>
          <w:sz w:val="23"/>
          <w:szCs w:val="23"/>
          <w:lang w:val="en-US"/>
        </w:rPr>
        <w:t xml:space="preserve">  increase  in  data  to  be  disaggregated  by  gender  and  ensuring  the  inclusion  of  specific  sections  on  women’s  right  to  information in annual reports</w:t>
      </w:r>
    </w:p>
    <w:p w14:paraId="7D9094AE" w14:textId="77777777" w:rsidR="002515D3" w:rsidRDefault="002515D3" w:rsidP="002515D3">
      <w:pPr>
        <w:spacing w:after="0" w:line="240" w:lineRule="auto"/>
        <w:jc w:val="both"/>
        <w:rPr>
          <w:rFonts w:ascii="Helvetica" w:eastAsia="Calibri" w:hAnsi="Helvetica" w:cs="Times New Roman"/>
          <w:iCs/>
          <w:sz w:val="23"/>
          <w:szCs w:val="23"/>
          <w:lang w:val="en-US"/>
        </w:rPr>
      </w:pPr>
    </w:p>
    <w:p w14:paraId="02D22750" w14:textId="77777777" w:rsidR="002515D3" w:rsidRDefault="002515D3" w:rsidP="002515D3">
      <w:p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 xml:space="preserve">3. Development of a comprehensive strategy, plan of action and accompanying </w:t>
      </w:r>
      <w:proofErr w:type="gramStart"/>
      <w:r w:rsidRPr="002515D3">
        <w:rPr>
          <w:rFonts w:ascii="Helvetica" w:eastAsia="Calibri" w:hAnsi="Helvetica" w:cs="Times New Roman"/>
          <w:iCs/>
          <w:sz w:val="23"/>
          <w:szCs w:val="23"/>
          <w:lang w:val="en-US"/>
        </w:rPr>
        <w:t>dedicated  budget</w:t>
      </w:r>
      <w:proofErr w:type="gramEnd"/>
      <w:r w:rsidRPr="002515D3">
        <w:rPr>
          <w:rFonts w:ascii="Helvetica" w:eastAsia="Calibri" w:hAnsi="Helvetica" w:cs="Times New Roman"/>
          <w:iCs/>
          <w:sz w:val="23"/>
          <w:szCs w:val="23"/>
          <w:lang w:val="en-US"/>
        </w:rPr>
        <w:t xml:space="preserve">  to  ensure  that  RTI  is  equitable,  including  engaging  with  the  ministries  responsible  for  women’s  rights/gender/family/youth,  other ministerial gender units and Human Rights bodies/ Ombudspersons </w:t>
      </w:r>
    </w:p>
    <w:p w14:paraId="14E264DA" w14:textId="77777777" w:rsidR="002515D3" w:rsidRDefault="002515D3" w:rsidP="002515D3">
      <w:pPr>
        <w:spacing w:after="0" w:line="240" w:lineRule="auto"/>
        <w:jc w:val="both"/>
        <w:rPr>
          <w:rFonts w:ascii="Helvetica" w:eastAsia="Calibri" w:hAnsi="Helvetica" w:cs="Times New Roman"/>
          <w:iCs/>
          <w:sz w:val="23"/>
          <w:szCs w:val="23"/>
          <w:lang w:val="en-US"/>
        </w:rPr>
      </w:pPr>
    </w:p>
    <w:p w14:paraId="6F219C76" w14:textId="533AE14F" w:rsidR="002515D3" w:rsidRDefault="002515D3" w:rsidP="002515D3">
      <w:pPr>
        <w:spacing w:after="0" w:line="240" w:lineRule="auto"/>
        <w:jc w:val="both"/>
        <w:rPr>
          <w:rFonts w:ascii="Helvetica" w:eastAsia="Calibri" w:hAnsi="Helvetica" w:cs="Times New Roman"/>
          <w:iCs/>
          <w:sz w:val="23"/>
          <w:szCs w:val="23"/>
          <w:lang w:val="en-US"/>
        </w:rPr>
      </w:pPr>
      <w:r w:rsidRPr="002515D3">
        <w:rPr>
          <w:rFonts w:ascii="Helvetica" w:eastAsia="Calibri" w:hAnsi="Helvetica" w:cs="Times New Roman"/>
          <w:iCs/>
          <w:sz w:val="23"/>
          <w:szCs w:val="23"/>
          <w:lang w:val="en-US"/>
        </w:rPr>
        <w:t>4. Encourage   Open   Government   Partnership   Commitments   to   include   national and subnational actions to advance an equitable right of access to information for all women</w:t>
      </w:r>
    </w:p>
    <w:p w14:paraId="1B54B2AA" w14:textId="1B56E8D8" w:rsidR="00113341" w:rsidRDefault="00113341" w:rsidP="00113341">
      <w:pPr>
        <w:spacing w:after="0" w:line="240" w:lineRule="auto"/>
        <w:jc w:val="both"/>
        <w:rPr>
          <w:rFonts w:ascii="Helvetica" w:eastAsia="Calibri" w:hAnsi="Helvetica" w:cs="Times New Roman"/>
          <w:iCs/>
          <w:sz w:val="23"/>
          <w:szCs w:val="23"/>
          <w:lang w:val="en-US"/>
        </w:rPr>
      </w:pPr>
    </w:p>
    <w:p w14:paraId="702F6C13" w14:textId="66520B49" w:rsidR="00113341" w:rsidRDefault="00113341" w:rsidP="00113341">
      <w:pPr>
        <w:spacing w:after="0" w:line="240" w:lineRule="auto"/>
        <w:jc w:val="both"/>
        <w:rPr>
          <w:rFonts w:ascii="Helvetica" w:eastAsia="Calibri" w:hAnsi="Helvetica" w:cs="Times New Roman"/>
          <w:iCs/>
          <w:sz w:val="23"/>
          <w:szCs w:val="23"/>
          <w:lang w:val="en-US"/>
        </w:rPr>
      </w:pPr>
    </w:p>
    <w:p w14:paraId="7487EF6B" w14:textId="1DF8DE66" w:rsidR="00113341" w:rsidRDefault="00113341" w:rsidP="00113341">
      <w:pPr>
        <w:spacing w:after="0" w:line="240" w:lineRule="auto"/>
        <w:jc w:val="both"/>
        <w:rPr>
          <w:rFonts w:ascii="Helvetica" w:eastAsia="Calibri" w:hAnsi="Helvetica" w:cs="Times New Roman"/>
          <w:iCs/>
          <w:sz w:val="23"/>
          <w:szCs w:val="23"/>
          <w:lang w:val="en-US"/>
        </w:rPr>
      </w:pPr>
    </w:p>
    <w:p w14:paraId="6F78B2B6" w14:textId="77777777" w:rsidR="00113341" w:rsidRPr="00113341" w:rsidRDefault="00113341" w:rsidP="00113341">
      <w:pPr>
        <w:spacing w:after="0" w:line="240" w:lineRule="auto"/>
        <w:jc w:val="both"/>
        <w:rPr>
          <w:rFonts w:ascii="Helvetica" w:eastAsia="Calibri" w:hAnsi="Helvetica" w:cs="Times New Roman"/>
          <w:iCs/>
          <w:sz w:val="23"/>
          <w:szCs w:val="23"/>
          <w:lang w:val="en-US"/>
        </w:rPr>
      </w:pPr>
    </w:p>
    <w:sectPr w:rsidR="00113341" w:rsidRPr="00113341" w:rsidSect="002F2875">
      <w:headerReference w:type="even" r:id="rId10"/>
      <w:footerReference w:type="even" r:id="rId11"/>
      <w:footerReference w:type="default" r:id="rId12"/>
      <w:pgSz w:w="11900" w:h="16840"/>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07DA" w14:textId="77777777" w:rsidR="009B3529" w:rsidRDefault="009B3529">
      <w:pPr>
        <w:spacing w:after="0" w:line="240" w:lineRule="auto"/>
      </w:pPr>
      <w:r>
        <w:separator/>
      </w:r>
    </w:p>
  </w:endnote>
  <w:endnote w:type="continuationSeparator" w:id="0">
    <w:p w14:paraId="31D8EB4F" w14:textId="77777777" w:rsidR="009B3529" w:rsidRDefault="009B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001513"/>
      <w:docPartObj>
        <w:docPartGallery w:val="Page Numbers (Bottom of Page)"/>
        <w:docPartUnique/>
      </w:docPartObj>
    </w:sdtPr>
    <w:sdtContent>
      <w:p w14:paraId="4482A7DF" w14:textId="77777777"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EDEC4" w14:textId="77777777" w:rsidR="001445ED" w:rsidRDefault="00000000" w:rsidP="00144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760523"/>
      <w:docPartObj>
        <w:docPartGallery w:val="Page Numbers (Bottom of Page)"/>
        <w:docPartUnique/>
      </w:docPartObj>
    </w:sdtPr>
    <w:sdtContent>
      <w:p w14:paraId="4DF281F7" w14:textId="497FB73E"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17CB">
          <w:rPr>
            <w:rStyle w:val="PageNumber"/>
            <w:noProof/>
          </w:rPr>
          <w:t>4</w:t>
        </w:r>
        <w:r>
          <w:rPr>
            <w:rStyle w:val="PageNumber"/>
          </w:rPr>
          <w:fldChar w:fldCharType="end"/>
        </w:r>
      </w:p>
    </w:sdtContent>
  </w:sdt>
  <w:p w14:paraId="6B70CCA0" w14:textId="77777777" w:rsidR="001445ED" w:rsidRDefault="00000000" w:rsidP="001445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0DFF" w14:textId="77777777" w:rsidR="009B3529" w:rsidRDefault="009B3529">
      <w:pPr>
        <w:spacing w:after="0" w:line="240" w:lineRule="auto"/>
      </w:pPr>
      <w:r>
        <w:separator/>
      </w:r>
    </w:p>
  </w:footnote>
  <w:footnote w:type="continuationSeparator" w:id="0">
    <w:p w14:paraId="44CB9404" w14:textId="77777777" w:rsidR="009B3529" w:rsidRDefault="009B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A71" w14:textId="77777777" w:rsidR="001445ED" w:rsidRDefault="007D2EC5">
    <w:pPr>
      <w:pStyle w:val="Header"/>
    </w:pPr>
    <w:r>
      <w:rPr>
        <w:noProof/>
        <w:lang w:eastAsia="en-GB"/>
      </w:rPr>
      <mc:AlternateContent>
        <mc:Choice Requires="wps">
          <w:drawing>
            <wp:anchor distT="0" distB="0" distL="114300" distR="114300" simplePos="0" relativeHeight="251660288" behindDoc="1" locked="0" layoutInCell="0" allowOverlap="1" wp14:anchorId="2A8932D3" wp14:editId="6C6F9D18">
              <wp:simplePos x="0" y="0"/>
              <wp:positionH relativeFrom="margin">
                <wp:align>center</wp:align>
              </wp:positionH>
              <wp:positionV relativeFrom="margin">
                <wp:align>center</wp:align>
              </wp:positionV>
              <wp:extent cx="6056630" cy="2018665"/>
              <wp:effectExtent l="0" t="0" r="1270" b="63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605663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932D3" id="_x0000_t202" coordsize="21600,21600" o:spt="202" path="m,l,21600r21600,l21600,xe">
              <v:stroke joinstyle="miter"/>
              <v:path gradientshapeok="t" o:connecttype="rect"/>
            </v:shapetype>
            <v:shape id="Text Box 4" o:spid="_x0000_s1026" type="#_x0000_t202" style="position:absolute;margin-left:0;margin-top:0;width:476.9pt;height:158.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" o:allowincell="f" filled="f" stroked="f">
              <v:stroke joinstyle="round"/>
              <o:lock v:ext="edit" aspectratio="t" verticies="t" shapetype="t"/>
              <v:textbo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DF0"/>
    <w:multiLevelType w:val="hybridMultilevel"/>
    <w:tmpl w:val="AF8C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5ED4"/>
    <w:multiLevelType w:val="hybridMultilevel"/>
    <w:tmpl w:val="06765158"/>
    <w:lvl w:ilvl="0" w:tplc="0809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13F60C9"/>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F7AC4"/>
    <w:multiLevelType w:val="hybridMultilevel"/>
    <w:tmpl w:val="8482D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50F0"/>
    <w:multiLevelType w:val="hybridMultilevel"/>
    <w:tmpl w:val="F0AC924A"/>
    <w:lvl w:ilvl="0" w:tplc="95489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B413D9"/>
    <w:multiLevelType w:val="hybridMultilevel"/>
    <w:tmpl w:val="24C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1889"/>
    <w:multiLevelType w:val="hybridMultilevel"/>
    <w:tmpl w:val="F9E6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A0B8D"/>
    <w:multiLevelType w:val="hybridMultilevel"/>
    <w:tmpl w:val="C4242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AC3331"/>
    <w:multiLevelType w:val="hybridMultilevel"/>
    <w:tmpl w:val="4F024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5F78F6"/>
    <w:multiLevelType w:val="hybridMultilevel"/>
    <w:tmpl w:val="F2F0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8618B"/>
    <w:multiLevelType w:val="hybridMultilevel"/>
    <w:tmpl w:val="BFE6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A4D4A"/>
    <w:multiLevelType w:val="hybridMultilevel"/>
    <w:tmpl w:val="CEE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46E17"/>
    <w:multiLevelType w:val="hybridMultilevel"/>
    <w:tmpl w:val="7C205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CB24E9"/>
    <w:multiLevelType w:val="hybridMultilevel"/>
    <w:tmpl w:val="7F566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2290179">
    <w:abstractNumId w:val="5"/>
  </w:num>
  <w:num w:numId="2" w16cid:durableId="737171141">
    <w:abstractNumId w:val="1"/>
  </w:num>
  <w:num w:numId="3" w16cid:durableId="304047246">
    <w:abstractNumId w:val="4"/>
  </w:num>
  <w:num w:numId="4" w16cid:durableId="1018047622">
    <w:abstractNumId w:val="12"/>
  </w:num>
  <w:num w:numId="5" w16cid:durableId="2143306662">
    <w:abstractNumId w:val="2"/>
  </w:num>
  <w:num w:numId="6" w16cid:durableId="441652350">
    <w:abstractNumId w:val="7"/>
  </w:num>
  <w:num w:numId="7" w16cid:durableId="682245755">
    <w:abstractNumId w:val="10"/>
  </w:num>
  <w:num w:numId="8" w16cid:durableId="34164837">
    <w:abstractNumId w:val="3"/>
  </w:num>
  <w:num w:numId="9" w16cid:durableId="2069256184">
    <w:abstractNumId w:val="8"/>
  </w:num>
  <w:num w:numId="10" w16cid:durableId="1851598044">
    <w:abstractNumId w:val="13"/>
  </w:num>
  <w:num w:numId="11" w16cid:durableId="2130969960">
    <w:abstractNumId w:val="14"/>
  </w:num>
  <w:num w:numId="12" w16cid:durableId="1359089516">
    <w:abstractNumId w:val="9"/>
  </w:num>
  <w:num w:numId="13" w16cid:durableId="720788483">
    <w:abstractNumId w:val="6"/>
  </w:num>
  <w:num w:numId="14" w16cid:durableId="1301152978">
    <w:abstractNumId w:val="11"/>
  </w:num>
  <w:num w:numId="15" w16cid:durableId="170042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21"/>
    <w:rsid w:val="000407AF"/>
    <w:rsid w:val="000770A4"/>
    <w:rsid w:val="000C2232"/>
    <w:rsid w:val="000E7821"/>
    <w:rsid w:val="00107994"/>
    <w:rsid w:val="00113341"/>
    <w:rsid w:val="001222A7"/>
    <w:rsid w:val="001C79AC"/>
    <w:rsid w:val="0020184E"/>
    <w:rsid w:val="00212C86"/>
    <w:rsid w:val="002515D3"/>
    <w:rsid w:val="00294F6A"/>
    <w:rsid w:val="002A3476"/>
    <w:rsid w:val="002C18DC"/>
    <w:rsid w:val="002E0ECD"/>
    <w:rsid w:val="002E3BD2"/>
    <w:rsid w:val="002F2875"/>
    <w:rsid w:val="003043AC"/>
    <w:rsid w:val="003224E8"/>
    <w:rsid w:val="0032768D"/>
    <w:rsid w:val="00330D8A"/>
    <w:rsid w:val="0036056D"/>
    <w:rsid w:val="003C6E04"/>
    <w:rsid w:val="003D7133"/>
    <w:rsid w:val="004027E5"/>
    <w:rsid w:val="00420E39"/>
    <w:rsid w:val="0042171D"/>
    <w:rsid w:val="0042499C"/>
    <w:rsid w:val="0042772C"/>
    <w:rsid w:val="00444C60"/>
    <w:rsid w:val="004478FF"/>
    <w:rsid w:val="004739FA"/>
    <w:rsid w:val="004A1353"/>
    <w:rsid w:val="004B079C"/>
    <w:rsid w:val="004D762E"/>
    <w:rsid w:val="004F61D0"/>
    <w:rsid w:val="005121EB"/>
    <w:rsid w:val="005632BD"/>
    <w:rsid w:val="0058311D"/>
    <w:rsid w:val="0058571D"/>
    <w:rsid w:val="005C0377"/>
    <w:rsid w:val="005D18F9"/>
    <w:rsid w:val="005E45C6"/>
    <w:rsid w:val="00613329"/>
    <w:rsid w:val="00624B10"/>
    <w:rsid w:val="006457A6"/>
    <w:rsid w:val="0065786F"/>
    <w:rsid w:val="006604D3"/>
    <w:rsid w:val="00661C0D"/>
    <w:rsid w:val="00670B55"/>
    <w:rsid w:val="006A3084"/>
    <w:rsid w:val="006B2E46"/>
    <w:rsid w:val="006B708C"/>
    <w:rsid w:val="00725F1D"/>
    <w:rsid w:val="00795849"/>
    <w:rsid w:val="007D2EC5"/>
    <w:rsid w:val="007D736A"/>
    <w:rsid w:val="00804131"/>
    <w:rsid w:val="0080434B"/>
    <w:rsid w:val="00821152"/>
    <w:rsid w:val="00833977"/>
    <w:rsid w:val="00850435"/>
    <w:rsid w:val="00893E9E"/>
    <w:rsid w:val="008C1F04"/>
    <w:rsid w:val="008C7611"/>
    <w:rsid w:val="008E4E05"/>
    <w:rsid w:val="00904FDB"/>
    <w:rsid w:val="00940212"/>
    <w:rsid w:val="00946102"/>
    <w:rsid w:val="009517CB"/>
    <w:rsid w:val="0099777A"/>
    <w:rsid w:val="009B3529"/>
    <w:rsid w:val="00A108D4"/>
    <w:rsid w:val="00A110D7"/>
    <w:rsid w:val="00A9272D"/>
    <w:rsid w:val="00AB632D"/>
    <w:rsid w:val="00AC7B94"/>
    <w:rsid w:val="00AD4DA9"/>
    <w:rsid w:val="00AF2319"/>
    <w:rsid w:val="00B12EBD"/>
    <w:rsid w:val="00B313EA"/>
    <w:rsid w:val="00B33D56"/>
    <w:rsid w:val="00B52F09"/>
    <w:rsid w:val="00BB553D"/>
    <w:rsid w:val="00BB67C4"/>
    <w:rsid w:val="00BD6063"/>
    <w:rsid w:val="00C23A9B"/>
    <w:rsid w:val="00CB739F"/>
    <w:rsid w:val="00CE0689"/>
    <w:rsid w:val="00CF2C9A"/>
    <w:rsid w:val="00CF63E3"/>
    <w:rsid w:val="00D40E83"/>
    <w:rsid w:val="00D57A7A"/>
    <w:rsid w:val="00D61122"/>
    <w:rsid w:val="00D747C7"/>
    <w:rsid w:val="00D87E12"/>
    <w:rsid w:val="00E14F66"/>
    <w:rsid w:val="00E32B8E"/>
    <w:rsid w:val="00E41A42"/>
    <w:rsid w:val="00E53112"/>
    <w:rsid w:val="00E6099D"/>
    <w:rsid w:val="00E6685B"/>
    <w:rsid w:val="00E66BD7"/>
    <w:rsid w:val="00F05209"/>
    <w:rsid w:val="00F15C2F"/>
    <w:rsid w:val="00F3170A"/>
    <w:rsid w:val="00F403B4"/>
    <w:rsid w:val="00F74B29"/>
    <w:rsid w:val="00F9138B"/>
    <w:rsid w:val="00FB6446"/>
    <w:rsid w:val="00FF69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5308"/>
  <w15:chartTrackingRefBased/>
  <w15:docId w15:val="{00BA075B-4785-45C2-A0E8-94628BE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21"/>
    <w:rPr>
      <w:rFonts w:ascii="Times New Roman" w:hAnsi="Times New Roman" w:cs="Times New Roman"/>
      <w:sz w:val="24"/>
      <w:szCs w:val="24"/>
    </w:rPr>
  </w:style>
  <w:style w:type="paragraph" w:styleId="Header">
    <w:name w:val="header"/>
    <w:basedOn w:val="Normal"/>
    <w:link w:val="HeaderChar"/>
    <w:uiPriority w:val="99"/>
    <w:unhideWhenUsed/>
    <w:rsid w:val="000E7821"/>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0E7821"/>
    <w:rPr>
      <w:sz w:val="24"/>
      <w:szCs w:val="24"/>
    </w:rPr>
  </w:style>
  <w:style w:type="paragraph" w:styleId="Footer">
    <w:name w:val="footer"/>
    <w:basedOn w:val="Normal"/>
    <w:link w:val="FooterChar"/>
    <w:uiPriority w:val="99"/>
    <w:unhideWhenUsed/>
    <w:rsid w:val="000E7821"/>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0E7821"/>
    <w:rPr>
      <w:sz w:val="24"/>
      <w:szCs w:val="24"/>
    </w:rPr>
  </w:style>
  <w:style w:type="character" w:styleId="PageNumber">
    <w:name w:val="page number"/>
    <w:basedOn w:val="DefaultParagraphFont"/>
    <w:uiPriority w:val="99"/>
    <w:semiHidden/>
    <w:unhideWhenUsed/>
    <w:rsid w:val="000E7821"/>
  </w:style>
  <w:style w:type="character" w:styleId="CommentReference">
    <w:name w:val="annotation reference"/>
    <w:basedOn w:val="DefaultParagraphFont"/>
    <w:uiPriority w:val="99"/>
    <w:unhideWhenUsed/>
    <w:rsid w:val="00FF6944"/>
    <w:rPr>
      <w:sz w:val="16"/>
      <w:szCs w:val="16"/>
    </w:rPr>
  </w:style>
  <w:style w:type="paragraph" w:styleId="CommentText">
    <w:name w:val="annotation text"/>
    <w:basedOn w:val="Normal"/>
    <w:link w:val="CommentTextChar"/>
    <w:uiPriority w:val="99"/>
    <w:unhideWhenUsed/>
    <w:rsid w:val="00FF6944"/>
    <w:pPr>
      <w:spacing w:line="240" w:lineRule="auto"/>
    </w:pPr>
    <w:rPr>
      <w:sz w:val="20"/>
      <w:szCs w:val="20"/>
    </w:rPr>
  </w:style>
  <w:style w:type="character" w:customStyle="1" w:styleId="CommentTextChar">
    <w:name w:val="Comment Text Char"/>
    <w:basedOn w:val="DefaultParagraphFont"/>
    <w:link w:val="CommentText"/>
    <w:uiPriority w:val="99"/>
    <w:rsid w:val="00FF6944"/>
    <w:rPr>
      <w:sz w:val="20"/>
      <w:szCs w:val="20"/>
    </w:rPr>
  </w:style>
  <w:style w:type="paragraph" w:styleId="CommentSubject">
    <w:name w:val="annotation subject"/>
    <w:basedOn w:val="CommentText"/>
    <w:next w:val="CommentText"/>
    <w:link w:val="CommentSubjectChar"/>
    <w:uiPriority w:val="99"/>
    <w:semiHidden/>
    <w:unhideWhenUsed/>
    <w:rsid w:val="00FF6944"/>
    <w:rPr>
      <w:b/>
      <w:bCs/>
    </w:rPr>
  </w:style>
  <w:style w:type="character" w:customStyle="1" w:styleId="CommentSubjectChar">
    <w:name w:val="Comment Subject Char"/>
    <w:basedOn w:val="CommentTextChar"/>
    <w:link w:val="CommentSubject"/>
    <w:uiPriority w:val="99"/>
    <w:semiHidden/>
    <w:rsid w:val="00FF6944"/>
    <w:rPr>
      <w:b/>
      <w:bCs/>
      <w:sz w:val="20"/>
      <w:szCs w:val="20"/>
    </w:rPr>
  </w:style>
  <w:style w:type="paragraph" w:styleId="BalloonText">
    <w:name w:val="Balloon Text"/>
    <w:basedOn w:val="Normal"/>
    <w:link w:val="BalloonTextChar"/>
    <w:uiPriority w:val="99"/>
    <w:semiHidden/>
    <w:unhideWhenUsed/>
    <w:rsid w:val="00FF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44"/>
    <w:rPr>
      <w:rFonts w:ascii="Segoe UI" w:hAnsi="Segoe UI" w:cs="Segoe UI"/>
      <w:sz w:val="18"/>
      <w:szCs w:val="18"/>
    </w:rPr>
  </w:style>
  <w:style w:type="paragraph" w:styleId="Revision">
    <w:name w:val="Revision"/>
    <w:hidden/>
    <w:uiPriority w:val="99"/>
    <w:semiHidden/>
    <w:rsid w:val="0032768D"/>
    <w:pPr>
      <w:spacing w:after="0" w:line="240" w:lineRule="auto"/>
    </w:pPr>
  </w:style>
  <w:style w:type="paragraph" w:styleId="ListParagraph">
    <w:name w:val="List Paragraph"/>
    <w:basedOn w:val="Normal"/>
    <w:uiPriority w:val="34"/>
    <w:qFormat/>
    <w:rsid w:val="00821152"/>
    <w:pPr>
      <w:ind w:left="720"/>
      <w:contextualSpacing/>
    </w:pPr>
  </w:style>
  <w:style w:type="paragraph" w:styleId="FootnoteText">
    <w:name w:val="footnote text"/>
    <w:aliases w:val="fn,single space Char Char,single space Char,Char,Nbpage Moens,single space,Fußnote,ft,(NECG) Footnote Text,Footnote Text Char Char Char Char Char,Footnote Text Char Char Char Char Char Char,(NECG) Footnote Text Char Char Char Char Char,f"/>
    <w:basedOn w:val="Normal"/>
    <w:link w:val="FootnoteTextChar"/>
    <w:unhideWhenUsed/>
    <w:qFormat/>
    <w:rsid w:val="002A3476"/>
    <w:pPr>
      <w:spacing w:after="0" w:line="240" w:lineRule="auto"/>
    </w:pPr>
    <w:rPr>
      <w:sz w:val="20"/>
      <w:szCs w:val="20"/>
    </w:rPr>
  </w:style>
  <w:style w:type="character" w:customStyle="1" w:styleId="FootnoteTextChar">
    <w:name w:val="Footnote Text Char"/>
    <w:aliases w:val="fn Char,single space Char Char Char,single space Char Char1,Char Char,Nbpage Moens Char,single space Char1,Fußnote Char,ft Char,(NECG) Footnote Text Char,Footnote Text Char Char Char Char Char Char1,f Char"/>
    <w:basedOn w:val="DefaultParagraphFont"/>
    <w:link w:val="FootnoteText"/>
    <w:rsid w:val="002A3476"/>
    <w:rPr>
      <w:sz w:val="20"/>
      <w:szCs w:val="20"/>
    </w:rPr>
  </w:style>
  <w:style w:type="character" w:styleId="FootnoteReference">
    <w:name w:val="footnote reference"/>
    <w:aliases w:val="ftref,16 Point,Superscript 6 Point,Footnote Reference Char Char Char,Carattere Char Carattere Carattere Char Carattere Char Carattere Char Char Char1 Char,Carattere Carattere Char Char Char Carattere Char,16 Poin,Carattere Char1,fr"/>
    <w:basedOn w:val="DefaultParagraphFont"/>
    <w:uiPriority w:val="99"/>
    <w:unhideWhenUsed/>
    <w:qFormat/>
    <w:rsid w:val="002A3476"/>
    <w:rPr>
      <w:vertAlign w:val="superscript"/>
    </w:rPr>
  </w:style>
  <w:style w:type="character" w:styleId="Hyperlink">
    <w:name w:val="Hyperlink"/>
    <w:basedOn w:val="DefaultParagraphFont"/>
    <w:uiPriority w:val="99"/>
    <w:unhideWhenUsed/>
    <w:rsid w:val="004027E5"/>
    <w:rPr>
      <w:color w:val="0563C1" w:themeColor="hyperlink"/>
      <w:u w:val="single"/>
    </w:rPr>
  </w:style>
  <w:style w:type="character" w:styleId="UnresolvedMention">
    <w:name w:val="Unresolved Mention"/>
    <w:basedOn w:val="DefaultParagraphFont"/>
    <w:uiPriority w:val="99"/>
    <w:semiHidden/>
    <w:unhideWhenUsed/>
    <w:rsid w:val="00E14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5074">
      <w:bodyDiv w:val="1"/>
      <w:marLeft w:val="0"/>
      <w:marRight w:val="0"/>
      <w:marTop w:val="0"/>
      <w:marBottom w:val="0"/>
      <w:divBdr>
        <w:top w:val="none" w:sz="0" w:space="0" w:color="auto"/>
        <w:left w:val="none" w:sz="0" w:space="0" w:color="auto"/>
        <w:bottom w:val="none" w:sz="0" w:space="0" w:color="auto"/>
        <w:right w:val="none" w:sz="0" w:space="0" w:color="auto"/>
      </w:divBdr>
      <w:divsChild>
        <w:div w:id="1566984673">
          <w:marLeft w:val="0"/>
          <w:marRight w:val="0"/>
          <w:marTop w:val="15"/>
          <w:marBottom w:val="0"/>
          <w:divBdr>
            <w:top w:val="single" w:sz="48" w:space="0" w:color="auto"/>
            <w:left w:val="single" w:sz="48" w:space="0" w:color="auto"/>
            <w:bottom w:val="single" w:sz="48" w:space="0" w:color="auto"/>
            <w:right w:val="single" w:sz="48" w:space="0" w:color="auto"/>
          </w:divBdr>
          <w:divsChild>
            <w:div w:id="16034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esdoc.unesco.org/ark:/48223/pf00003816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0164-716B-40D9-8C7E-75B1726A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1703</Words>
  <Characters>9709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Arditi</dc:creator>
  <cp:keywords/>
  <dc:description/>
  <cp:lastModifiedBy>Amoros Cascales, Fuensanta</cp:lastModifiedBy>
  <cp:revision>7</cp:revision>
  <dcterms:created xsi:type="dcterms:W3CDTF">2022-11-04T14:28:00Z</dcterms:created>
  <dcterms:modified xsi:type="dcterms:W3CDTF">2022-11-04T14:36:00Z</dcterms:modified>
</cp:coreProperties>
</file>