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59" w:rsidRPr="00A63860" w:rsidRDefault="00874659" w:rsidP="00874659">
      <w:pPr>
        <w:spacing w:line="240" w:lineRule="auto"/>
        <w:rPr>
          <w:sz w:val="2"/>
        </w:rPr>
        <w:sectPr w:rsidR="00874659" w:rsidRPr="00A63860" w:rsidSect="0087465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bookmarkStart w:id="0" w:name="_GoBack"/>
      <w:bookmarkEnd w:id="0"/>
    </w:p>
    <w:p w:rsidR="00E30A53" w:rsidRPr="00E30A53" w:rsidRDefault="00E30A53" w:rsidP="00E30A53">
      <w:pPr>
        <w:pStyle w:val="H1"/>
        <w:spacing w:line="120" w:lineRule="exact"/>
        <w:ind w:right="1260"/>
        <w:rPr>
          <w:sz w:val="10"/>
        </w:rPr>
      </w:pPr>
    </w:p>
    <w:p w:rsidR="00E30A53" w:rsidRPr="00D57B86" w:rsidRDefault="00E30A53" w:rsidP="00E30A53">
      <w:pPr>
        <w:pStyle w:val="H1"/>
        <w:ind w:right="1260"/>
      </w:pPr>
      <w:r w:rsidRPr="00D57B86">
        <w:t>Human Rights Council</w:t>
      </w:r>
    </w:p>
    <w:p w:rsidR="00E30A53" w:rsidRPr="00D57B86" w:rsidRDefault="00E30A53" w:rsidP="00E30A53">
      <w:pPr>
        <w:pStyle w:val="H23"/>
        <w:ind w:right="1260"/>
      </w:pPr>
      <w:r w:rsidRPr="00D57B86">
        <w:t>Twenty-second session</w:t>
      </w:r>
    </w:p>
    <w:p w:rsidR="00E30A53" w:rsidRPr="00D57B86" w:rsidRDefault="00E30A53" w:rsidP="00E30A5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D57B86">
        <w:t>Agenda item 6</w:t>
      </w:r>
    </w:p>
    <w:p w:rsidR="00E30A53" w:rsidRDefault="00E30A53" w:rsidP="00E30A53">
      <w:pPr>
        <w:pStyle w:val="H23"/>
        <w:ind w:right="1260"/>
      </w:pPr>
      <w:r w:rsidRPr="00D57B86">
        <w:t>Universal Periodic Review</w:t>
      </w:r>
    </w:p>
    <w:p w:rsidR="00E30A53" w:rsidRPr="00E30A53" w:rsidRDefault="00E30A53" w:rsidP="00E30A53">
      <w:pPr>
        <w:pStyle w:val="SingleTxt"/>
        <w:spacing w:after="0" w:line="120" w:lineRule="exact"/>
        <w:rPr>
          <w:sz w:val="10"/>
        </w:rPr>
      </w:pPr>
    </w:p>
    <w:p w:rsidR="00E30A53" w:rsidRPr="00E30A53" w:rsidRDefault="00E30A53" w:rsidP="00E30A53">
      <w:pPr>
        <w:pStyle w:val="SingleTxt"/>
        <w:spacing w:after="0" w:line="120" w:lineRule="exact"/>
        <w:rPr>
          <w:sz w:val="10"/>
        </w:rPr>
      </w:pPr>
    </w:p>
    <w:p w:rsidR="00E30A53" w:rsidRPr="00E30A53" w:rsidRDefault="00E30A53" w:rsidP="00E30A53">
      <w:pPr>
        <w:pStyle w:val="SingleTxt"/>
        <w:spacing w:after="0" w:line="120" w:lineRule="exact"/>
        <w:rPr>
          <w:sz w:val="10"/>
        </w:rPr>
      </w:pPr>
    </w:p>
    <w:p w:rsidR="00E30A53" w:rsidRDefault="00E30A53" w:rsidP="00E30A53">
      <w:pPr>
        <w:pStyle w:val="HCh"/>
        <w:ind w:left="1267" w:right="1260" w:hanging="1267"/>
      </w:pPr>
      <w:r w:rsidRPr="00D57B86">
        <w:tab/>
      </w:r>
      <w:r w:rsidRPr="00D57B86">
        <w:tab/>
        <w:t>Report of the Working Group on the Universal Periodic Review</w:t>
      </w:r>
      <w:r w:rsidRPr="00E30A53">
        <w:rPr>
          <w:b w:val="0"/>
          <w:spacing w:val="4"/>
          <w:sz w:val="20"/>
        </w:rPr>
        <w:footnoteReference w:customMarkFollows="1" w:id="1"/>
        <w:t>*</w:t>
      </w:r>
      <w:r w:rsidRPr="00E30A53">
        <w:rPr>
          <w:b w:val="0"/>
          <w:spacing w:val="4"/>
          <w:sz w:val="20"/>
        </w:rPr>
        <w:footnoteReference w:customMarkFollows="1" w:id="2"/>
        <w:t>*</w:t>
      </w:r>
    </w:p>
    <w:p w:rsidR="00E30A53" w:rsidRPr="00E30A53" w:rsidRDefault="00E30A53" w:rsidP="00E30A53">
      <w:pPr>
        <w:pStyle w:val="SingleTxt"/>
        <w:spacing w:after="0" w:line="120" w:lineRule="exact"/>
        <w:rPr>
          <w:sz w:val="10"/>
        </w:rPr>
      </w:pPr>
    </w:p>
    <w:p w:rsidR="00E30A53" w:rsidRPr="00E30A53" w:rsidRDefault="00E30A53" w:rsidP="00E30A53">
      <w:pPr>
        <w:pStyle w:val="SingleTxt"/>
        <w:spacing w:after="0" w:line="120" w:lineRule="exact"/>
        <w:rPr>
          <w:sz w:val="10"/>
        </w:rPr>
      </w:pPr>
    </w:p>
    <w:p w:rsidR="00E30A53" w:rsidRDefault="00E30A53" w:rsidP="00E30A53">
      <w:pPr>
        <w:pStyle w:val="HCh"/>
        <w:ind w:left="1267" w:right="1260" w:hanging="1267"/>
      </w:pPr>
      <w:r w:rsidRPr="00D57B86">
        <w:tab/>
      </w:r>
      <w:r w:rsidRPr="00D57B86">
        <w:tab/>
        <w:t>Argentina</w:t>
      </w:r>
    </w:p>
    <w:p w:rsidR="00E30A53" w:rsidRPr="00E30A53" w:rsidRDefault="00E30A53" w:rsidP="00E30A53">
      <w:pPr>
        <w:pStyle w:val="SingleTxt"/>
        <w:spacing w:after="0" w:line="120" w:lineRule="exact"/>
        <w:rPr>
          <w:sz w:val="10"/>
        </w:rPr>
      </w:pP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Addendum</w:t>
      </w:r>
    </w:p>
    <w:p w:rsidR="00E30A53" w:rsidRPr="00E30A53" w:rsidRDefault="00E30A53" w:rsidP="00E30A53">
      <w:pPr>
        <w:pStyle w:val="SingleTxt"/>
        <w:spacing w:after="0" w:line="120" w:lineRule="exact"/>
        <w:rPr>
          <w:sz w:val="10"/>
        </w:rPr>
      </w:pPr>
    </w:p>
    <w:p w:rsidR="00E30A53" w:rsidRPr="00E30A53" w:rsidRDefault="00E30A53" w:rsidP="00E30A53">
      <w:pPr>
        <w:pStyle w:val="SingleTxt"/>
        <w:spacing w:after="0" w:line="120" w:lineRule="exact"/>
        <w:rPr>
          <w:sz w:val="10"/>
        </w:rPr>
      </w:pPr>
    </w:p>
    <w:p w:rsidR="00E30A53" w:rsidRPr="00D57B86" w:rsidRDefault="00E30A53" w:rsidP="00E30A53">
      <w:pPr>
        <w:pStyle w:val="H1"/>
        <w:ind w:right="1260"/>
      </w:pPr>
      <w:r w:rsidRPr="00D57B86">
        <w:tab/>
      </w:r>
      <w:r w:rsidRPr="00D57B86">
        <w:tab/>
        <w:t>Views on conclusions and/or recommendations, voluntary commitments and replies presented by the State under review</w:t>
      </w:r>
    </w:p>
    <w:p w:rsidR="00E30A53" w:rsidRDefault="00E30A53">
      <w:pPr>
        <w:suppressAutoHyphens w:val="0"/>
        <w:spacing w:line="240" w:lineRule="auto"/>
      </w:pPr>
      <w:r>
        <w:br w:type="page"/>
      </w:r>
    </w:p>
    <w:p w:rsidR="00E30A53" w:rsidRPr="00D57B86" w:rsidRDefault="00E30A53" w:rsidP="00E30A53">
      <w:pPr>
        <w:pStyle w:val="SingleTxt"/>
      </w:pPr>
      <w:r w:rsidRPr="00D57B86">
        <w:lastRenderedPageBreak/>
        <w:t>1.</w:t>
      </w:r>
      <w:r w:rsidRPr="00D57B86">
        <w:tab/>
        <w:t>Argentina undertook its second universal periodic review in full awareness of the commitment and responsibility that define the mechanism as a tool for strengthening a State’s capacity to promote and protect human rights. It has therefore undertaken the preparations prior to the review, the review itself and the evaluation of the recommendations received with due diligence. This is reflected in the extensive consultations held with the relevant Government departments, which involved 14 State agencies.</w:t>
      </w:r>
    </w:p>
    <w:p w:rsidR="00E30A53" w:rsidRPr="00D57B86" w:rsidRDefault="00E30A53" w:rsidP="00E30A53">
      <w:pPr>
        <w:pStyle w:val="SingleTxt"/>
      </w:pPr>
      <w:r w:rsidRPr="00D57B86">
        <w:t>2.</w:t>
      </w:r>
      <w:r w:rsidRPr="00D57B86">
        <w:tab/>
        <w:t>Argentina thus presented the evolution and progress made in the promotion and protection of human rights since the first report it submitted in 2008, when th</w:t>
      </w:r>
      <w:r>
        <w:t>e mechanism was in its infancy.</w:t>
      </w:r>
    </w:p>
    <w:p w:rsidR="00E30A53" w:rsidRPr="00D57B86" w:rsidRDefault="00E30A53" w:rsidP="00E30A53">
      <w:pPr>
        <w:pStyle w:val="SingleTxt"/>
      </w:pPr>
      <w:r w:rsidRPr="00D57B86">
        <w:t>3.</w:t>
      </w:r>
      <w:r w:rsidRPr="00D57B86">
        <w:tab/>
        <w:t>The Argentine Government is aware that through this review and its principles of universality, integrity, impartiality, periodicity and non-discrimination, one of its main objectives will be furthered and achieved, namely: cooperation among States. This cooperation is facilitated by a mechanism set in motion by the States themselves, which, interacting on an equal footing, present to the world the human rights situation in their own territories in the understanding that this will contribute to a gradual improvement in the human</w:t>
      </w:r>
      <w:r>
        <w:t xml:space="preserve"> rights situation in the world.</w:t>
      </w:r>
    </w:p>
    <w:p w:rsidR="00E30A53" w:rsidRPr="00D57B86" w:rsidRDefault="00E30A53" w:rsidP="00E30A53">
      <w:pPr>
        <w:pStyle w:val="SingleTxt"/>
      </w:pPr>
      <w:r w:rsidRPr="00D57B86">
        <w:t>4.</w:t>
      </w:r>
      <w:r w:rsidRPr="00D57B86">
        <w:tab/>
        <w:t>Argentina therefore invites the international community to consider how effective this mechanism is at improving the human rights situation. That is how Argentina sees it, and that is why Argentina has given serious consideration to the 119 recommendations made during its review.</w:t>
      </w:r>
    </w:p>
    <w:p w:rsidR="00E30A53" w:rsidRDefault="00E30A53" w:rsidP="00E30A53">
      <w:pPr>
        <w:pStyle w:val="SingleTxt"/>
      </w:pPr>
      <w:r w:rsidRPr="00D57B86">
        <w:t>5.</w:t>
      </w:r>
      <w:r w:rsidRPr="00D57B86">
        <w:tab/>
        <w:t>Lastly, Argentina wishes to express its satisfaction at the number of recommendations that acknowledge the public policies that the Government is implementing and stresses its intention to enhance the human rights situation even further in the areas where improvement is necessary so as to address the concerns raised by the States in their</w:t>
      </w:r>
      <w:r>
        <w:t xml:space="preserve"> recommendations.</w:t>
      </w: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Recommendations on international obligations</w:t>
      </w:r>
    </w:p>
    <w:p w:rsidR="00E30A53" w:rsidRPr="00E30A53" w:rsidRDefault="00E30A53" w:rsidP="00E30A53">
      <w:pPr>
        <w:pStyle w:val="SingleTxt"/>
        <w:spacing w:after="0" w:line="120" w:lineRule="exact"/>
        <w:rPr>
          <w:sz w:val="10"/>
        </w:rPr>
      </w:pPr>
    </w:p>
    <w:p w:rsidR="00E30A53" w:rsidRDefault="00E30A53" w:rsidP="00E30A53">
      <w:pPr>
        <w:pStyle w:val="SingleTxt"/>
      </w:pPr>
      <w:r w:rsidRPr="00D57B86">
        <w:t>6.</w:t>
      </w:r>
      <w:r w:rsidRPr="00D57B86">
        <w:tab/>
        <w:t>Argentina accepts the following recommendations: 99.1, 99.2, 99.3, 99.4, 99.22 and 99.23.</w:t>
      </w: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Recommendations on children</w:t>
      </w:r>
    </w:p>
    <w:p w:rsidR="00E30A53" w:rsidRPr="00E30A53" w:rsidRDefault="00E30A53" w:rsidP="00E30A53">
      <w:pPr>
        <w:pStyle w:val="SingleTxt"/>
        <w:spacing w:after="0" w:line="120" w:lineRule="exact"/>
        <w:rPr>
          <w:sz w:val="10"/>
        </w:rPr>
      </w:pPr>
    </w:p>
    <w:p w:rsidR="00E30A53" w:rsidRPr="00D57B86" w:rsidRDefault="00E30A53" w:rsidP="00E30A53">
      <w:pPr>
        <w:pStyle w:val="SingleTxt"/>
      </w:pPr>
      <w:r w:rsidRPr="00D57B86">
        <w:t>7.</w:t>
      </w:r>
      <w:r w:rsidRPr="00D57B86">
        <w:tab/>
        <w:t>Argentina accepts recommendations 99.10, 99.20 and 99.67. It also accepts recommendation 99.8. However, 22 of the 24 provinces have already brought their legislation into line with the standards for comprehensive protection and the other two are in the process of doing so. Argentina similarly accepts recommendation 99.11, with the proviso, however, that an ombudsman on the rights of children and adolescents is being appointed and that under the Argentine Constitution, one of the duties of the National Ombudsman is to saf</w:t>
      </w:r>
      <w:r>
        <w:t>eguard the rights of the child.</w:t>
      </w:r>
    </w:p>
    <w:p w:rsidR="00E30A53" w:rsidRPr="00D57B86" w:rsidRDefault="00E30A53" w:rsidP="00E30A53">
      <w:pPr>
        <w:pStyle w:val="SingleTxt"/>
      </w:pPr>
      <w:r w:rsidRPr="00D57B86">
        <w:t>8.</w:t>
      </w:r>
      <w:r w:rsidRPr="00D57B86">
        <w:tab/>
        <w:t>Historically, Argentina has condemned the abuse and ill-treatment of children in particular. It already has a set of laws that specifically prohibit and combat violence against children and adolescents to guarantee the exercise of their rights. For that reason, it does not accept recommendation 99.66.</w:t>
      </w:r>
    </w:p>
    <w:p w:rsidR="00E30A53" w:rsidRPr="00D57B86" w:rsidRDefault="00E30A53" w:rsidP="00E30A53">
      <w:pPr>
        <w:pStyle w:val="SingleTxt"/>
      </w:pPr>
      <w:r w:rsidRPr="00D57B86">
        <w:t>9.</w:t>
      </w:r>
      <w:r w:rsidRPr="00D57B86">
        <w:tab/>
        <w:t>Argentina takes note of recommendations 99.74 and 99.75. However, both registrations of births and the first national identity card are a</w:t>
      </w:r>
      <w:r>
        <w:t>vailable free of charge to all.</w:t>
      </w:r>
    </w:p>
    <w:p w:rsidR="00E30A53" w:rsidRDefault="00E30A53" w:rsidP="00F002C9">
      <w:pPr>
        <w:pStyle w:val="SingleTxt"/>
      </w:pPr>
      <w:r w:rsidRPr="00D57B86">
        <w:t>10.</w:t>
      </w:r>
      <w:r w:rsidRPr="00D57B86">
        <w:tab/>
        <w:t xml:space="preserve">In Argentina, all persons are eligible to benefit from the “universal child allowance” social protection scheme, which has so far provided coverage for over 3.2 million children and adolescents. No group is excluded because the scheme is universal in scope. Since receipt of the child allowance is subject to compliance with </w:t>
      </w:r>
      <w:r w:rsidRPr="00D57B86">
        <w:lastRenderedPageBreak/>
        <w:t>certain requirements regarding health checks and school attendance, the scheme ensures that the rights to health and education are implemented. There are no provisions restricting access of children of persons deprived of their liberty to the scheme.</w:t>
      </w:r>
      <w:r w:rsidR="00F002C9">
        <w:rPr>
          <w:rStyle w:val="EndnoteReference"/>
        </w:rPr>
        <w:endnoteReference w:id="1"/>
      </w:r>
      <w:r w:rsidRPr="00D57B86">
        <w:t xml:space="preserve"> For that reason, Argentina does </w:t>
      </w:r>
      <w:r w:rsidR="001C5382">
        <w:t xml:space="preserve">not </w:t>
      </w:r>
      <w:r>
        <w:t>accept recommendation 99.87.</w:t>
      </w: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Recommendations on vulnerable groups</w:t>
      </w:r>
    </w:p>
    <w:p w:rsidR="00E30A53" w:rsidRPr="00E30A53" w:rsidRDefault="00E30A53" w:rsidP="00E30A53">
      <w:pPr>
        <w:pStyle w:val="SingleTxt"/>
        <w:spacing w:after="0" w:line="120" w:lineRule="exact"/>
        <w:rPr>
          <w:sz w:val="10"/>
        </w:rPr>
      </w:pPr>
    </w:p>
    <w:p w:rsidR="00E30A53" w:rsidRDefault="00E30A53" w:rsidP="00E30A53">
      <w:pPr>
        <w:pStyle w:val="SingleTxt"/>
      </w:pPr>
      <w:r w:rsidRPr="00D57B86">
        <w:t>11.</w:t>
      </w:r>
      <w:r w:rsidRPr="00D57B86">
        <w:tab/>
        <w:t>Argentina accepts recommendations 99.18 and 99.19. Argentina’s efforts are constantly guided by the premise that the effective promotion and protection of human rights, especially those of vulnerable groups, is attained by establishing a larger and better State presence in the different regions of the country and by making the State visible and accessible to all persons and to vulnerable groups in particular. To this end social policies have been reworked under different strategic approaches that have translated into public-sector initiatives, such as the universal child allowance, that aim to protect vulnerable sectors.</w:t>
      </w: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Recommendations on gender issues</w:t>
      </w:r>
    </w:p>
    <w:p w:rsidR="00E30A53" w:rsidRPr="00E30A53" w:rsidRDefault="00E30A53" w:rsidP="00E30A53">
      <w:pPr>
        <w:pStyle w:val="SingleTxt"/>
        <w:spacing w:after="0" w:line="120" w:lineRule="exact"/>
        <w:rPr>
          <w:sz w:val="10"/>
        </w:rPr>
      </w:pPr>
    </w:p>
    <w:p w:rsidR="00E30A53" w:rsidRPr="00D57B86" w:rsidRDefault="00E30A53" w:rsidP="00F002C9">
      <w:pPr>
        <w:pStyle w:val="SingleTxt"/>
      </w:pPr>
      <w:r w:rsidRPr="00D57B86">
        <w:t>12.</w:t>
      </w:r>
      <w:r w:rsidRPr="00D57B86">
        <w:tab/>
        <w:t>Recommendation 99.6 is accepted and considered implemented. Act No. 26.791 amended article 80 of the Criminal Code, which defines and describes the circumstances that aggravate homicide. Under the new provision, whoever kills a woman in an act of gender-based violence will receive the maximum penalty, namely life imprisonment.</w:t>
      </w:r>
      <w:r w:rsidR="00F002C9">
        <w:rPr>
          <w:rStyle w:val="EndnoteReference"/>
        </w:rPr>
        <w:endnoteReference w:id="2"/>
      </w:r>
    </w:p>
    <w:p w:rsidR="00E30A53" w:rsidRDefault="00E30A53" w:rsidP="00D20AC9">
      <w:pPr>
        <w:pStyle w:val="SingleTxt"/>
      </w:pPr>
      <w:r w:rsidRPr="00D57B86">
        <w:t>13.</w:t>
      </w:r>
      <w:r w:rsidRPr="00D57B86">
        <w:tab/>
        <w:t>Argentina accepts recommendations 99.7, 99.24, 99.25, 99.26, 99.47, 99.48, 99.49, 99.51, 99.55, 99.57 and 99.88, inasmuch as they are being implemented.</w:t>
      </w:r>
      <w:r w:rsidR="00F002C9">
        <w:rPr>
          <w:rStyle w:val="EndnoteReference"/>
        </w:rPr>
        <w:endnoteReference w:id="3"/>
      </w: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Recommendations on domestic violence</w:t>
      </w:r>
    </w:p>
    <w:p w:rsidR="00E30A53" w:rsidRPr="00E30A53" w:rsidRDefault="00E30A53" w:rsidP="00E30A53">
      <w:pPr>
        <w:pStyle w:val="SingleTxt"/>
        <w:spacing w:after="0" w:line="120" w:lineRule="exact"/>
        <w:rPr>
          <w:sz w:val="10"/>
        </w:rPr>
      </w:pPr>
    </w:p>
    <w:p w:rsidR="00E30A53" w:rsidRPr="00D57B86" w:rsidRDefault="00E30A53" w:rsidP="00080952">
      <w:pPr>
        <w:pStyle w:val="SingleTxt"/>
      </w:pPr>
      <w:r w:rsidRPr="00D57B86">
        <w:t>14.</w:t>
      </w:r>
      <w:r w:rsidRPr="00D57B86">
        <w:tab/>
        <w:t>Argentina accepts recommendations 99.46, 99.54, 99.56, 99.58, 99.59, 99.60 and 99.61, inasmuch as they are being implemented. It also considers it important to clarify that action is being taken to restore the rights of victims of domestic and sexual violence by strengthening inter-agency ties among the various branches of Government.</w:t>
      </w:r>
      <w:r w:rsidR="00247E86">
        <w:rPr>
          <w:rStyle w:val="EndnoteReference"/>
        </w:rPr>
        <w:endnoteReference w:id="4"/>
      </w:r>
    </w:p>
    <w:p w:rsidR="00E30A53" w:rsidRDefault="00E30A53" w:rsidP="00D20AC9">
      <w:pPr>
        <w:pStyle w:val="SingleTxt"/>
      </w:pPr>
      <w:r w:rsidRPr="00D57B86">
        <w:t>15.</w:t>
      </w:r>
      <w:r w:rsidRPr="00D57B86">
        <w:tab/>
        <w:t>Recommendations 99.50, 99.52 and 99.53 are no longer relevant since the National Council of Women signed an agreement in 2012 with the National Statistics and Census Institute (INDEC) to design indicators agreed on by both agencies and set up a single registry of cases of violence against women. The Institute has reached an agreement with provincial authorities whereby they will send in the information in their records to build up</w:t>
      </w:r>
      <w:r w:rsidR="00D20AC9">
        <w:t xml:space="preserve"> the country’s statistical data.</w:t>
      </w:r>
      <w:r w:rsidR="00D059D9">
        <w:rPr>
          <w:rStyle w:val="EndnoteReference"/>
        </w:rPr>
        <w:endnoteReference w:id="5"/>
      </w:r>
      <w:r w:rsidRPr="00D57B86">
        <w:t xml:space="preserve"> The establishment of this national information system on violence against women will help the Government design more effective public policies to prevent and eradicate the problem.</w:t>
      </w:r>
    </w:p>
    <w:p w:rsidR="00E30A53" w:rsidRPr="00E30A53" w:rsidRDefault="00E30A53" w:rsidP="00E30A53">
      <w:pPr>
        <w:pStyle w:val="SingleTxt"/>
        <w:spacing w:after="0" w:line="120" w:lineRule="exact"/>
        <w:rPr>
          <w:sz w:val="10"/>
        </w:rPr>
      </w:pPr>
    </w:p>
    <w:p w:rsidR="00E30A53" w:rsidRDefault="00E30A53" w:rsidP="00E30A53">
      <w:pPr>
        <w:pStyle w:val="H23"/>
        <w:ind w:right="1260"/>
      </w:pPr>
      <w:r w:rsidRPr="00D57B86">
        <w:tab/>
      </w:r>
      <w:r w:rsidRPr="00D57B86">
        <w:tab/>
        <w:t>Recommendations on</w:t>
      </w:r>
      <w:r>
        <w:t xml:space="preserve"> sexual and reproductive rights</w:t>
      </w:r>
    </w:p>
    <w:p w:rsidR="00E30A53" w:rsidRPr="00E30A53" w:rsidRDefault="00E30A53" w:rsidP="00E30A53">
      <w:pPr>
        <w:pStyle w:val="SingleTxt"/>
        <w:spacing w:after="0" w:line="120" w:lineRule="exact"/>
        <w:rPr>
          <w:sz w:val="10"/>
        </w:rPr>
      </w:pPr>
    </w:p>
    <w:p w:rsidR="00E30A53" w:rsidRPr="00D57B86" w:rsidRDefault="00E30A53" w:rsidP="00E30A53">
      <w:pPr>
        <w:pStyle w:val="SingleTxt"/>
      </w:pPr>
      <w:r w:rsidRPr="00D57B86">
        <w:t>16.</w:t>
      </w:r>
      <w:r w:rsidRPr="00D57B86">
        <w:tab/>
        <w:t xml:space="preserve">Argentina accepts recommendations 99.89, 99.94 and 99.96 and affirms that they are being implemented through the programmes to guarantee women’s sexual and reproductive rights and to remove barriers that prevent indigenous and migrant women and women deprived of their liberty </w:t>
      </w:r>
      <w:r>
        <w:t>from accessing health services.</w:t>
      </w:r>
    </w:p>
    <w:p w:rsidR="00E30A53" w:rsidRPr="00D57B86" w:rsidRDefault="00E30A53" w:rsidP="00E30A53">
      <w:pPr>
        <w:pStyle w:val="SingleTxt"/>
      </w:pPr>
      <w:r w:rsidRPr="00D57B86">
        <w:t>17.</w:t>
      </w:r>
      <w:r w:rsidRPr="00D57B86">
        <w:tab/>
        <w:t>Argentina takes note of recommendations 99.90, 99.91, 99.92 and 99.93.</w:t>
      </w:r>
    </w:p>
    <w:p w:rsidR="00E30A53" w:rsidRPr="00D57B86" w:rsidRDefault="00E30A53" w:rsidP="00D20AC9">
      <w:pPr>
        <w:pStyle w:val="SingleTxt"/>
      </w:pPr>
      <w:r w:rsidRPr="00D57B86">
        <w:t>18.</w:t>
      </w:r>
      <w:r w:rsidRPr="00D57B86">
        <w:tab/>
        <w:t>Argentina takes note of recommendation 99.95 and stresses that the “Technical Guidelines for Attending Non-Punishable Abortions” (2007) were updated and disseminated in the Provinces as part of the Ministry of Health’s National Programme on Sexual Health and Responsible Procreation. These guidelines acknowledge that, under article 86 of the Criminal Code, an abortion is non-punishable if the pregnancy is the result of rape and the sworn declaration of a woman to that effect is sufficient legal basis to deem the abortion non-punishable.</w:t>
      </w:r>
      <w:r w:rsidR="00472C3B">
        <w:rPr>
          <w:rStyle w:val="EndnoteReference"/>
        </w:rPr>
        <w:endnoteReference w:id="6"/>
      </w:r>
    </w:p>
    <w:p w:rsidR="00E30A53" w:rsidRPr="00D57B86" w:rsidRDefault="00E30A53" w:rsidP="00E30A53">
      <w:pPr>
        <w:pStyle w:val="SingleTxt"/>
      </w:pPr>
      <w:r w:rsidRPr="00D57B86">
        <w:t>19.</w:t>
      </w:r>
      <w:r w:rsidRPr="00D57B86">
        <w:tab/>
        <w:t xml:space="preserve">Argentina notes that since it is a federal State, it is up to each province to bring its legislation into line with the recommendations of the Ministry of Health by adopting the guidelines, either through a resolution issued by the provincial executive or through the enactment of </w:t>
      </w:r>
      <w:r w:rsidR="00D20AC9">
        <w:t>provincial laws to that effect.</w:t>
      </w:r>
    </w:p>
    <w:p w:rsidR="00E30A53" w:rsidRDefault="00E30A53" w:rsidP="00E30A53">
      <w:pPr>
        <w:pStyle w:val="SingleTxt"/>
      </w:pPr>
      <w:r w:rsidRPr="00D57B86">
        <w:t>20.</w:t>
      </w:r>
      <w:r w:rsidRPr="00D57B86">
        <w:tab/>
        <w:t>The Supreme Court of Argentina has asked the authorities to implement the hospital protocols for attending non-punishable abortions and asked judges to “desist from ruling on access to such interventions, since the decision to undergo them is to be left solely to the patient and her physician.”</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trafficking in persons</w:t>
      </w:r>
    </w:p>
    <w:p w:rsidR="00726E36" w:rsidRPr="00726E36" w:rsidRDefault="00726E36" w:rsidP="00726E36">
      <w:pPr>
        <w:pStyle w:val="SingleTxt"/>
        <w:spacing w:after="0" w:line="120" w:lineRule="exact"/>
        <w:rPr>
          <w:sz w:val="10"/>
        </w:rPr>
      </w:pPr>
    </w:p>
    <w:p w:rsidR="00E30A53" w:rsidRPr="00D57B86" w:rsidRDefault="00E30A53" w:rsidP="00E30A53">
      <w:pPr>
        <w:pStyle w:val="SingleTxt"/>
      </w:pPr>
      <w:r w:rsidRPr="00D57B86">
        <w:t>21.</w:t>
      </w:r>
      <w:r w:rsidRPr="00D57B86">
        <w:tab/>
        <w:t xml:space="preserve">Recommendation 99.62 is no longer relevant since on 19 December 2012 Act No. 26.842, which amended Act No. 26.364 (2008), was passed into law. This reform removed the list of criteria that needed to be met for an offence to be deemed to have been committed against adult victims, thus ruling out the possibility of “the victim’s consent” being considered an exonerating factor. It also increased the minimum penalty to 4 years’ imprisonment so that offenders could not receive an alternative punishment to imprisonment and established the legal bases for the creation of a federal council to combat the trafficking and exploitation of persons and protect </w:t>
      </w:r>
      <w:r w:rsidR="00726E36">
        <w:t>and assist the victims thereof.</w:t>
      </w:r>
    </w:p>
    <w:p w:rsidR="00E30A53" w:rsidRDefault="00E30A53" w:rsidP="00D20AC9">
      <w:pPr>
        <w:pStyle w:val="SingleTxt"/>
      </w:pPr>
      <w:r w:rsidRPr="00D57B86">
        <w:t>22.</w:t>
      </w:r>
      <w:r w:rsidRPr="00D57B86">
        <w:tab/>
        <w:t>Within the framework of its policies to prevent and combat trafficking in persons, Argentina accepts recommendations 99.63, 99.64 and 99.65.</w:t>
      </w:r>
      <w:r w:rsidR="00472C3B">
        <w:rPr>
          <w:rStyle w:val="EndnoteReference"/>
        </w:rPr>
        <w:endnoteReference w:id="7"/>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w:t>
      </w:r>
      <w:r w:rsidR="00726E36">
        <w:t>s on the eradication of poverty</w:t>
      </w:r>
    </w:p>
    <w:p w:rsidR="00726E36" w:rsidRPr="00726E36" w:rsidRDefault="00726E36" w:rsidP="00726E36">
      <w:pPr>
        <w:pStyle w:val="SingleTxt"/>
        <w:spacing w:after="0" w:line="120" w:lineRule="exact"/>
        <w:rPr>
          <w:sz w:val="10"/>
        </w:rPr>
      </w:pPr>
    </w:p>
    <w:p w:rsidR="00E30A53" w:rsidRDefault="00E30A53" w:rsidP="00E30A53">
      <w:pPr>
        <w:pStyle w:val="SingleTxt"/>
      </w:pPr>
      <w:r w:rsidRPr="00D57B86">
        <w:t>23.</w:t>
      </w:r>
      <w:r w:rsidRPr="00D57B86">
        <w:tab/>
        <w:t>The eradication of poverty is one of the pillars of the Argentine Government’s public policies, and it therefore accepts recommendations 99.85 and 99.86.</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the prevention of torture</w:t>
      </w:r>
    </w:p>
    <w:p w:rsidR="00726E36" w:rsidRPr="00726E36" w:rsidRDefault="00726E36" w:rsidP="00726E36">
      <w:pPr>
        <w:pStyle w:val="SingleTxt"/>
        <w:spacing w:after="0" w:line="120" w:lineRule="exact"/>
        <w:rPr>
          <w:sz w:val="10"/>
        </w:rPr>
      </w:pPr>
    </w:p>
    <w:p w:rsidR="00E30A53" w:rsidRPr="00D57B86" w:rsidRDefault="00E30A53" w:rsidP="00E30A53">
      <w:pPr>
        <w:pStyle w:val="SingleTxt"/>
      </w:pPr>
      <w:r w:rsidRPr="00D57B86">
        <w:t>24.</w:t>
      </w:r>
      <w:r w:rsidRPr="00D57B86">
        <w:tab/>
        <w:t>Argentina considers recommendations 99.12, 99.13, 99.14, 99.15 and 99.16 to have been implemented inasmuch as Act No. 26.827, which provided for the establishment of the national mechanism for the prevention of torture, was passed into law on 28 November 2012.</w:t>
      </w:r>
    </w:p>
    <w:p w:rsidR="00E30A53" w:rsidRDefault="00E30A53" w:rsidP="00E30A53">
      <w:pPr>
        <w:pStyle w:val="SingleTxt"/>
      </w:pPr>
      <w:r w:rsidRPr="00D57B86">
        <w:t>25.</w:t>
      </w:r>
      <w:r w:rsidRPr="00D57B86">
        <w:tab/>
        <w:t>Argentina takes note of recommendation 99.34, with the observation that various mechanisms for reporting acts of institutional violence are being established and coordinated and that personnel are being trained and safeguards are being put in place to guarantee the rights of persons deprived of their</w:t>
      </w:r>
      <w:r w:rsidR="00726E36">
        <w:t xml:space="preserve"> liberty.</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the prison system</w:t>
      </w:r>
    </w:p>
    <w:p w:rsidR="00726E36" w:rsidRPr="00726E36" w:rsidRDefault="00726E36" w:rsidP="00726E36">
      <w:pPr>
        <w:pStyle w:val="SingleTxt"/>
        <w:spacing w:after="0" w:line="120" w:lineRule="exact"/>
        <w:rPr>
          <w:sz w:val="10"/>
        </w:rPr>
      </w:pPr>
    </w:p>
    <w:p w:rsidR="00726E36" w:rsidRDefault="00E30A53" w:rsidP="00726E36">
      <w:pPr>
        <w:pStyle w:val="SingleTxt"/>
      </w:pPr>
      <w:r w:rsidRPr="00D57B86">
        <w:t>26.</w:t>
      </w:r>
      <w:r w:rsidRPr="00D57B86">
        <w:tab/>
        <w:t>Argentina considers that recommendations 99.35, 99.36, 99.37, 99.38, 99.39, 99.40, 99.41, 99.42, 99.43, 99.44 and 99.45 are being implemented through the multiple strategies that are being orchestrated by the pertinent agenc</w:t>
      </w:r>
      <w:r w:rsidR="00726E36">
        <w:t>ies and therefore accepts them.</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education</w:t>
      </w:r>
    </w:p>
    <w:p w:rsidR="00726E36" w:rsidRPr="00726E36" w:rsidRDefault="00726E36" w:rsidP="00726E36">
      <w:pPr>
        <w:pStyle w:val="SingleTxt"/>
        <w:spacing w:after="0" w:line="120" w:lineRule="exact"/>
        <w:rPr>
          <w:sz w:val="10"/>
        </w:rPr>
      </w:pPr>
    </w:p>
    <w:p w:rsidR="00E30A53" w:rsidRDefault="00E30A53" w:rsidP="00726E36">
      <w:pPr>
        <w:pStyle w:val="SingleTxt"/>
      </w:pPr>
      <w:r w:rsidRPr="00D57B86">
        <w:t>27.</w:t>
      </w:r>
      <w:r w:rsidRPr="00D57B86">
        <w:tab/>
        <w:t xml:space="preserve">Argentina accepts recommendations 99.17 and 99.33, which, in its view, are already being implemented. With regard to recommendation 99.97, reference is made to the information provided regarding recommendation 99.87. The universal child allowance scheme, by making receipt of the allowance conditional on compliance with the mandatory health checks for children and attendance of a public school, has played an important role in ensuring effective access to health and education. This is evident in the steady and notable improvement in health and education indicators. Major achievements have been recorded in preventive health care, in the effort to lower school dropout rates and in income distribution, and the universal child allowance scheme has become an effective mechanism for transferring money to families so that they can access goods and services that contribute greatly to </w:t>
      </w:r>
      <w:r w:rsidR="00726E36">
        <w:t>the fulfilment of human rights.</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discrimination</w:t>
      </w:r>
    </w:p>
    <w:p w:rsidR="00726E36" w:rsidRPr="00726E36" w:rsidRDefault="00726E36" w:rsidP="00726E36">
      <w:pPr>
        <w:pStyle w:val="SingleTxt"/>
        <w:spacing w:after="0" w:line="120" w:lineRule="exact"/>
        <w:rPr>
          <w:sz w:val="10"/>
        </w:rPr>
      </w:pPr>
    </w:p>
    <w:p w:rsidR="00E30A53" w:rsidRPr="00D57B86" w:rsidRDefault="00E30A53" w:rsidP="00E30A53">
      <w:pPr>
        <w:pStyle w:val="SingleTxt"/>
      </w:pPr>
      <w:r w:rsidRPr="00D57B86">
        <w:t>28.</w:t>
      </w:r>
      <w:r w:rsidRPr="00D57B86">
        <w:tab/>
        <w:t>Argentina is developing policies to combat all forms of discrimination and therefore accepts recommendations 99.21, 99.28, 99.29, 99.30, 99.31</w:t>
      </w:r>
      <w:r w:rsidR="00CE1C23">
        <w:t>,</w:t>
      </w:r>
      <w:r w:rsidRPr="00D57B86">
        <w:t xml:space="preserve"> 99.32, 99.76, 99.116 and 99.117. In 2010, the National Institute to Combat Discrimination, Xenophobia and Racism launched a programme entitled “Afrodescendants against Discrimination, Xenophobia and Racism”, which comprises actions to raise the profile and increase awareness of Afro-Argentine identity and culture. In addition, a question on African heritage was inserted in the National Population, Household and Housing Census, and the Institute conducted an awareness-raising campaign called “I am Afro-Argentine”, which included training courses for census takers and staff at the National Statistics and Census Institute, as w</w:t>
      </w:r>
      <w:r w:rsidR="00726E36">
        <w:t>ell as the population at large.</w:t>
      </w:r>
    </w:p>
    <w:p w:rsidR="00E30A53" w:rsidRDefault="00E30A53" w:rsidP="00D20AC9">
      <w:pPr>
        <w:pStyle w:val="SingleTxt"/>
      </w:pPr>
      <w:r w:rsidRPr="00D57B86">
        <w:t>29.</w:t>
      </w:r>
      <w:r w:rsidRPr="00D57B86">
        <w:tab/>
        <w:t>Argentina takes note of recommendation 99.27, stressing that discrimination in general, and racial discrimination in particular, are prohibited under Argentine law through Act No. 23.592, and that both are classified as civil offences. Both racial hatred and racial persecution are listed as aggravating circumstances if criminal offences are committed on those grounds. Participation in racist organizations and propaganda, as well as incitement to persecute or hate on racial grounds, are specifically penalized as criminal conduct (Act No. 23.592, art. 3).</w:t>
      </w:r>
      <w:r w:rsidR="00472C3B">
        <w:rPr>
          <w:rStyle w:val="EndnoteReference"/>
        </w:rPr>
        <w:endnoteReference w:id="8"/>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migration</w:t>
      </w:r>
    </w:p>
    <w:p w:rsidR="00726E36" w:rsidRPr="00726E36" w:rsidRDefault="00726E36" w:rsidP="00726E36">
      <w:pPr>
        <w:pStyle w:val="SingleTxt"/>
        <w:spacing w:after="0" w:line="120" w:lineRule="exact"/>
        <w:rPr>
          <w:sz w:val="10"/>
        </w:rPr>
      </w:pPr>
    </w:p>
    <w:p w:rsidR="00E30A53" w:rsidRDefault="00E30A53" w:rsidP="00E30A53">
      <w:pPr>
        <w:pStyle w:val="SingleTxt"/>
      </w:pPr>
      <w:r w:rsidRPr="00D57B86">
        <w:t>30.</w:t>
      </w:r>
      <w:r w:rsidRPr="00D57B86">
        <w:tab/>
        <w:t>Argentina accepts recommendations 99.113, 99.114 and 99.118, which, in its view, are being implemented. With regard to recommendation 99.115, Argentina takes note and refers to the information provided regarding recommendation 99.87.</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indigenous persons</w:t>
      </w:r>
    </w:p>
    <w:p w:rsidR="00726E36" w:rsidRPr="00726E36" w:rsidRDefault="00726E36" w:rsidP="00726E36">
      <w:pPr>
        <w:pStyle w:val="SingleTxt"/>
        <w:spacing w:after="0" w:line="120" w:lineRule="exact"/>
        <w:rPr>
          <w:sz w:val="10"/>
        </w:rPr>
      </w:pPr>
    </w:p>
    <w:p w:rsidR="00E30A53" w:rsidRPr="00D57B86" w:rsidRDefault="00E30A53" w:rsidP="00E30A53">
      <w:pPr>
        <w:pStyle w:val="SingleTxt"/>
      </w:pPr>
      <w:r w:rsidRPr="00D57B86">
        <w:t>31.</w:t>
      </w:r>
      <w:r w:rsidRPr="00D57B86">
        <w:tab/>
        <w:t xml:space="preserve">Argentina accepts recommendations 99.108 and 99.109 and states for the record that systematically continuing its efforts regarding the rights of indigenous peoples is both a concern and a matter of public policy for Argentina. That concern is reflected in the draft new Civil Code, which includes a special chapter on community property, legal status and collective rights in relation to </w:t>
      </w:r>
      <w:r w:rsidR="00726E36">
        <w:t>natural resources and habitats.</w:t>
      </w:r>
    </w:p>
    <w:p w:rsidR="00E30A53" w:rsidRDefault="00E30A53" w:rsidP="00E30A53">
      <w:pPr>
        <w:pStyle w:val="SingleTxt"/>
      </w:pPr>
      <w:r w:rsidRPr="00D57B86">
        <w:t>32.</w:t>
      </w:r>
      <w:r w:rsidRPr="00D57B86">
        <w:tab/>
        <w:t>Since the Government is implementing specific policies that encompass recommendations 99.110, 99.111 and 99.112, Argentina does not accept them. As far as the obligation to compensate is concerned, it should be noted that this obligation has no legal basis in the Consti</w:t>
      </w:r>
      <w:r w:rsidR="00726E36">
        <w:t>tution or national legislation.</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disabilities</w:t>
      </w:r>
    </w:p>
    <w:p w:rsidR="00726E36" w:rsidRPr="00726E36" w:rsidRDefault="00726E36" w:rsidP="00726E36">
      <w:pPr>
        <w:pStyle w:val="SingleTxt"/>
        <w:spacing w:after="0" w:line="120" w:lineRule="exact"/>
        <w:rPr>
          <w:sz w:val="10"/>
        </w:rPr>
      </w:pPr>
    </w:p>
    <w:p w:rsidR="00E30A53" w:rsidRDefault="00E30A53" w:rsidP="00E30A53">
      <w:pPr>
        <w:pStyle w:val="SingleTxt"/>
      </w:pPr>
      <w:r w:rsidRPr="00D57B86">
        <w:t>33.</w:t>
      </w:r>
      <w:r w:rsidRPr="00D57B86">
        <w:tab/>
        <w:t>To mainstream disability issues, Argentina has both general and specific laws on the subject, as well as programmes that promote and uphold the right of persons with disabilities to education, health and employment. Argentina accepts recommendations 99.98, 99.99, 99.100, 99.101, 99.102, 99.103, 99.104, 99.105, 99.106 and 99.107 since, in its view, they are being implemented.</w:t>
      </w:r>
    </w:p>
    <w:p w:rsidR="00726E36" w:rsidRPr="00726E36" w:rsidRDefault="00726E36" w:rsidP="00726E36">
      <w:pPr>
        <w:pStyle w:val="SingleTxt"/>
        <w:spacing w:after="0" w:line="120" w:lineRule="exact"/>
        <w:rPr>
          <w:sz w:val="10"/>
        </w:rPr>
      </w:pPr>
    </w:p>
    <w:p w:rsidR="00726E36" w:rsidRDefault="00E30A53" w:rsidP="00726E36">
      <w:pPr>
        <w:pStyle w:val="H23"/>
        <w:ind w:right="1260"/>
      </w:pPr>
      <w:r w:rsidRPr="00D57B86">
        <w:tab/>
      </w:r>
      <w:r w:rsidRPr="00D57B86">
        <w:tab/>
        <w:t>Recommendations on trials for crimes against hum</w:t>
      </w:r>
      <w:r w:rsidR="00726E36">
        <w:t>anity/truth, memory and justice</w:t>
      </w:r>
    </w:p>
    <w:p w:rsidR="00726E36" w:rsidRPr="00726E36" w:rsidRDefault="00726E36" w:rsidP="00726E36">
      <w:pPr>
        <w:pStyle w:val="SingleTxt"/>
        <w:keepNext/>
        <w:keepLines/>
        <w:spacing w:after="0" w:line="120" w:lineRule="exact"/>
        <w:rPr>
          <w:sz w:val="10"/>
        </w:rPr>
      </w:pPr>
    </w:p>
    <w:p w:rsidR="00E30A53" w:rsidRDefault="00E30A53" w:rsidP="00726E36">
      <w:pPr>
        <w:pStyle w:val="SingleTxt"/>
        <w:keepNext/>
        <w:keepLines/>
      </w:pPr>
      <w:r w:rsidRPr="00D57B86">
        <w:t>34.</w:t>
      </w:r>
      <w:r w:rsidRPr="00D57B86">
        <w:tab/>
        <w:t>Fulfilment of recommendations 99.71, 99.72 and 99.73 is in keeping with the human rights policy pursued by the Government since 2003, whose main objectives are to reconstruct the historical truth, bring those responsible for the crimes against humanity committed in Argentina to justice and preserve national memory. Argentina therefore</w:t>
      </w:r>
      <w:r w:rsidR="00726E36">
        <w:t xml:space="preserve"> accepts these recommendations.</w:t>
      </w:r>
    </w:p>
    <w:p w:rsidR="00726E36" w:rsidRPr="00726E36" w:rsidRDefault="00726E36" w:rsidP="00726E36">
      <w:pPr>
        <w:pStyle w:val="SingleTxt"/>
        <w:keepNext/>
        <w:keepLines/>
        <w:spacing w:after="0" w:line="120" w:lineRule="exact"/>
        <w:rPr>
          <w:sz w:val="10"/>
        </w:rPr>
      </w:pPr>
    </w:p>
    <w:p w:rsidR="00E30A53" w:rsidRDefault="00E30A53" w:rsidP="00726E36">
      <w:pPr>
        <w:pStyle w:val="H23"/>
        <w:ind w:right="1260"/>
      </w:pPr>
      <w:r w:rsidRPr="00D57B86">
        <w:tab/>
      </w:r>
      <w:r w:rsidRPr="00D57B86">
        <w:tab/>
        <w:t>Recommendations on legislation</w:t>
      </w:r>
    </w:p>
    <w:p w:rsidR="00726E36" w:rsidRPr="00726E36" w:rsidRDefault="00726E36" w:rsidP="00726E36">
      <w:pPr>
        <w:pStyle w:val="SingleTxt"/>
        <w:spacing w:after="0" w:line="120" w:lineRule="exact"/>
        <w:rPr>
          <w:sz w:val="10"/>
        </w:rPr>
      </w:pPr>
    </w:p>
    <w:p w:rsidR="00E30A53" w:rsidRDefault="00E30A53" w:rsidP="00E30A53">
      <w:pPr>
        <w:pStyle w:val="SingleTxt"/>
      </w:pPr>
      <w:r w:rsidRPr="00D57B86">
        <w:t>35.</w:t>
      </w:r>
      <w:r w:rsidRPr="00D57B86">
        <w:tab/>
        <w:t>Argentina accepts recommendations 99.5 and 99.9 inasmuch as they are being implemented.</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the administration of justice</w:t>
      </w:r>
    </w:p>
    <w:p w:rsidR="00726E36" w:rsidRPr="00726E36" w:rsidRDefault="00726E36" w:rsidP="00726E36">
      <w:pPr>
        <w:pStyle w:val="SingleTxt"/>
        <w:spacing w:after="0" w:line="120" w:lineRule="exact"/>
        <w:rPr>
          <w:sz w:val="10"/>
        </w:rPr>
      </w:pPr>
    </w:p>
    <w:p w:rsidR="00E30A53" w:rsidRDefault="00E30A53" w:rsidP="00E30A53">
      <w:pPr>
        <w:pStyle w:val="SingleTxt"/>
      </w:pPr>
      <w:r w:rsidRPr="00D57B86">
        <w:t>36.</w:t>
      </w:r>
      <w:r w:rsidRPr="00D57B86">
        <w:tab/>
        <w:t>Argentina accepts recommendations 99.68, 99.69 and 99.70 since, in its view, they are being implemented.</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Recommendations on freedom of expression</w:t>
      </w:r>
    </w:p>
    <w:p w:rsidR="00726E36" w:rsidRPr="00726E36" w:rsidRDefault="00726E36" w:rsidP="00726E36">
      <w:pPr>
        <w:pStyle w:val="SingleTxt"/>
        <w:spacing w:after="0" w:line="120" w:lineRule="exact"/>
        <w:rPr>
          <w:sz w:val="10"/>
        </w:rPr>
      </w:pPr>
    </w:p>
    <w:p w:rsidR="00E30A53" w:rsidRDefault="00E30A53" w:rsidP="00E30A53">
      <w:pPr>
        <w:pStyle w:val="SingleTxt"/>
      </w:pPr>
      <w:r w:rsidRPr="00D57B86">
        <w:t>37.</w:t>
      </w:r>
      <w:r w:rsidRPr="00D57B86">
        <w:tab/>
        <w:t>Freedom of expression is exercised without restriction in Argentina, and since any recommendation aimed at guaranteeing or defending a right that is already guaranteed cannot be accepted, recommendations 99.81, 99.82 and 99.84 are not accepted. With regard to recommendation 99.83, Argentina takes note and wishes to state that it is making every effort to ensure that the Act on Audiovisual Communication Services is fully implemented. Its full implementation is currently impeded by certain precautionary measures ordered by the courts, which favour certain power groups that oppose the de-monopolization proposed in the Act.</w:t>
      </w:r>
    </w:p>
    <w:p w:rsidR="00726E36" w:rsidRPr="00726E36" w:rsidRDefault="00726E36" w:rsidP="00726E36">
      <w:pPr>
        <w:pStyle w:val="SingleTxt"/>
        <w:spacing w:after="0" w:line="120" w:lineRule="exact"/>
        <w:rPr>
          <w:sz w:val="10"/>
        </w:rPr>
      </w:pPr>
    </w:p>
    <w:p w:rsidR="00E30A53" w:rsidRDefault="00E30A53" w:rsidP="00726E36">
      <w:pPr>
        <w:pStyle w:val="H23"/>
        <w:ind w:right="1260"/>
      </w:pPr>
      <w:r w:rsidRPr="00D57B86">
        <w:tab/>
      </w:r>
      <w:r w:rsidRPr="00D57B86">
        <w:tab/>
        <w:t>Recommend</w:t>
      </w:r>
      <w:r w:rsidR="00726E36">
        <w:t>ations on access to information</w:t>
      </w:r>
    </w:p>
    <w:p w:rsidR="00726E36" w:rsidRPr="00726E36" w:rsidRDefault="00726E36" w:rsidP="00726E36">
      <w:pPr>
        <w:pStyle w:val="SingleTxt"/>
        <w:spacing w:after="0" w:line="120" w:lineRule="exact"/>
        <w:rPr>
          <w:sz w:val="10"/>
        </w:rPr>
      </w:pPr>
    </w:p>
    <w:p w:rsidR="00472C3B" w:rsidRDefault="00E30A53" w:rsidP="00472C3B">
      <w:pPr>
        <w:pStyle w:val="SingleTxt"/>
      </w:pPr>
      <w:r w:rsidRPr="00D57B86">
        <w:t>38.</w:t>
      </w:r>
      <w:r w:rsidRPr="00D57B86">
        <w:tab/>
        <w:t>Argentina takes note of recommendations 99.77, 99.78, 99.79 and 99.80 and reports that bills on access to information are being discussed by Congress.</w:t>
      </w:r>
      <w:r w:rsidR="00472C3B">
        <w:rPr>
          <w:rStyle w:val="EndnoteReference"/>
        </w:rPr>
        <w:endnoteReference w:id="9"/>
      </w:r>
    </w:p>
    <w:p w:rsidR="00472C3B" w:rsidRPr="00472C3B" w:rsidRDefault="00472C3B" w:rsidP="00472C3B">
      <w:pPr>
        <w:pStyle w:val="SingleTxt"/>
        <w:spacing w:after="0" w:line="120" w:lineRule="exact"/>
        <w:rPr>
          <w:sz w:val="10"/>
        </w:rPr>
      </w:pPr>
    </w:p>
    <w:p w:rsidR="00E30A53" w:rsidRDefault="00E30A53" w:rsidP="00472C3B">
      <w:pPr>
        <w:pStyle w:val="H23"/>
        <w:ind w:right="1260"/>
      </w:pPr>
      <w:r w:rsidRPr="00D57B86">
        <w:tab/>
      </w:r>
      <w:r w:rsidRPr="00D57B86">
        <w:tab/>
        <w:t>Voluntary commitments</w:t>
      </w:r>
    </w:p>
    <w:p w:rsidR="00726E36" w:rsidRPr="00726E36" w:rsidRDefault="00726E36" w:rsidP="00726E36">
      <w:pPr>
        <w:pStyle w:val="SingleTxt"/>
        <w:spacing w:after="0" w:line="120" w:lineRule="exact"/>
        <w:rPr>
          <w:sz w:val="10"/>
        </w:rPr>
      </w:pPr>
    </w:p>
    <w:p w:rsidR="00E30A53" w:rsidRPr="00D57B86" w:rsidRDefault="00E30A53" w:rsidP="00E30A53">
      <w:pPr>
        <w:pStyle w:val="SingleTxt"/>
      </w:pPr>
      <w:r w:rsidRPr="00D57B86">
        <w:t>39.</w:t>
      </w:r>
      <w:r w:rsidRPr="00D57B86">
        <w:tab/>
        <w:t>Argentina undertakes to continue developing institutional mechanisms, with the participation of civil society, to comply with the decisions of regional and international human rights organizations, including by developing compliance charts that show the agencies in charge, the measures to be taken a</w:t>
      </w:r>
      <w:r w:rsidR="00726E36">
        <w:t>nd the corresponding deadlines.</w:t>
      </w:r>
    </w:p>
    <w:p w:rsidR="00E30A53" w:rsidRPr="00D57B86" w:rsidRDefault="00E30A53" w:rsidP="00E30A53">
      <w:pPr>
        <w:pStyle w:val="SingleTxt"/>
      </w:pPr>
      <w:r w:rsidRPr="00D57B86">
        <w:t>40.</w:t>
      </w:r>
      <w:r w:rsidRPr="00D57B86">
        <w:tab/>
        <w:t>Argentina undertakes to participate in an international campaign to promote the ratification of the Optional Protocol to the International Covenant on Econom</w:t>
      </w:r>
      <w:r w:rsidR="00726E36">
        <w:t>ic, Social and Cultural Rights.</w:t>
      </w:r>
    </w:p>
    <w:p w:rsidR="00E30A53" w:rsidRPr="00D57B86" w:rsidRDefault="00E30A53" w:rsidP="00E30A53">
      <w:pPr>
        <w:pStyle w:val="SingleTxt"/>
      </w:pPr>
      <w:r w:rsidRPr="00D57B86">
        <w:t>41.</w:t>
      </w:r>
      <w:r w:rsidRPr="00D57B86">
        <w:tab/>
        <w:t xml:space="preserve">Argentina reaffirms its commitment to continue working on bringing the United Nations Standard Minimum Rules for the Treatment of Prisoners into line with the norms of </w:t>
      </w:r>
      <w:r w:rsidR="00726E36">
        <w:t>international human rights law.</w:t>
      </w:r>
    </w:p>
    <w:p w:rsidR="00E30A53" w:rsidRPr="00D57B86" w:rsidRDefault="00E30A53" w:rsidP="00E30A53">
      <w:pPr>
        <w:pStyle w:val="SingleTxt"/>
      </w:pPr>
      <w:r w:rsidRPr="00D57B86">
        <w:t>42.</w:t>
      </w:r>
      <w:r w:rsidRPr="00D57B86">
        <w:tab/>
        <w:t xml:space="preserve">Argentina undertakes to promote initiatives in the Human Rights Council, among other forums, that seek to increase the protection afforded migrants and to spearhead discussions on the development and implementation of </w:t>
      </w:r>
      <w:r w:rsidR="00726E36">
        <w:t>public policies on the subject.</w:t>
      </w:r>
    </w:p>
    <w:p w:rsidR="00E30A53" w:rsidRPr="00D57B86" w:rsidRDefault="00E30A53" w:rsidP="00E30A53">
      <w:pPr>
        <w:pStyle w:val="SingleTxt"/>
      </w:pPr>
      <w:r w:rsidRPr="00D57B86">
        <w:t>43.</w:t>
      </w:r>
      <w:r w:rsidRPr="00D57B86">
        <w:tab/>
        <w:t>Argentina undertakes to continue promoting the reforms needed to guarantee the full implementation of the right to information by making all information from the public and private sectors public and av</w:t>
      </w:r>
      <w:r w:rsidR="00726E36">
        <w:t>ailable to citizens in general.</w:t>
      </w:r>
    </w:p>
    <w:p w:rsidR="00E30A53" w:rsidRPr="00D57B86" w:rsidRDefault="00E30A53" w:rsidP="00E30A53">
      <w:pPr>
        <w:pStyle w:val="SingleTxt"/>
      </w:pPr>
      <w:r w:rsidRPr="00D57B86">
        <w:t>44.</w:t>
      </w:r>
      <w:r w:rsidRPr="00D57B86">
        <w:tab/>
        <w:t xml:space="preserve">Argentina undertakes to continue working to strengthen the United Nations treaty bodies, focusing in particular on improving their accessibility for victims of human rights abuses and on expanding the channels of participation and the opportunities for interaction open </w:t>
      </w:r>
      <w:r w:rsidR="00726E36">
        <w:t>to civil society organizations.</w:t>
      </w:r>
    </w:p>
    <w:p w:rsidR="00E30A53" w:rsidRPr="00D57B86" w:rsidRDefault="00E30A53" w:rsidP="00E30A53">
      <w:pPr>
        <w:pStyle w:val="SingleTxt"/>
      </w:pPr>
      <w:r w:rsidRPr="00D57B86">
        <w:t>45.</w:t>
      </w:r>
      <w:r w:rsidRPr="00D57B86">
        <w:tab/>
        <w:t>Argentina undertakes to continue working to ensure the complementary nature of the work carried out by subregional, regional and international human rights protection mechanisms.</w:t>
      </w:r>
    </w:p>
    <w:p w:rsidR="00E30A53" w:rsidRDefault="00E30A53" w:rsidP="00726E36">
      <w:pPr>
        <w:pStyle w:val="SingleTxt"/>
      </w:pPr>
      <w:r w:rsidRPr="00D57B86">
        <w:t>46.</w:t>
      </w:r>
      <w:r w:rsidRPr="00D57B86">
        <w:tab/>
        <w:t>Argentina, as a federal State, undertakes to continue preparations for the establishment of a permanent body that will coordinate activities and foster dialogue to promote exchanges of information, experiences and good practices with and among the provinces in relation to the promotion and protection of human rights, as well as with the international mechanisms for the protection of universal, regional and subregional human rights.</w:t>
      </w:r>
    </w:p>
    <w:p w:rsidR="00D20AC9" w:rsidRPr="00D20AC9" w:rsidRDefault="00D20AC9" w:rsidP="00D20AC9">
      <w:pPr>
        <w:pStyle w:val="SingleTxt"/>
        <w:spacing w:after="0" w:line="120" w:lineRule="exact"/>
        <w:rPr>
          <w:sz w:val="10"/>
        </w:rPr>
      </w:pPr>
    </w:p>
    <w:p w:rsidR="00D20AC9" w:rsidRPr="00F002C9" w:rsidRDefault="00D20AC9" w:rsidP="00F002C9">
      <w:pPr>
        <w:pStyle w:val="EndnoteText"/>
        <w:tabs>
          <w:tab w:val="clear" w:pos="418"/>
          <w:tab w:val="right" w:pos="1354"/>
        </w:tabs>
        <w:spacing w:after="240"/>
        <w:ind w:left="0" w:firstLine="0"/>
        <w:rPr>
          <w:i/>
          <w:sz w:val="20"/>
        </w:rPr>
      </w:pPr>
      <w:r>
        <w:rPr>
          <w:i/>
          <w:sz w:val="20"/>
        </w:rPr>
        <w:tab/>
        <w:t>Notes</w:t>
      </w:r>
    </w:p>
    <w:sectPr w:rsidR="00D20AC9" w:rsidRPr="00F002C9" w:rsidSect="00874659">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06" w:rsidRPr="00F002C9" w:rsidRDefault="00BB2E06" w:rsidP="00F002C9">
      <w:pPr>
        <w:pStyle w:val="Footer"/>
      </w:pPr>
    </w:p>
  </w:endnote>
  <w:endnote w:type="continuationSeparator" w:id="0">
    <w:p w:rsidR="00BB2E06" w:rsidRPr="00F002C9" w:rsidRDefault="00BB2E06" w:rsidP="00F002C9">
      <w:pPr>
        <w:pStyle w:val="Footer"/>
      </w:pPr>
    </w:p>
  </w:endnote>
  <w:endnote w:id="1">
    <w:p w:rsidR="00F002C9" w:rsidRPr="0078272B" w:rsidRDefault="00F002C9" w:rsidP="00F002C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Asimismo, y respecto de la percepción de esta prestación, el decreto establece que “se abonará a uno solo de los padres, tutor, curador o pariente por consanguinidad hasta el tercer grado, por cada menor de DIECIOCHO (18) años que se encuentre a su cargo o sin límite de edad cuando se trate de un discapacitado” (Artículo 5º – Decreto 1602/2009).</w:t>
      </w:r>
    </w:p>
  </w:endnote>
  <w:endnote w:id="2">
    <w:p w:rsidR="00F002C9" w:rsidRPr="0078272B" w:rsidRDefault="00F002C9" w:rsidP="00D92D1E">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r>
      <w:r w:rsidR="00D92D1E" w:rsidRPr="0078272B">
        <w:rPr>
          <w:lang w:val="es-ES"/>
        </w:rPr>
        <w:t>El texto de la norma introduce este tipo de crimen como el perpetrado “por un hombre y mediare violencia de género” e incorpora como causales “placer, codicia, odio racial, religioso, de género o a la orientación sexual, identidad de género o su expresión” con el propósito de “causar sufrimiento a una persona con la que se mantiene o ha mantenido una relación”. Asimismo, se fija pena de reclusión perpetua o prisión perpetua al que mate “a su ascendiente, descendiente, cónyuge, ex cónyuge o a la persona con quien mantiene o ha mantenido una relación de pareja, mediare o no convivencia”.</w:t>
      </w:r>
    </w:p>
    <w:p w:rsidR="00F002C9" w:rsidRPr="0078272B" w:rsidRDefault="00F002C9"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70" w:right="1259" w:hanging="578"/>
        <w:rPr>
          <w:lang w:val="es-ES"/>
        </w:rPr>
      </w:pPr>
      <w:r w:rsidRPr="0078272B">
        <w:rPr>
          <w:lang w:val="es-ES"/>
        </w:rPr>
        <w:tab/>
      </w:r>
      <w:r w:rsidRPr="0078272B">
        <w:rPr>
          <w:lang w:val="es-ES"/>
        </w:rPr>
        <w:tab/>
        <w:t>Por último, la ley fija que “cuando mediaren circunstancias extraordinarias de atenuación, el juez podrá aplicar prisión o reclusión de ocho (8) a veinticinco (25) años”, pero aclara que “esto no será aplicable a quien anteriormente hubiera realizado actos de violencia contra la mujer víctima”.</w:t>
      </w:r>
    </w:p>
  </w:endnote>
  <w:endnote w:id="3">
    <w:p w:rsidR="00F002C9" w:rsidRPr="0078272B" w:rsidRDefault="00F002C9"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El Consejo Nacional de las Mujeres tiene como objetivo legitimar ante la sociedad la relevancia de la equidad de género para el fortalecimiento de la democracia, impulsando políticas públicas desde una perspectiva de género que contribuyan a la superación de las diversas formas de discriminación contra las mujeres, y promuevan las condiciones sociales adecuadas para garantizarles el ejercicio efectivo de sus derechos.</w:t>
      </w:r>
    </w:p>
    <w:p w:rsidR="00247E86" w:rsidRPr="0078272B" w:rsidRDefault="00247E86"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lang w:val="es-ES"/>
        </w:rPr>
      </w:pPr>
      <w:r w:rsidRPr="0078272B">
        <w:rPr>
          <w:lang w:val="es-ES"/>
        </w:rPr>
        <w:tab/>
      </w:r>
      <w:r w:rsidRPr="0078272B">
        <w:rPr>
          <w:lang w:val="es-ES"/>
        </w:rPr>
        <w:tab/>
        <w:t>En este marco, fue creado en Julio de 2009 el “Programa de Fortalecimiento Institucional de las Áreas Mujer Provinciales y Municipales y Organismos de las Sociedad Civil”, que tiene como meta contribuir al desarrollo de las políticas públicas de género que promuevan la igualdad entre mujeres y varones en todos los ámbitos de la sociedad. Las propuestas deberán estar encuadradas dentro de alguna/s de las siguientes líneas estratégicas que lleva adelante el Consejo Nacional de las Mujeres:</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a.</w:t>
      </w:r>
      <w:r w:rsidRPr="0078272B">
        <w:rPr>
          <w:lang w:val="es-ES"/>
        </w:rPr>
        <w:tab/>
        <w:t>Mujer y Trabajo.</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b.</w:t>
      </w:r>
      <w:r w:rsidRPr="0078272B">
        <w:rPr>
          <w:lang w:val="es-ES"/>
        </w:rPr>
        <w:tab/>
        <w:t>Violencia de Género.</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c.</w:t>
      </w:r>
      <w:r w:rsidRPr="0078272B">
        <w:rPr>
          <w:lang w:val="es-ES"/>
        </w:rPr>
        <w:tab/>
        <w:t>Derechos Humanos y Ciudadanía de las Mujeres.</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d.</w:t>
      </w:r>
      <w:r w:rsidRPr="0078272B">
        <w:rPr>
          <w:lang w:val="es-ES"/>
        </w:rPr>
        <w:tab/>
        <w:t>Comunicación y Difusión estratégica para el avance de los Derechos de las Mujeres.</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b/>
          <w:bCs/>
          <w:lang w:val="es-ES"/>
        </w:rPr>
      </w:pPr>
      <w:r w:rsidRPr="0078272B">
        <w:rPr>
          <w:lang w:val="es-ES"/>
        </w:rPr>
        <w:tab/>
      </w:r>
      <w:r w:rsidRPr="0078272B">
        <w:rPr>
          <w:b/>
          <w:bCs/>
          <w:lang w:val="es-ES"/>
        </w:rPr>
        <w:t>Articulación y Abordaje Territorial de la Violencia contra las Mujeres</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El Consejo Nacional de las Mujeres desarrolla talleres destinados a instalar el enfoque de equidad de género en los distintos organismos gubernamentales y no gubernamentales. Este enfoque contribuye al compromiso de trabajar para construir relaciones de equidad entre los géneros, tanto en el ámbito público como en el privado.</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Algunos de estos talleres son: Salud sexual y reproductiva; Parto humanizado; Nuevas masculinidades; Violencia de género; Perspectiva de género en políticas públicas dirigidos a agentes gubernamentales; Economía social y desarrollo local de las mujeres; Sensibilización sobre medios de comunicación y discriminación.</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b/>
          <w:bCs/>
          <w:lang w:val="es-ES"/>
        </w:rPr>
      </w:pPr>
      <w:r w:rsidRPr="0078272B">
        <w:rPr>
          <w:lang w:val="es-ES"/>
        </w:rPr>
        <w:tab/>
      </w:r>
      <w:r w:rsidRPr="0078272B">
        <w:rPr>
          <w:b/>
          <w:bCs/>
          <w:lang w:val="es-ES"/>
        </w:rPr>
        <w:t>Campañas contra la Violencia hacia las Mujeres</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Campaña contra la violencia hacia las mujeres: “260 hombres contra el machismo”. La prevención y erradicación de los distintos tipos y modalidades de violencia de las que son víctimas las mujeres, en tanto problemática basada en las asimetrías, los estereotipos y los roles de género, requiere de un cambio de paradigma cultural que otorgue equidad e igualdad a todas las personas sin distinción de su sexo.</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 xml:space="preserve">La campaña consiste en la firma de un documento en el que 259 hombres, liderados por un referente del ámbito de la política o la cultura, se comprometen a revisar su propio comportamiento machista. Como resultado de esta articulación, más de 7.800 hombres se manifestaron en contra de la violencia de género en el marco de la campaña de prevención. </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b/>
          <w:bCs/>
          <w:lang w:val="es-ES"/>
        </w:rPr>
      </w:pPr>
      <w:r w:rsidRPr="0078272B">
        <w:rPr>
          <w:lang w:val="es-ES"/>
        </w:rPr>
        <w:tab/>
      </w:r>
      <w:r w:rsidRPr="0078272B">
        <w:rPr>
          <w:b/>
          <w:bCs/>
          <w:lang w:val="es-ES"/>
        </w:rPr>
        <w:t>Campaña “Sacale tarjeta roja al maltratador”</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lang w:val="es-ES"/>
        </w:rPr>
      </w:pPr>
      <w:r w:rsidRPr="0078272B">
        <w:rPr>
          <w:lang w:val="es-ES"/>
        </w:rPr>
        <w:tab/>
        <w:t xml:space="preserve">Representantes gubernamentales, personalidades de la cultura y dirigentes sociales participaron del lanzamiento argentino de la campaña, cuyo objetivo es involucrar a toda la sociedad en la prevención y la denuncia de la violencia de género. Durante el año 2012, han participado de la campaña más de 10.000 personas. Enlace: </w:t>
      </w:r>
      <w:hyperlink r:id="rId1" w:history="1">
        <w:r w:rsidRPr="0078272B">
          <w:rPr>
            <w:rStyle w:val="Hyperlink"/>
            <w:u w:val="none"/>
            <w:lang w:val="es-ES"/>
          </w:rPr>
          <w:t>http://www.sacatarjetaroja.com.ar/</w:t>
        </w:r>
      </w:hyperlink>
      <w:r w:rsidRPr="0078272B">
        <w:rPr>
          <w:lang w:val="es-ES"/>
        </w:rPr>
        <w:t xml:space="preserve"> </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730" w:right="1259" w:hanging="607"/>
        <w:rPr>
          <w:b/>
          <w:bCs/>
          <w:lang w:val="es-ES"/>
        </w:rPr>
      </w:pPr>
      <w:r w:rsidRPr="0078272B">
        <w:rPr>
          <w:lang w:val="es-ES"/>
        </w:rPr>
        <w:tab/>
      </w:r>
      <w:r w:rsidRPr="0078272B">
        <w:rPr>
          <w:b/>
          <w:bCs/>
          <w:lang w:val="es-ES"/>
        </w:rPr>
        <w:t>Campaña Argentina por la Equidad de Género y Contra la Violencia</w:t>
      </w:r>
    </w:p>
    <w:p w:rsidR="00247E86" w:rsidRPr="0078272B" w:rsidRDefault="00247E86" w:rsidP="00247E86">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120"/>
        <w:ind w:left="1730" w:right="1259" w:hanging="607"/>
        <w:rPr>
          <w:lang w:val="es-ES"/>
        </w:rPr>
      </w:pPr>
      <w:r w:rsidRPr="0078272B">
        <w:rPr>
          <w:lang w:val="es-ES"/>
        </w:rPr>
        <w:tab/>
        <w:t xml:space="preserve">Se destaca por la fuerte articulación entre organizaciones de la sociedad civil, organismos internacionales y organismos gubernamentales. Es un proceso casi inédito a nivel nacional y se inserta en el marco de la relación entre el Estado, la sociedad civil y el ámbito educativo, con el objetivo de sensibilizar y trabajar comunitariamente esta problemática. La campaña incluye tres componentes claves, desarrollados de forma independiente y estrechamente relacionados entre sí: 3 micros de radio y 3 de televisión, una página Web y un concurso para la producción de cortos audiovisuales, micros radiales, historietas, textos literarios y afiches. Enlace: </w:t>
      </w:r>
      <w:hyperlink r:id="rId2" w:history="1">
        <w:r w:rsidRPr="0078272B">
          <w:rPr>
            <w:rStyle w:val="Hyperlink"/>
            <w:u w:val="none"/>
            <w:lang w:val="es-ES"/>
          </w:rPr>
          <w:t>http://www.vivirsinviolencia.gov.ar/</w:t>
        </w:r>
      </w:hyperlink>
    </w:p>
  </w:endnote>
  <w:endnote w:id="4">
    <w:p w:rsidR="00247E86" w:rsidRPr="0078272B" w:rsidRDefault="00247E86"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El Ministerio Público de la Defensa, a través de un convenio de cooperación con el Ministerio de Desarrollo Social y el Consejo Nacional de las Mujeres, brinda patrocinio jurídico y asistencia legal gratuita a víctimas de violencia de género. A partir del 15 de Octubre, se puso en marcha el Proyecto Piloto de Asistencia y Patrocinio Jurídico Gratuito a Víctimas de Violencia de Género, creado en el ámbito de la Comisión sobre Temáticas de Género de la Defensoría General de la Nación. El proyecto tiene como objetivo brindar asesoramiento legal y eventual patrocinio jurídico a víctimas de violencia de género, en aquellos casos que sean de competencia de la Justicia Nacional o Federal de la Ciudad Autónoma de Buenos Aires.</w:t>
      </w:r>
    </w:p>
    <w:p w:rsidR="00247E86" w:rsidRPr="0078272B" w:rsidRDefault="00247E86"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lang w:val="es-ES"/>
        </w:rPr>
      </w:pPr>
      <w:r w:rsidRPr="0078272B">
        <w:rPr>
          <w:lang w:val="es-ES"/>
        </w:rPr>
        <w:tab/>
      </w:r>
      <w:r w:rsidRPr="0078272B">
        <w:rPr>
          <w:lang w:val="es-ES"/>
        </w:rPr>
        <w:tab/>
        <w:t xml:space="preserve">En cuanto a servicios legales gratuitos para las mujeres víctimas de violencia, en el resto del país, se puede consultar la Guía de Recursos que el Consejo Nacional de las Mujeres ha recopilado: </w:t>
      </w:r>
      <w:hyperlink r:id="rId3" w:history="1">
        <w:r w:rsidRPr="0078272B">
          <w:rPr>
            <w:rStyle w:val="Hyperlink"/>
            <w:u w:val="none"/>
            <w:lang w:val="es-ES"/>
          </w:rPr>
          <w:t>http://www.cnm.gov.ar/GNR/GuiaNacionalRecursos.html</w:t>
        </w:r>
      </w:hyperlink>
    </w:p>
    <w:p w:rsidR="00247E86" w:rsidRPr="0078272B" w:rsidRDefault="00247E86"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b/>
          <w:bCs/>
          <w:lang w:val="es-ES"/>
        </w:rPr>
      </w:pPr>
      <w:r w:rsidRPr="0078272B">
        <w:rPr>
          <w:lang w:val="es-ES"/>
        </w:rPr>
        <w:tab/>
      </w:r>
      <w:r w:rsidRPr="0078272B">
        <w:rPr>
          <w:lang w:val="es-ES"/>
        </w:rPr>
        <w:tab/>
      </w:r>
      <w:r w:rsidRPr="0078272B">
        <w:rPr>
          <w:b/>
          <w:bCs/>
          <w:lang w:val="es-ES"/>
        </w:rPr>
        <w:t>Planificación y Construcción de Hogares de Protección Integral para Mujeres en situación de violencia – En articulación con el Ministerio de Desarrollo Social de la Nación</w:t>
      </w:r>
    </w:p>
    <w:p w:rsidR="00247E86" w:rsidRPr="0078272B" w:rsidRDefault="00247E86"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lang w:val="es-ES"/>
        </w:rPr>
      </w:pPr>
      <w:r w:rsidRPr="0078272B">
        <w:rPr>
          <w:lang w:val="es-ES"/>
        </w:rPr>
        <w:tab/>
      </w:r>
      <w:r w:rsidRPr="0078272B">
        <w:rPr>
          <w:lang w:val="es-ES"/>
        </w:rPr>
        <w:tab/>
        <w:t>El Estado Nacional asume el compromiso político de construir y reacondicionar los hogares integrales de protección para mujeres en situación de violencia, con las condiciones adecuadas de atención integral e interdisciplinaria, para dar respuesta a la demanda en esta línea. Estos espacios contarán con sala de admisión, consultorio, salón de usos múltiples, cocina, depósito, lavadero, guardería y espacios verdes. Las habitaciones, al estar pensadas para albergar al grupo familiar, estarán proyectadas en un tamaño de, aproximadamente, 30m</w:t>
      </w:r>
      <w:r w:rsidRPr="0078272B">
        <w:rPr>
          <w:vertAlign w:val="superscript"/>
          <w:lang w:val="es-ES"/>
        </w:rPr>
        <w:t>2</w:t>
      </w:r>
      <w:r w:rsidRPr="0078272B">
        <w:rPr>
          <w:lang w:val="es-ES"/>
        </w:rPr>
        <w:t xml:space="preserve"> con baño integrado.</w:t>
      </w:r>
    </w:p>
    <w:p w:rsidR="00247E86" w:rsidRPr="0078272B" w:rsidRDefault="00247E86" w:rsidP="00D059D9">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67" w:right="1260" w:hanging="576"/>
        <w:rPr>
          <w:lang w:val="es-ES"/>
        </w:rPr>
      </w:pPr>
      <w:r w:rsidRPr="0078272B">
        <w:rPr>
          <w:lang w:val="es-ES"/>
        </w:rPr>
        <w:tab/>
      </w:r>
      <w:r w:rsidRPr="0078272B">
        <w:rPr>
          <w:lang w:val="es-ES"/>
        </w:rPr>
        <w:tab/>
        <w:t>Por otro lado, el Programa las Victimas Contra las Violencias del Ministerio de Justicia y Derechos Humanos lleva a cabo las siguientes acciones tendientes a restituir los derechos de las víctimas de violencia familiar y sexual:</w:t>
      </w:r>
    </w:p>
    <w:p w:rsidR="00247E86" w:rsidRPr="0078272B" w:rsidRDefault="00247E86" w:rsidP="00D059D9">
      <w:pPr>
        <w:pStyle w:val="EndnoteText"/>
        <w:tabs>
          <w:tab w:val="clear" w:pos="418"/>
          <w:tab w:val="left" w:pos="3182"/>
          <w:tab w:val="left" w:pos="3658"/>
          <w:tab w:val="left" w:pos="4133"/>
          <w:tab w:val="left" w:pos="4622"/>
          <w:tab w:val="left" w:pos="5098"/>
          <w:tab w:val="left" w:pos="5573"/>
          <w:tab w:val="left" w:pos="6048"/>
        </w:tabs>
        <w:spacing w:after="60"/>
        <w:ind w:left="1985" w:right="1259" w:hanging="244"/>
        <w:rPr>
          <w:lang w:val="es-ES"/>
        </w:rPr>
      </w:pPr>
      <w:r w:rsidRPr="0078272B">
        <w:rPr>
          <w:lang w:val="es-ES"/>
        </w:rPr>
        <w:t>•</w:t>
      </w:r>
      <w:r w:rsidRPr="0078272B">
        <w:rPr>
          <w:lang w:val="es-ES"/>
        </w:rPr>
        <w:tab/>
        <w:t>Desde el 2006 este Programa desarrolla un trabajo en el terreno y realiza estrategias para garantizar el acceso a la justicia de las mujeres victimizadas.</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Brigada Móvil de Atención a las Víctimas de Violencia Familiar</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El Centro de Atención telefónica a las victimas de violencia familiar, 137, trabaja las 24 horas los 365 dias del año (en CABA), orientan y asisten a las mujeres, niños, niñas y adolescentes victimas de violencia, asi como a instituciones y organismos gubernamentales y ongs.</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Desde octubre de 2006 a marzo de 2012 se atendieron 16.261 victimas, realizando 11.679 intervenciones.</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Brigada Móvil de Atención a las Victimas de Violencia Sexual</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Trabaja las 24 horas los 365 dias del año (en CABA) orientando a víctimas referidas en la ley 25087 desde el primer momento en que el equipo toma contacto con la victima a través de la comisaría o institución solicitante.</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Durante el 2012 se realizaron 980 intervenciones.</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Brigada Niñ@s contra la explotación Sexual comercial de niñas, niños y adolescentes infiltrado en viajes y turismo</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Trabaja las 24 horas los 365 días del año (en CABA) orientando a víctimas. Existe una campaña contra la explotación sexual de niños, con la finalidad de sensibilizar e informar a los distintos agentes institucionales y a la sociedad en su conjunto sobre la gravedad del delito.</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Equipo de Docencia a Personal de Policía Federal Argentina</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Se dictan las asignaturas de introducción al conocimiento, abordaje y prevención de las violencias para el curso de ingreso y de ascenso en las escuelas de Suboficiales y Agentes y de Cadetes de la PFA. Se capacitaron 13.470 agentes y suboficiales desde el 2009 hasta la actualidad.</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Colaboración en áreas en situación de vulnerabilidad con los Centros de Acceso a la Justicia</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Se generan capacitaciones y se brindan herramientas para el asesoramiento y acompañamiento de ciudadanos en situación de vulnerabilidad.</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Cuerpo Interdisciplinario de Protección contra la Violencia Familiar</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Realiza informes de riesgo e interacción familiar según lo previsto en las leyes de violencia familiar y de género. El equipo está compuesto por psicólogos, trabajadores sociales y abogados que realizan las entrevistas por pedido de los juzgados de familia a todo el grupo familiar.</w:t>
      </w:r>
    </w:p>
    <w:p w:rsidR="00247E86" w:rsidRPr="0078272B" w:rsidRDefault="00247E86" w:rsidP="00D059D9">
      <w:pPr>
        <w:pStyle w:val="EndnoteText"/>
        <w:tabs>
          <w:tab w:val="clear" w:pos="418"/>
          <w:tab w:val="left" w:pos="2218"/>
          <w:tab w:val="left" w:pos="2693"/>
          <w:tab w:val="left" w:pos="3182"/>
          <w:tab w:val="left" w:pos="3658"/>
          <w:tab w:val="left" w:pos="4133"/>
          <w:tab w:val="left" w:pos="4622"/>
          <w:tab w:val="left" w:pos="5098"/>
          <w:tab w:val="left" w:pos="5573"/>
          <w:tab w:val="left" w:pos="6048"/>
        </w:tabs>
        <w:spacing w:after="60"/>
        <w:ind w:left="1985" w:right="1259" w:firstLine="0"/>
        <w:rPr>
          <w:lang w:val="es-ES"/>
        </w:rPr>
      </w:pPr>
      <w:r w:rsidRPr="0078272B">
        <w:rPr>
          <w:lang w:val="es-ES"/>
        </w:rPr>
        <w:t>En 2012 se trabajaron y remitieron 5963 expedientes derivados desde los juzgados de familia.</w:t>
      </w:r>
    </w:p>
    <w:p w:rsidR="00247E86" w:rsidRPr="0078272B" w:rsidRDefault="00247E86" w:rsidP="00D059D9">
      <w:pPr>
        <w:pStyle w:val="EndnoteText"/>
        <w:tabs>
          <w:tab w:val="clear" w:pos="418"/>
          <w:tab w:val="left" w:pos="2218"/>
          <w:tab w:val="left" w:pos="2410"/>
          <w:tab w:val="left" w:pos="3182"/>
          <w:tab w:val="left" w:pos="3658"/>
          <w:tab w:val="left" w:pos="4133"/>
          <w:tab w:val="left" w:pos="4622"/>
          <w:tab w:val="left" w:pos="5098"/>
          <w:tab w:val="left" w:pos="5573"/>
          <w:tab w:val="left" w:pos="6048"/>
        </w:tabs>
        <w:spacing w:after="60"/>
        <w:ind w:left="1985" w:right="1259" w:hanging="244"/>
        <w:rPr>
          <w:b/>
          <w:bCs/>
          <w:lang w:val="es-ES"/>
        </w:rPr>
      </w:pPr>
      <w:r w:rsidRPr="0078272B">
        <w:rPr>
          <w:b/>
          <w:bCs/>
          <w:lang w:val="es-ES"/>
        </w:rPr>
        <w:t>•</w:t>
      </w:r>
      <w:r w:rsidRPr="0078272B">
        <w:rPr>
          <w:b/>
          <w:bCs/>
          <w:lang w:val="es-ES"/>
        </w:rPr>
        <w:tab/>
        <w:t>Capacitaciones y Replica del Programa en el País</w:t>
      </w:r>
    </w:p>
    <w:p w:rsidR="00247E86" w:rsidRPr="0078272B" w:rsidRDefault="00247E86" w:rsidP="00472C3B">
      <w:pPr>
        <w:pStyle w:val="EndnoteText"/>
        <w:tabs>
          <w:tab w:val="clear" w:pos="418"/>
          <w:tab w:val="left" w:pos="2218"/>
          <w:tab w:val="left" w:pos="2693"/>
          <w:tab w:val="left" w:pos="3182"/>
          <w:tab w:val="left" w:pos="3658"/>
          <w:tab w:val="left" w:pos="4133"/>
          <w:tab w:val="left" w:pos="4622"/>
          <w:tab w:val="left" w:pos="5098"/>
          <w:tab w:val="left" w:pos="5573"/>
          <w:tab w:val="left" w:pos="6048"/>
        </w:tabs>
        <w:ind w:left="1985" w:right="1259" w:firstLine="0"/>
        <w:rPr>
          <w:lang w:val="es-ES"/>
        </w:rPr>
      </w:pPr>
      <w:r w:rsidRPr="0078272B">
        <w:rPr>
          <w:lang w:val="es-ES"/>
        </w:rPr>
        <w:t>El programa se encuentra implementando la expansión nacional y replica en las provincias de chaco y misiones a través de la creación de la línea 137 y formación de un equipo de profesionales y técnicos para la atención de las víctimas de violencias. También realiza el dictado de cátedras abiertas de violencia de género en universidades y jornadas de sensibilización y formación en diversas provincias del país.</w:t>
      </w:r>
    </w:p>
  </w:endnote>
  <w:endnote w:id="5">
    <w:p w:rsidR="00D059D9" w:rsidRPr="0078272B" w:rsidRDefault="00D059D9"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 xml:space="preserve">En sintonía con lo anterior, cabe señalar la función del Observatorio de la Discriminación en Radio y Televisión, constituido por la Autoridad Federal de Servicios de Comunicación Audiovisual (AFSCA), el Instituto Nacional contra la Discriminación, la Xenofobia y el Racismo (INADI) y el Consejo Nacional de las Mujeres (CNM). Dicho Observatorio cuenta con la participación de profesionales que intercambian conocimientos y experiencias en materia de discriminación, entablando debates y analizando esta temática en programas televisivos y radiales, en promociones y en publicidades. Enlace: </w:t>
      </w:r>
      <w:hyperlink r:id="rId4" w:history="1">
        <w:r w:rsidRPr="0078272B">
          <w:rPr>
            <w:rStyle w:val="Hyperlink"/>
            <w:u w:val="none"/>
            <w:lang w:val="es-ES"/>
          </w:rPr>
          <w:t>www.obserdiscriminacion.gov.ar</w:t>
        </w:r>
      </w:hyperlink>
    </w:p>
  </w:endnote>
  <w:endnote w:id="6">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En 2011 se presentó el Protocolo para la Atención Integral de Personas Víctimas de Violaciones Sexuales, que prevé y reorienta la atención de casos de ANP. La guía “</w:t>
      </w:r>
      <w:r w:rsidRPr="0078272B">
        <w:rPr>
          <w:i/>
          <w:iCs/>
          <w:lang w:val="es-ES"/>
        </w:rPr>
        <w:t>Métodos anticonceptivos. Guía para un acceso sin barreras. Instructivo para la distribución de Insumos del Programa Nacional de Salud Sexual y Procreación Responsable</w:t>
      </w:r>
      <w:r w:rsidRPr="0078272B">
        <w:rPr>
          <w:lang w:val="es-ES"/>
        </w:rPr>
        <w:t>” es otro de los protocolos que el PNSSyPR ha elaborado con la finalidad de establecer las especificaciones sobre las obligaciones profesionales, en este caso sobre los métodos anticonceptivos, los procedimientos para garantizar el acceso, los criterios de acceso ante demandas de niñas, niños, adolescentes y poblaciones migrantes y el almacenamiento de insumos.</w:t>
      </w:r>
    </w:p>
  </w:endnote>
  <w:endnote w:id="7">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 xml:space="preserve">Con el objetivo de incrementar los esfuerzos por combatir la trata de personas, se creó en el año 2008, el </w:t>
      </w:r>
      <w:r w:rsidRPr="0078272B">
        <w:rPr>
          <w:b/>
          <w:bCs/>
          <w:lang w:val="es-ES"/>
        </w:rPr>
        <w:t>Programa Nacional de Rescate y Acompañamiento a las Personas Damnificadas por el Delito de Trata</w:t>
      </w:r>
      <w:r w:rsidRPr="0078272B">
        <w:rPr>
          <w:lang w:val="es-ES"/>
        </w:rPr>
        <w:t>, dependiente del Ministerio de Justicia y Derechos Humanos de la Nación, con el objetivo de centralizar toda actividad destinada a la prevención del delito de Trata de Personas, como así también el acompañamiento y asistencia jurídica a sus víctimas, hasta el momento de la declaración testimonial.</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 xml:space="preserve">Se creó bajo la órbita del actual Ministerio de Seguridad de la Nación, divisiones específicas en la fuerzas de seguridad federales, para la prevención, investigación y lucha de la Trata de Personas.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Se reforzaron y optimizaron medidas y políticas de coordinación pública e institucional, para la implementación de la ley de Prevención y Sanción del delito de Trata de Personas y Asistencia a sus víctimas. De esta manera el Programa Nacional de Rescate, realiza con el Ministerio de Seguridad de la Nación en forma mensual una mesa de intercambio para elaborar nuevas estrategias de intervención, unificar criterios de actuación y discusión sobre procedimientos realizados.</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Se trabaja de manera conjunta con la Secretaría de Derechos Humanos del Ministerio de Justicia y Derechos Humanos, Administración Federal de Ingresos Públicos, Ministerio de Trabajo de la Nación, Unidad Fiscal Asistencia en Secuestros Extorsivos y Trata de Personas y el Ministerio de Desarrollo Social de la Nación.</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Se interviene con personal de la Dirección Nacional de Migraciones para una mayor celeridad y en pos de resguardar los derechos de las víctimas. Se trabaja de manera coordinada con organismos de países de la región, para un retorno voluntario de la víctima a su país de origen y un posterior seguimiento y acompañamiento.</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Se realizan campañas informativas (televisivas y radiales) emitidas en emisoras de todo el país. Haciendo foco en las causas (culturales, sociales, económicas, etc.) que naturalizan y perpetúan la existencia del delito.</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Desde la sanción de la Ley N° 26364 se dictaron 68 sentencias, de las cuales 60 son condenatorias y 8 absolutorias.</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70" w:right="1259" w:hanging="578"/>
        <w:rPr>
          <w:lang w:val="es-ES"/>
        </w:rPr>
      </w:pPr>
      <w:r w:rsidRPr="0078272B">
        <w:rPr>
          <w:lang w:val="es-ES"/>
        </w:rPr>
        <w:tab/>
      </w:r>
      <w:r w:rsidRPr="0078272B">
        <w:rPr>
          <w:lang w:val="es-ES"/>
        </w:rPr>
        <w:tab/>
        <w:t>Es dable destacar el convenio firmado entre este Programa y el Ministerio de Educación, para la creación de un módulo virtual de educación, para la prevención de este delito, dirigido especialmente a niñas, niños y adolescentes.</w:t>
      </w:r>
    </w:p>
  </w:endnote>
  <w:endnote w:id="8">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 xml:space="preserve">Que, en tal sentido, de todo el espectro de conductas declaradas como prohibidas por la Convención para la Eliminación de Todas las Formas de Discriminación Racial (Art. 4), el derecho interno argentino solo ha omitido tipificar penalmente el supuesto de realización de actos de asistencia en actividades racistas, incluida su financiación. Sobre este punto, cabe señalar que durante el curso del año pasado (2012) tuvo tratamiento parlamentario una propuesta de reforma de la legislación antidiscriminatoria (Expte. N° 0685-D-2012), la cual se refería a dicha tipificación penal.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70" w:right="1259" w:hanging="578"/>
        <w:rPr>
          <w:lang w:val="es-ES"/>
        </w:rPr>
      </w:pPr>
      <w:r w:rsidRPr="0078272B">
        <w:rPr>
          <w:lang w:val="es-ES"/>
        </w:rPr>
        <w:tab/>
      </w:r>
      <w:r w:rsidRPr="0078272B">
        <w:rPr>
          <w:lang w:val="es-ES"/>
        </w:rPr>
        <w:tab/>
        <w:t>Resulta necesario destacar que el Instituto Nacional contra la Discriminación la Xenofobia y el Racismo -INADI- ha elevado un anteproyecto de reforma de la Ley N° 23.592, el cual refleja avances sustanciales en la materia, particularmente en lo relativo a la penalización de asistencia en actividades racistas a través del financiamiento; todo ello con la intención de que sea considerado en las sesiones legislativas del año en curso (2013).</w:t>
      </w:r>
    </w:p>
  </w:endnote>
  <w:endnote w:id="9">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rStyle w:val="EndnoteReference"/>
          <w:lang w:val="es-ES"/>
        </w:rPr>
        <w:endnoteRef/>
      </w:r>
      <w:r w:rsidRPr="0078272B">
        <w:rPr>
          <w:lang w:val="es-ES"/>
        </w:rPr>
        <w:t xml:space="preserve"> </w:t>
      </w:r>
      <w:r w:rsidRPr="0078272B">
        <w:rPr>
          <w:lang w:val="es-ES"/>
        </w:rPr>
        <w:tab/>
        <w:t xml:space="preserve">Proyectos de ley sobre el Acceso a la Información Pública. Se encuentran en la Cámara de Diputados: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a)</w:t>
      </w:r>
      <w:r w:rsidRPr="0078272B">
        <w:rPr>
          <w:lang w:val="es-ES"/>
        </w:rPr>
        <w:tab/>
        <w:t xml:space="preserve">Proyecto de ley 2935-D-2012. Firmante Bullrich, Patricia.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b)</w:t>
      </w:r>
      <w:r w:rsidRPr="0078272B">
        <w:rPr>
          <w:lang w:val="es-ES"/>
        </w:rPr>
        <w:tab/>
        <w:t xml:space="preserve">Proyecto de ley 5518-D-2012. Firmantes Atanasof, Asseff, Videla.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c)</w:t>
      </w:r>
      <w:r w:rsidRPr="0078272B">
        <w:rPr>
          <w:lang w:val="es-ES"/>
        </w:rPr>
        <w:tab/>
        <w:t xml:space="preserve">Proyecto de ley 6088-D-2012. Firmantes Garrido y Stolbizer.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d)</w:t>
      </w:r>
      <w:r w:rsidRPr="0078272B">
        <w:rPr>
          <w:lang w:val="es-ES"/>
        </w:rPr>
        <w:tab/>
        <w:t xml:space="preserve">Proyecto de ley 0507-D-2012. Firmante Pinedo Federico.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e)</w:t>
      </w:r>
      <w:r w:rsidRPr="0078272B">
        <w:rPr>
          <w:lang w:val="es-ES"/>
        </w:rPr>
        <w:tab/>
        <w:t xml:space="preserve">Proyecto de ley 0716-D-2012. Firmantes Rodriguez.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f)</w:t>
      </w:r>
      <w:r w:rsidRPr="0078272B">
        <w:rPr>
          <w:lang w:val="es-ES"/>
        </w:rPr>
        <w:tab/>
        <w:t xml:space="preserve">Proyecto de ley 0835-D-2012. Firmantes Pais, Currilen, Bernal, entre otros.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g)</w:t>
      </w:r>
      <w:r w:rsidRPr="0078272B">
        <w:rPr>
          <w:lang w:val="es-ES"/>
        </w:rPr>
        <w:tab/>
        <w:t xml:space="preserve">Proyecto de ley 0891-D-2012. Firmante Diana Conti.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h)</w:t>
      </w:r>
      <w:r w:rsidRPr="0078272B">
        <w:rPr>
          <w:lang w:val="es-ES"/>
        </w:rPr>
        <w:tab/>
        <w:t xml:space="preserve">Proyecto de ley 0994-D-2012. Firmantes Gil Lavedra, Tunessi, Storani, entre otros.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i)</w:t>
      </w:r>
      <w:r w:rsidRPr="0078272B">
        <w:rPr>
          <w:lang w:val="es-ES"/>
        </w:rPr>
        <w:tab/>
        <w:t>Proyecto de ley 2628-D-2012. Firmantes Sabbatella, Heller, entre otros.</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Proyectos de ley que se encuentran en la Cámara de Senadores.</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a)</w:t>
      </w:r>
      <w:r w:rsidRPr="0078272B">
        <w:rPr>
          <w:lang w:val="es-ES"/>
        </w:rPr>
        <w:tab/>
        <w:t>Expediente Nº 174/12. Reproduce el Proyecto de ley sobre el Libre Acceso a la Información Pública. Ref. 1286/10. Su autor es María Eugenia Estenssoro.</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b)</w:t>
      </w:r>
      <w:r w:rsidRPr="0078272B">
        <w:rPr>
          <w:lang w:val="es-ES"/>
        </w:rPr>
        <w:tab/>
        <w:t>Expediente Nº 1147/12. Proyecto de ley de acceso a la información pública. Su autor es Samuel Manuel Cabanchik.</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60"/>
        <w:ind w:left="1270" w:right="1259" w:hanging="578"/>
        <w:rPr>
          <w:lang w:val="es-ES"/>
        </w:rPr>
      </w:pPr>
      <w:r w:rsidRPr="0078272B">
        <w:rPr>
          <w:lang w:val="es-ES"/>
        </w:rPr>
        <w:tab/>
      </w:r>
      <w:r w:rsidRPr="0078272B">
        <w:rPr>
          <w:lang w:val="es-ES"/>
        </w:rPr>
        <w:tab/>
        <w:t>c)</w:t>
      </w:r>
      <w:r w:rsidRPr="0078272B">
        <w:rPr>
          <w:lang w:val="es-ES"/>
        </w:rPr>
        <w:tab/>
        <w:t xml:space="preserve">Expediente Nº 2937/12. Proyecto de ley de derecho de acceso a la información pública. Su autor es Gerardo Morales, entre otros. </w:t>
      </w:r>
    </w:p>
    <w:p w:rsidR="00472C3B" w:rsidRPr="0078272B" w:rsidRDefault="00472C3B" w:rsidP="00472C3B">
      <w:pPr>
        <w:pStyle w:val="End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s-ES"/>
        </w:rPr>
      </w:pPr>
      <w:r w:rsidRPr="0078272B">
        <w:rPr>
          <w:lang w:val="es-ES"/>
        </w:rPr>
        <w:tab/>
      </w:r>
      <w:r w:rsidRPr="0078272B">
        <w:rPr>
          <w:lang w:val="es-ES"/>
        </w:rPr>
        <w:tab/>
        <w:t>Se consultó la información publicada en los sitios de Internet de las Cámaras mencionadas (www.senado.gov.ar y www.diputados.gov.ar, respectivamente).</w:t>
      </w:r>
    </w:p>
    <w:p w:rsidR="00472C3B" w:rsidRPr="0078272B" w:rsidRDefault="00472C3B" w:rsidP="00472C3B">
      <w:pPr>
        <w:spacing w:before="240"/>
        <w:jc w:val="center"/>
        <w:rPr>
          <w:u w:val="single"/>
          <w:lang w:val="es-ES"/>
        </w:rPr>
      </w:pPr>
      <w:r w:rsidRPr="0078272B">
        <w:rPr>
          <w:u w:val="single"/>
          <w:lang w:val="es-ES"/>
        </w:rPr>
        <w:tab/>
      </w:r>
      <w:r w:rsidRPr="0078272B">
        <w:rPr>
          <w:u w:val="single"/>
          <w:lang w:val="es-ES"/>
        </w:rPr>
        <w:tab/>
      </w:r>
      <w:r w:rsidRPr="0078272B">
        <w:rPr>
          <w:u w:val="single"/>
          <w:lang w:val="es-ES"/>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74659" w:rsidTr="00874659">
      <w:trPr>
        <w:jc w:val="center"/>
      </w:trPr>
      <w:tc>
        <w:tcPr>
          <w:tcW w:w="5126" w:type="dxa"/>
          <w:shd w:val="clear" w:color="auto" w:fill="auto"/>
        </w:tcPr>
        <w:p w:rsidR="00874659" w:rsidRPr="00874659" w:rsidRDefault="00874659" w:rsidP="0087465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51E78">
            <w:rPr>
              <w:b w:val="0"/>
              <w:w w:val="103"/>
              <w:sz w:val="14"/>
            </w:rPr>
            <w:t>GE.15-06411</w:t>
          </w:r>
          <w:r>
            <w:rPr>
              <w:b w:val="0"/>
              <w:w w:val="103"/>
              <w:sz w:val="14"/>
            </w:rPr>
            <w:fldChar w:fldCharType="end"/>
          </w:r>
        </w:p>
      </w:tc>
      <w:tc>
        <w:tcPr>
          <w:tcW w:w="5127" w:type="dxa"/>
          <w:shd w:val="clear" w:color="auto" w:fill="auto"/>
        </w:tcPr>
        <w:p w:rsidR="00874659" w:rsidRPr="00874659" w:rsidRDefault="00874659" w:rsidP="00874659">
          <w:pPr>
            <w:pStyle w:val="Footer"/>
            <w:rPr>
              <w:w w:val="103"/>
            </w:rPr>
          </w:pPr>
          <w:r>
            <w:rPr>
              <w:w w:val="103"/>
            </w:rPr>
            <w:fldChar w:fldCharType="begin"/>
          </w:r>
          <w:r>
            <w:rPr>
              <w:w w:val="103"/>
            </w:rPr>
            <w:instrText xml:space="preserve"> PAGE  \* Arabic  \* MERGEFORMAT </w:instrText>
          </w:r>
          <w:r>
            <w:rPr>
              <w:w w:val="103"/>
            </w:rPr>
            <w:fldChar w:fldCharType="separate"/>
          </w:r>
          <w:r w:rsidR="005A2A2F">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A2A2F">
            <w:rPr>
              <w:w w:val="103"/>
            </w:rPr>
            <w:t>10</w:t>
          </w:r>
          <w:r>
            <w:rPr>
              <w:w w:val="103"/>
            </w:rPr>
            <w:fldChar w:fldCharType="end"/>
          </w:r>
        </w:p>
      </w:tc>
    </w:tr>
  </w:tbl>
  <w:p w:rsidR="00874659" w:rsidRPr="00874659" w:rsidRDefault="00874659" w:rsidP="00874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74659" w:rsidTr="00874659">
      <w:trPr>
        <w:jc w:val="center"/>
      </w:trPr>
      <w:tc>
        <w:tcPr>
          <w:tcW w:w="5126" w:type="dxa"/>
          <w:shd w:val="clear" w:color="auto" w:fill="auto"/>
        </w:tcPr>
        <w:p w:rsidR="00874659" w:rsidRPr="00874659" w:rsidRDefault="00874659" w:rsidP="00874659">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A2A2F">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A2A2F">
            <w:rPr>
              <w:w w:val="103"/>
            </w:rPr>
            <w:t>9</w:t>
          </w:r>
          <w:r>
            <w:rPr>
              <w:w w:val="103"/>
            </w:rPr>
            <w:fldChar w:fldCharType="end"/>
          </w:r>
        </w:p>
      </w:tc>
      <w:tc>
        <w:tcPr>
          <w:tcW w:w="5127" w:type="dxa"/>
          <w:shd w:val="clear" w:color="auto" w:fill="auto"/>
        </w:tcPr>
        <w:p w:rsidR="00874659" w:rsidRPr="00874659" w:rsidRDefault="00874659" w:rsidP="00874659">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51E78">
            <w:rPr>
              <w:b w:val="0"/>
              <w:w w:val="103"/>
              <w:sz w:val="14"/>
            </w:rPr>
            <w:t>GE.15-06411</w:t>
          </w:r>
          <w:r>
            <w:rPr>
              <w:b w:val="0"/>
              <w:w w:val="103"/>
              <w:sz w:val="14"/>
            </w:rPr>
            <w:fldChar w:fldCharType="end"/>
          </w:r>
        </w:p>
      </w:tc>
    </w:tr>
  </w:tbl>
  <w:p w:rsidR="00874659" w:rsidRPr="00874659" w:rsidRDefault="00874659" w:rsidP="00874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874659" w:rsidTr="00874659">
      <w:tc>
        <w:tcPr>
          <w:tcW w:w="3859" w:type="dxa"/>
        </w:tcPr>
        <w:p w:rsidR="00E30A53" w:rsidRDefault="00E30A53" w:rsidP="001C5382">
          <w:pPr>
            <w:pStyle w:val="ReleaseDate"/>
          </w:pPr>
          <w:r>
            <w:rPr>
              <w:rFonts w:ascii="Barcode 3 of 9 by request" w:hAnsi="Barcode 3 of 9 by request"/>
              <w:noProof/>
              <w:spacing w:val="0"/>
              <w:w w:val="100"/>
              <w:kern w:val="0"/>
              <w:sz w:val="24"/>
              <w:lang w:eastAsia="ja-JP"/>
            </w:rPr>
            <w:drawing>
              <wp:anchor distT="0" distB="0" distL="114300" distR="114300" simplePos="0" relativeHeight="251658240" behindDoc="0" locked="0" layoutInCell="1" allowOverlap="1" wp14:anchorId="0A0C8C1F" wp14:editId="1E683FD4">
                <wp:simplePos x="0" y="0"/>
                <wp:positionH relativeFrom="column">
                  <wp:posOffset>5659755</wp:posOffset>
                </wp:positionH>
                <wp:positionV relativeFrom="paragraph">
                  <wp:posOffset>-356235</wp:posOffset>
                </wp:positionV>
                <wp:extent cx="694690" cy="694690"/>
                <wp:effectExtent l="0" t="0" r="0" b="0"/>
                <wp:wrapNone/>
                <wp:docPr id="4" name="Picture 4" descr="http://undocs.org/m2/QRCode2.ashx?DS=GE.1506411E&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2.ashx?DS=GE.1506411E&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noProof/>
            </w:rPr>
            <w:fldChar w:fldCharType="begin"/>
          </w:r>
          <w:r>
            <w:rPr>
              <w:noProof/>
            </w:rPr>
            <w:instrText xml:space="preserve"> DOCVARIABLE "FooterJN" \* MERGEFORMAT </w:instrText>
          </w:r>
          <w:r>
            <w:rPr>
              <w:noProof/>
            </w:rPr>
            <w:fldChar w:fldCharType="separate"/>
          </w:r>
          <w:r w:rsidR="00251E78">
            <w:rPr>
              <w:noProof/>
            </w:rPr>
            <w:t>GE.15-06411</w:t>
          </w:r>
          <w:r>
            <w:rPr>
              <w:noProof/>
            </w:rPr>
            <w:fldChar w:fldCharType="end"/>
          </w:r>
          <w:r>
            <w:t xml:space="preserve"> </w:t>
          </w:r>
          <w:r w:rsidR="001C5382">
            <w:t>(E)</w:t>
          </w:r>
          <w:r>
            <w:t xml:space="preserve">   270715    2</w:t>
          </w:r>
          <w:r w:rsidR="001C5382">
            <w:t>9</w:t>
          </w:r>
          <w:r>
            <w:t>0715</w:t>
          </w:r>
        </w:p>
        <w:p w:rsidR="00874659" w:rsidRPr="00E30A53" w:rsidRDefault="00E30A53" w:rsidP="00E30A53">
          <w:pPr>
            <w:pStyle w:val="Footer"/>
            <w:spacing w:before="120" w:line="200" w:lineRule="exact"/>
            <w:rPr>
              <w:rFonts w:ascii="Barcode 3 of 9 by request" w:hAnsi="Barcode 3 of 9 by request"/>
              <w:b w:val="0"/>
              <w:sz w:val="24"/>
              <w:lang w:val="en-GB"/>
            </w:rPr>
          </w:pPr>
          <w:r>
            <w:rPr>
              <w:rFonts w:ascii="Barcode 3 of 9 by request" w:hAnsi="Barcode 3 of 9 by request"/>
              <w:b w:val="0"/>
              <w:sz w:val="24"/>
              <w:lang w:val="en-GB"/>
            </w:rPr>
            <w:t>*1506411*</w:t>
          </w:r>
        </w:p>
      </w:tc>
      <w:tc>
        <w:tcPr>
          <w:tcW w:w="5127" w:type="dxa"/>
        </w:tcPr>
        <w:p w:rsidR="00874659" w:rsidRDefault="00874659" w:rsidP="00874659">
          <w:pPr>
            <w:pStyle w:val="Footer"/>
            <w:jc w:val="right"/>
            <w:rPr>
              <w:b w:val="0"/>
              <w:sz w:val="20"/>
            </w:rPr>
          </w:pPr>
          <w:r>
            <w:rPr>
              <w:b w:val="0"/>
              <w:sz w:val="20"/>
              <w:lang w:val="en-GB" w:eastAsia="ja-JP"/>
            </w:rPr>
            <w:drawing>
              <wp:inline distT="0" distB="0" distL="0" distR="0" wp14:anchorId="5B7C1A93" wp14:editId="4314737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874659" w:rsidRPr="00874659" w:rsidRDefault="00874659" w:rsidP="00874659">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06" w:rsidRPr="00143280" w:rsidRDefault="00143280" w:rsidP="00143280">
      <w:pPr>
        <w:pStyle w:val="Footer"/>
        <w:spacing w:after="80"/>
        <w:ind w:left="792"/>
        <w:rPr>
          <w:sz w:val="16"/>
        </w:rPr>
      </w:pPr>
      <w:r w:rsidRPr="00143280">
        <w:rPr>
          <w:sz w:val="16"/>
        </w:rPr>
        <w:t>__________________</w:t>
      </w:r>
    </w:p>
  </w:footnote>
  <w:footnote w:type="continuationSeparator" w:id="0">
    <w:p w:rsidR="00BB2E06" w:rsidRPr="00143280" w:rsidRDefault="00143280" w:rsidP="00143280">
      <w:pPr>
        <w:pStyle w:val="Footer"/>
        <w:spacing w:after="80"/>
        <w:ind w:left="792"/>
        <w:rPr>
          <w:sz w:val="16"/>
        </w:rPr>
      </w:pPr>
      <w:r w:rsidRPr="00143280">
        <w:rPr>
          <w:sz w:val="16"/>
        </w:rPr>
        <w:t>__________________</w:t>
      </w:r>
    </w:p>
  </w:footnote>
  <w:footnote w:id="1">
    <w:p w:rsidR="00E30A53" w:rsidRPr="00BC3526" w:rsidRDefault="00E30A53" w:rsidP="00143280">
      <w:pPr>
        <w:pStyle w:val="EndnoteText"/>
        <w:tabs>
          <w:tab w:val="clear" w:pos="418"/>
          <w:tab w:val="right" w:pos="1195"/>
          <w:tab w:val="left" w:pos="1267"/>
          <w:tab w:val="left" w:pos="1742"/>
          <w:tab w:val="left" w:pos="2218"/>
          <w:tab w:val="left" w:pos="2693"/>
        </w:tabs>
        <w:ind w:left="1267" w:right="1260" w:hanging="432"/>
      </w:pPr>
      <w:r>
        <w:tab/>
      </w:r>
      <w:r w:rsidRPr="00E30A53">
        <w:rPr>
          <w:rStyle w:val="FootnoteReference"/>
          <w:sz w:val="20"/>
          <w:vertAlign w:val="baseline"/>
        </w:rPr>
        <w:t>*</w:t>
      </w:r>
      <w:r>
        <w:tab/>
      </w:r>
      <w:r w:rsidRPr="00540326">
        <w:rPr>
          <w:rStyle w:val="FootnoteTextChar"/>
        </w:rPr>
        <w:t xml:space="preserve">The present </w:t>
      </w:r>
      <w:r>
        <w:rPr>
          <w:rStyle w:val="FootnoteTextChar"/>
        </w:rPr>
        <w:t>revised version has been submitted to rectify technical errors in the number of certain recommendations</w:t>
      </w:r>
      <w:r w:rsidRPr="00540326">
        <w:rPr>
          <w:rStyle w:val="FootnoteTextChar"/>
        </w:rPr>
        <w:t>.</w:t>
      </w:r>
    </w:p>
  </w:footnote>
  <w:footnote w:id="2">
    <w:p w:rsidR="00E30A53" w:rsidRPr="00BC3526" w:rsidRDefault="00E30A53" w:rsidP="00143280">
      <w:pPr>
        <w:pStyle w:val="EndnoteText"/>
        <w:tabs>
          <w:tab w:val="clear" w:pos="418"/>
          <w:tab w:val="right" w:pos="1195"/>
          <w:tab w:val="left" w:pos="1267"/>
          <w:tab w:val="left" w:pos="1742"/>
          <w:tab w:val="left" w:pos="2218"/>
          <w:tab w:val="left" w:pos="2693"/>
        </w:tabs>
        <w:ind w:left="1267" w:right="1260" w:hanging="432"/>
      </w:pPr>
      <w:r>
        <w:tab/>
      </w:r>
      <w:r w:rsidRPr="00E30A53">
        <w:rPr>
          <w:rStyle w:val="FootnoteReference"/>
          <w:sz w:val="20"/>
          <w:vertAlign w:val="baseline"/>
        </w:rPr>
        <w:t>*</w:t>
      </w:r>
      <w:r w:rsidRPr="00143280">
        <w:rPr>
          <w:rStyle w:val="FootnoteReference"/>
          <w:sz w:val="20"/>
          <w:vertAlign w:val="baseline"/>
        </w:rPr>
        <w:t>*</w:t>
      </w:r>
      <w:r>
        <w:tab/>
      </w:r>
      <w:r w:rsidRPr="00540326">
        <w:rPr>
          <w:rStyle w:val="FootnoteTextChar"/>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30A53" w:rsidTr="00E30A53">
      <w:trPr>
        <w:trHeight w:hRule="exact" w:val="864"/>
        <w:jc w:val="center"/>
      </w:trPr>
      <w:tc>
        <w:tcPr>
          <w:tcW w:w="4882" w:type="dxa"/>
          <w:shd w:val="clear" w:color="auto" w:fill="auto"/>
          <w:vAlign w:val="bottom"/>
        </w:tcPr>
        <w:p w:rsidR="00E30A53" w:rsidRPr="00E30A53" w:rsidRDefault="00E30A53" w:rsidP="00E30A53">
          <w:pPr>
            <w:pStyle w:val="Header"/>
            <w:spacing w:after="80"/>
            <w:rPr>
              <w:b/>
            </w:rPr>
          </w:pPr>
          <w:r>
            <w:rPr>
              <w:b/>
            </w:rPr>
            <w:fldChar w:fldCharType="begin"/>
          </w:r>
          <w:r>
            <w:rPr>
              <w:b/>
            </w:rPr>
            <w:instrText xml:space="preserve"> DOCVARIABLE "sss1" \* MERGEFORMAT </w:instrText>
          </w:r>
          <w:r>
            <w:rPr>
              <w:b/>
            </w:rPr>
            <w:fldChar w:fldCharType="separate"/>
          </w:r>
          <w:r w:rsidR="00251E78">
            <w:rPr>
              <w:b/>
            </w:rPr>
            <w:t>A/HRC/22/4/Add.1/Rev.1</w:t>
          </w:r>
          <w:r>
            <w:rPr>
              <w:b/>
            </w:rPr>
            <w:fldChar w:fldCharType="end"/>
          </w:r>
        </w:p>
      </w:tc>
      <w:tc>
        <w:tcPr>
          <w:tcW w:w="5127" w:type="dxa"/>
          <w:shd w:val="clear" w:color="auto" w:fill="auto"/>
          <w:vAlign w:val="bottom"/>
        </w:tcPr>
        <w:p w:rsidR="00E30A53" w:rsidRDefault="00E30A53" w:rsidP="00E30A53">
          <w:pPr>
            <w:pStyle w:val="Header"/>
          </w:pPr>
        </w:p>
      </w:tc>
    </w:tr>
  </w:tbl>
  <w:p w:rsidR="00874659" w:rsidRPr="00E30A53" w:rsidRDefault="00874659" w:rsidP="00E30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30A53" w:rsidTr="00E30A53">
      <w:trPr>
        <w:trHeight w:hRule="exact" w:val="864"/>
        <w:jc w:val="center"/>
      </w:trPr>
      <w:tc>
        <w:tcPr>
          <w:tcW w:w="4882" w:type="dxa"/>
          <w:shd w:val="clear" w:color="auto" w:fill="auto"/>
          <w:vAlign w:val="bottom"/>
        </w:tcPr>
        <w:p w:rsidR="00E30A53" w:rsidRDefault="00E30A53" w:rsidP="00E30A53">
          <w:pPr>
            <w:pStyle w:val="Header"/>
          </w:pPr>
        </w:p>
      </w:tc>
      <w:tc>
        <w:tcPr>
          <w:tcW w:w="5127" w:type="dxa"/>
          <w:shd w:val="clear" w:color="auto" w:fill="auto"/>
          <w:vAlign w:val="bottom"/>
        </w:tcPr>
        <w:p w:rsidR="00E30A53" w:rsidRPr="00E30A53" w:rsidRDefault="00E30A53" w:rsidP="00E30A53">
          <w:pPr>
            <w:pStyle w:val="Header"/>
            <w:spacing w:after="80"/>
            <w:jc w:val="right"/>
            <w:rPr>
              <w:b/>
            </w:rPr>
          </w:pPr>
          <w:r>
            <w:rPr>
              <w:b/>
            </w:rPr>
            <w:fldChar w:fldCharType="begin"/>
          </w:r>
          <w:r>
            <w:rPr>
              <w:b/>
            </w:rPr>
            <w:instrText xml:space="preserve"> DOCVARIABLE "sss1" \* MERGEFORMAT </w:instrText>
          </w:r>
          <w:r>
            <w:rPr>
              <w:b/>
            </w:rPr>
            <w:fldChar w:fldCharType="separate"/>
          </w:r>
          <w:r w:rsidR="00251E78">
            <w:rPr>
              <w:b/>
            </w:rPr>
            <w:t>A/HRC/22/4/Add.1/Rev.1</w:t>
          </w:r>
          <w:r>
            <w:rPr>
              <w:b/>
            </w:rPr>
            <w:fldChar w:fldCharType="end"/>
          </w:r>
        </w:p>
      </w:tc>
    </w:tr>
  </w:tbl>
  <w:p w:rsidR="00874659" w:rsidRPr="00E30A53" w:rsidRDefault="00874659" w:rsidP="00E30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874659" w:rsidTr="00874659">
      <w:trPr>
        <w:trHeight w:hRule="exact" w:val="864"/>
      </w:trPr>
      <w:tc>
        <w:tcPr>
          <w:tcW w:w="1267" w:type="dxa"/>
          <w:tcBorders>
            <w:bottom w:val="single" w:sz="4" w:space="0" w:color="auto"/>
          </w:tcBorders>
          <w:shd w:val="clear" w:color="auto" w:fill="auto"/>
          <w:vAlign w:val="bottom"/>
        </w:tcPr>
        <w:p w:rsidR="00874659" w:rsidRDefault="00874659" w:rsidP="00874659">
          <w:pPr>
            <w:pStyle w:val="Header"/>
            <w:spacing w:after="120"/>
          </w:pPr>
        </w:p>
      </w:tc>
      <w:tc>
        <w:tcPr>
          <w:tcW w:w="1872" w:type="dxa"/>
          <w:tcBorders>
            <w:bottom w:val="single" w:sz="4" w:space="0" w:color="auto"/>
          </w:tcBorders>
          <w:shd w:val="clear" w:color="auto" w:fill="auto"/>
          <w:vAlign w:val="bottom"/>
        </w:tcPr>
        <w:p w:rsidR="00874659" w:rsidRPr="00874659" w:rsidRDefault="00874659" w:rsidP="00874659">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874659" w:rsidRDefault="00874659" w:rsidP="00874659">
          <w:pPr>
            <w:pStyle w:val="Header"/>
            <w:spacing w:after="120"/>
          </w:pPr>
        </w:p>
      </w:tc>
      <w:tc>
        <w:tcPr>
          <w:tcW w:w="6653" w:type="dxa"/>
          <w:gridSpan w:val="4"/>
          <w:tcBorders>
            <w:bottom w:val="single" w:sz="4" w:space="0" w:color="auto"/>
          </w:tcBorders>
          <w:shd w:val="clear" w:color="auto" w:fill="auto"/>
          <w:vAlign w:val="bottom"/>
        </w:tcPr>
        <w:p w:rsidR="00874659" w:rsidRPr="00E30A53" w:rsidRDefault="00E30A53" w:rsidP="00E30A53">
          <w:pPr>
            <w:spacing w:line="240" w:lineRule="auto"/>
            <w:jc w:val="right"/>
            <w:rPr>
              <w:position w:val="-4"/>
            </w:rPr>
          </w:pPr>
          <w:r>
            <w:rPr>
              <w:position w:val="-4"/>
              <w:sz w:val="40"/>
            </w:rPr>
            <w:t>A</w:t>
          </w:r>
          <w:r>
            <w:rPr>
              <w:position w:val="-4"/>
            </w:rPr>
            <w:t>/HRC/22/4/Add.1/Rev.1*</w:t>
          </w:r>
        </w:p>
      </w:tc>
    </w:tr>
    <w:tr w:rsidR="00874659" w:rsidRPr="00874659" w:rsidTr="00874659">
      <w:trPr>
        <w:gridAfter w:val="1"/>
        <w:wAfter w:w="18" w:type="dxa"/>
        <w:trHeight w:hRule="exact" w:val="2880"/>
      </w:trPr>
      <w:tc>
        <w:tcPr>
          <w:tcW w:w="1267" w:type="dxa"/>
          <w:tcBorders>
            <w:top w:val="single" w:sz="4" w:space="0" w:color="auto"/>
            <w:bottom w:val="single" w:sz="12" w:space="0" w:color="auto"/>
          </w:tcBorders>
          <w:shd w:val="clear" w:color="auto" w:fill="auto"/>
        </w:tcPr>
        <w:p w:rsidR="00874659" w:rsidRPr="00874659" w:rsidRDefault="00874659" w:rsidP="00874659">
          <w:pPr>
            <w:pStyle w:val="Header"/>
            <w:spacing w:before="120"/>
            <w:jc w:val="center"/>
          </w:pPr>
          <w:r>
            <w:t xml:space="preserve"> </w:t>
          </w:r>
          <w:r>
            <w:rPr>
              <w:lang w:val="en-GB" w:eastAsia="ja-JP"/>
            </w:rPr>
            <w:drawing>
              <wp:inline distT="0" distB="0" distL="0" distR="0" wp14:anchorId="567761E6" wp14:editId="3CF393F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74659" w:rsidRPr="00874659" w:rsidRDefault="00874659" w:rsidP="00874659">
          <w:pPr>
            <w:pStyle w:val="XLarge"/>
            <w:spacing w:before="109"/>
          </w:pPr>
          <w:r>
            <w:t>General Assembly</w:t>
          </w:r>
        </w:p>
      </w:tc>
      <w:tc>
        <w:tcPr>
          <w:tcW w:w="245" w:type="dxa"/>
          <w:tcBorders>
            <w:top w:val="single" w:sz="4" w:space="0" w:color="auto"/>
            <w:bottom w:val="single" w:sz="12" w:space="0" w:color="auto"/>
          </w:tcBorders>
          <w:shd w:val="clear" w:color="auto" w:fill="auto"/>
        </w:tcPr>
        <w:p w:rsidR="00874659" w:rsidRPr="00874659" w:rsidRDefault="00874659" w:rsidP="00874659">
          <w:pPr>
            <w:pStyle w:val="Header"/>
            <w:spacing w:before="109"/>
          </w:pPr>
        </w:p>
      </w:tc>
      <w:tc>
        <w:tcPr>
          <w:tcW w:w="3280" w:type="dxa"/>
          <w:tcBorders>
            <w:top w:val="single" w:sz="4" w:space="0" w:color="auto"/>
            <w:bottom w:val="single" w:sz="12" w:space="0" w:color="auto"/>
          </w:tcBorders>
          <w:shd w:val="clear" w:color="auto" w:fill="auto"/>
        </w:tcPr>
        <w:p w:rsidR="00874659" w:rsidRDefault="00874659" w:rsidP="00874659">
          <w:pPr>
            <w:pStyle w:val="Distribution"/>
            <w:rPr>
              <w:color w:val="010000"/>
            </w:rPr>
          </w:pPr>
          <w:r>
            <w:rPr>
              <w:color w:val="010000"/>
            </w:rPr>
            <w:t>Distr.: General</w:t>
          </w:r>
        </w:p>
        <w:p w:rsidR="00874659" w:rsidRDefault="00874659" w:rsidP="00874659">
          <w:pPr>
            <w:pStyle w:val="Publication"/>
            <w:rPr>
              <w:color w:val="010000"/>
            </w:rPr>
          </w:pPr>
          <w:r>
            <w:rPr>
              <w:color w:val="010000"/>
            </w:rPr>
            <w:t>3 June 2015</w:t>
          </w:r>
        </w:p>
        <w:p w:rsidR="00874659" w:rsidRDefault="00874659" w:rsidP="00874659">
          <w:pPr>
            <w:rPr>
              <w:color w:val="010000"/>
            </w:rPr>
          </w:pPr>
          <w:r>
            <w:rPr>
              <w:color w:val="010000"/>
            </w:rPr>
            <w:t>English</w:t>
          </w:r>
        </w:p>
        <w:p w:rsidR="00874659" w:rsidRPr="00E30A53" w:rsidRDefault="00874659" w:rsidP="00E30A53">
          <w:pPr>
            <w:pStyle w:val="Original"/>
            <w:rPr>
              <w:color w:val="010000"/>
            </w:rPr>
          </w:pPr>
          <w:r>
            <w:rPr>
              <w:color w:val="010000"/>
            </w:rPr>
            <w:t>Original: Spanish</w:t>
          </w:r>
        </w:p>
      </w:tc>
    </w:tr>
  </w:tbl>
  <w:p w:rsidR="00874659" w:rsidRPr="00874659" w:rsidRDefault="00874659" w:rsidP="0087465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06411"/>
    <w:docVar w:name="CreationDt" w:val="7/27/2015 6:05: PM"/>
    <w:docVar w:name="DocCategory" w:val="Doc"/>
    <w:docVar w:name="DocType" w:val="Final"/>
    <w:docVar w:name="DutyStation" w:val="Geneva"/>
    <w:docVar w:name="FooterJN" w:val="GE.15-06411"/>
    <w:docVar w:name="jobn" w:val="GE.GE.15-06411(E)"/>
    <w:docVar w:name="jobnDT" w:val="GE.GE.15-06411(E)   270715   "/>
    <w:docVar w:name="jobnDTDT" w:val="GE.GE.15-06411 (E)   270715   270715"/>
    <w:docVar w:name="JobNo" w:val="GE.1506411E"/>
    <w:docVar w:name="JobNo2" w:val="15E"/>
    <w:docVar w:name="LocalDrive" w:val="0"/>
    <w:docVar w:name="OandT" w:val="HLM"/>
    <w:docVar w:name="PaperSize" w:val="A4"/>
    <w:docVar w:name="sss1" w:val="A/HRC/22/4/Add.1/Rev.1"/>
    <w:docVar w:name="sss2" w:val="-"/>
    <w:docVar w:name="Symbol1" w:val="A/HRC/22/4/Add.1/Rev.1"/>
    <w:docVar w:name="Symbol2" w:val="-"/>
  </w:docVars>
  <w:rsids>
    <w:rsidRoot w:val="00BB2E06"/>
    <w:rsid w:val="0000301C"/>
    <w:rsid w:val="000044BD"/>
    <w:rsid w:val="00010CB2"/>
    <w:rsid w:val="00011F66"/>
    <w:rsid w:val="000137FE"/>
    <w:rsid w:val="00013C9F"/>
    <w:rsid w:val="0001793F"/>
    <w:rsid w:val="00021540"/>
    <w:rsid w:val="00021A51"/>
    <w:rsid w:val="00023BDE"/>
    <w:rsid w:val="000243C1"/>
    <w:rsid w:val="00024B08"/>
    <w:rsid w:val="00024E5A"/>
    <w:rsid w:val="00025848"/>
    <w:rsid w:val="000308AA"/>
    <w:rsid w:val="00032100"/>
    <w:rsid w:val="0003242E"/>
    <w:rsid w:val="00041CAB"/>
    <w:rsid w:val="00042834"/>
    <w:rsid w:val="00051981"/>
    <w:rsid w:val="00051D6F"/>
    <w:rsid w:val="00054828"/>
    <w:rsid w:val="00057FD3"/>
    <w:rsid w:val="00060FB4"/>
    <w:rsid w:val="00062E0F"/>
    <w:rsid w:val="00073B00"/>
    <w:rsid w:val="00076459"/>
    <w:rsid w:val="00077C68"/>
    <w:rsid w:val="00077DB0"/>
    <w:rsid w:val="00080952"/>
    <w:rsid w:val="00081CC0"/>
    <w:rsid w:val="000873DA"/>
    <w:rsid w:val="0009142F"/>
    <w:rsid w:val="000930EA"/>
    <w:rsid w:val="00095653"/>
    <w:rsid w:val="00096611"/>
    <w:rsid w:val="000A1401"/>
    <w:rsid w:val="000B2AB1"/>
    <w:rsid w:val="000B6F32"/>
    <w:rsid w:val="000C30BC"/>
    <w:rsid w:val="000C676D"/>
    <w:rsid w:val="000E3E97"/>
    <w:rsid w:val="000E4DB4"/>
    <w:rsid w:val="000E578F"/>
    <w:rsid w:val="000E6736"/>
    <w:rsid w:val="000E7174"/>
    <w:rsid w:val="000E7902"/>
    <w:rsid w:val="000F0681"/>
    <w:rsid w:val="000F5752"/>
    <w:rsid w:val="000F6E1A"/>
    <w:rsid w:val="00100B22"/>
    <w:rsid w:val="00104C2F"/>
    <w:rsid w:val="00105C9B"/>
    <w:rsid w:val="00107D5F"/>
    <w:rsid w:val="0011241F"/>
    <w:rsid w:val="00113764"/>
    <w:rsid w:val="00114F9E"/>
    <w:rsid w:val="0011565A"/>
    <w:rsid w:val="0012032E"/>
    <w:rsid w:val="001208CF"/>
    <w:rsid w:val="0012652C"/>
    <w:rsid w:val="00132F77"/>
    <w:rsid w:val="00135DA1"/>
    <w:rsid w:val="00136ECF"/>
    <w:rsid w:val="00140FDB"/>
    <w:rsid w:val="00143280"/>
    <w:rsid w:val="00146E4B"/>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245C"/>
    <w:rsid w:val="00192845"/>
    <w:rsid w:val="001936F0"/>
    <w:rsid w:val="001947AD"/>
    <w:rsid w:val="00196A9E"/>
    <w:rsid w:val="00197346"/>
    <w:rsid w:val="001A077F"/>
    <w:rsid w:val="001A5D2D"/>
    <w:rsid w:val="001A6BBE"/>
    <w:rsid w:val="001B071E"/>
    <w:rsid w:val="001B0B41"/>
    <w:rsid w:val="001B1926"/>
    <w:rsid w:val="001B1FD5"/>
    <w:rsid w:val="001B2AEA"/>
    <w:rsid w:val="001B3651"/>
    <w:rsid w:val="001B6CFE"/>
    <w:rsid w:val="001C0012"/>
    <w:rsid w:val="001C266D"/>
    <w:rsid w:val="001C26F7"/>
    <w:rsid w:val="001C5382"/>
    <w:rsid w:val="001C5625"/>
    <w:rsid w:val="001C7E54"/>
    <w:rsid w:val="001D1F8D"/>
    <w:rsid w:val="001D4790"/>
    <w:rsid w:val="001D7216"/>
    <w:rsid w:val="001E077C"/>
    <w:rsid w:val="001E0B55"/>
    <w:rsid w:val="001E4D56"/>
    <w:rsid w:val="001E5AE9"/>
    <w:rsid w:val="001E6CDB"/>
    <w:rsid w:val="001F2BDA"/>
    <w:rsid w:val="001F5923"/>
    <w:rsid w:val="001F5FE7"/>
    <w:rsid w:val="001F670D"/>
    <w:rsid w:val="001F6818"/>
    <w:rsid w:val="001F6E66"/>
    <w:rsid w:val="001F78BC"/>
    <w:rsid w:val="001F7C50"/>
    <w:rsid w:val="001F7CCF"/>
    <w:rsid w:val="00211F3F"/>
    <w:rsid w:val="00213104"/>
    <w:rsid w:val="002141E3"/>
    <w:rsid w:val="00217D97"/>
    <w:rsid w:val="00221573"/>
    <w:rsid w:val="00222D9B"/>
    <w:rsid w:val="00223E81"/>
    <w:rsid w:val="00225B63"/>
    <w:rsid w:val="00232F19"/>
    <w:rsid w:val="002346A6"/>
    <w:rsid w:val="00234C5B"/>
    <w:rsid w:val="00236DA6"/>
    <w:rsid w:val="00236E6D"/>
    <w:rsid w:val="00243655"/>
    <w:rsid w:val="002453F5"/>
    <w:rsid w:val="00247E83"/>
    <w:rsid w:val="00247E86"/>
    <w:rsid w:val="002508E9"/>
    <w:rsid w:val="00251A44"/>
    <w:rsid w:val="00251E78"/>
    <w:rsid w:val="00253D26"/>
    <w:rsid w:val="00254277"/>
    <w:rsid w:val="00256A49"/>
    <w:rsid w:val="0025759D"/>
    <w:rsid w:val="00261FDB"/>
    <w:rsid w:val="00264279"/>
    <w:rsid w:val="002665CB"/>
    <w:rsid w:val="002713B7"/>
    <w:rsid w:val="0027290F"/>
    <w:rsid w:val="00274B66"/>
    <w:rsid w:val="00275106"/>
    <w:rsid w:val="00275598"/>
    <w:rsid w:val="00276B79"/>
    <w:rsid w:val="00281885"/>
    <w:rsid w:val="00284AF2"/>
    <w:rsid w:val="002877DA"/>
    <w:rsid w:val="002901C3"/>
    <w:rsid w:val="00290C42"/>
    <w:rsid w:val="00294980"/>
    <w:rsid w:val="00296E6C"/>
    <w:rsid w:val="002A2A24"/>
    <w:rsid w:val="002A5739"/>
    <w:rsid w:val="002A5DBE"/>
    <w:rsid w:val="002B0DEC"/>
    <w:rsid w:val="002B4B8E"/>
    <w:rsid w:val="002B649C"/>
    <w:rsid w:val="002B67EC"/>
    <w:rsid w:val="002B77DF"/>
    <w:rsid w:val="002C0552"/>
    <w:rsid w:val="002C12A1"/>
    <w:rsid w:val="002C1394"/>
    <w:rsid w:val="002C171C"/>
    <w:rsid w:val="002C3AE4"/>
    <w:rsid w:val="002C69A3"/>
    <w:rsid w:val="002D0A3F"/>
    <w:rsid w:val="002D25CC"/>
    <w:rsid w:val="002D4228"/>
    <w:rsid w:val="002D4776"/>
    <w:rsid w:val="002E1C17"/>
    <w:rsid w:val="002F0531"/>
    <w:rsid w:val="002F5FAC"/>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2088"/>
    <w:rsid w:val="003345CC"/>
    <w:rsid w:val="00341AF8"/>
    <w:rsid w:val="003466DC"/>
    <w:rsid w:val="00347DD3"/>
    <w:rsid w:val="00350876"/>
    <w:rsid w:val="00357AA1"/>
    <w:rsid w:val="00365017"/>
    <w:rsid w:val="003769DF"/>
    <w:rsid w:val="0037786A"/>
    <w:rsid w:val="00383922"/>
    <w:rsid w:val="00387FE0"/>
    <w:rsid w:val="0039024C"/>
    <w:rsid w:val="003928D1"/>
    <w:rsid w:val="003A5087"/>
    <w:rsid w:val="003B0DE7"/>
    <w:rsid w:val="003B102B"/>
    <w:rsid w:val="003C05E2"/>
    <w:rsid w:val="003C0D55"/>
    <w:rsid w:val="003C3A7D"/>
    <w:rsid w:val="003C43F7"/>
    <w:rsid w:val="003D5797"/>
    <w:rsid w:val="003D7F08"/>
    <w:rsid w:val="003E0D98"/>
    <w:rsid w:val="003E7000"/>
    <w:rsid w:val="003E72BD"/>
    <w:rsid w:val="003E78BF"/>
    <w:rsid w:val="003F1E2B"/>
    <w:rsid w:val="003F49AB"/>
    <w:rsid w:val="003F4EDB"/>
    <w:rsid w:val="00401E19"/>
    <w:rsid w:val="0040560E"/>
    <w:rsid w:val="00407301"/>
    <w:rsid w:val="00410A02"/>
    <w:rsid w:val="004125C5"/>
    <w:rsid w:val="00412ACF"/>
    <w:rsid w:val="00414F44"/>
    <w:rsid w:val="0041500E"/>
    <w:rsid w:val="00434183"/>
    <w:rsid w:val="00436FEA"/>
    <w:rsid w:val="004411C5"/>
    <w:rsid w:val="00441580"/>
    <w:rsid w:val="00441EF4"/>
    <w:rsid w:val="004423AB"/>
    <w:rsid w:val="00443A4A"/>
    <w:rsid w:val="00444725"/>
    <w:rsid w:val="004472AD"/>
    <w:rsid w:val="0045397A"/>
    <w:rsid w:val="00453E64"/>
    <w:rsid w:val="00455CD0"/>
    <w:rsid w:val="00457ADA"/>
    <w:rsid w:val="004677E2"/>
    <w:rsid w:val="00470EE0"/>
    <w:rsid w:val="00472C3B"/>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6AB6"/>
    <w:rsid w:val="004B732D"/>
    <w:rsid w:val="004C0A4B"/>
    <w:rsid w:val="004C1947"/>
    <w:rsid w:val="004C599F"/>
    <w:rsid w:val="004C7A38"/>
    <w:rsid w:val="004C7E05"/>
    <w:rsid w:val="004D0839"/>
    <w:rsid w:val="004D0C85"/>
    <w:rsid w:val="004D2970"/>
    <w:rsid w:val="004D3027"/>
    <w:rsid w:val="004D580C"/>
    <w:rsid w:val="004D5846"/>
    <w:rsid w:val="004D7A08"/>
    <w:rsid w:val="004E669B"/>
    <w:rsid w:val="004F09C3"/>
    <w:rsid w:val="004F269C"/>
    <w:rsid w:val="004F2B25"/>
    <w:rsid w:val="004F4085"/>
    <w:rsid w:val="004F4AA8"/>
    <w:rsid w:val="004F71A8"/>
    <w:rsid w:val="00502499"/>
    <w:rsid w:val="00511E5A"/>
    <w:rsid w:val="00514854"/>
    <w:rsid w:val="005200EA"/>
    <w:rsid w:val="005300F6"/>
    <w:rsid w:val="00534D74"/>
    <w:rsid w:val="00537D2B"/>
    <w:rsid w:val="00541089"/>
    <w:rsid w:val="00542A9C"/>
    <w:rsid w:val="00542FE7"/>
    <w:rsid w:val="00543905"/>
    <w:rsid w:val="00546F5D"/>
    <w:rsid w:val="005513EE"/>
    <w:rsid w:val="0055474C"/>
    <w:rsid w:val="00554CEC"/>
    <w:rsid w:val="00556945"/>
    <w:rsid w:val="0055753C"/>
    <w:rsid w:val="00560735"/>
    <w:rsid w:val="005607F2"/>
    <w:rsid w:val="005619C0"/>
    <w:rsid w:val="00566B69"/>
    <w:rsid w:val="00567F84"/>
    <w:rsid w:val="005729BA"/>
    <w:rsid w:val="0057512C"/>
    <w:rsid w:val="005827E6"/>
    <w:rsid w:val="00583963"/>
    <w:rsid w:val="00586902"/>
    <w:rsid w:val="00586986"/>
    <w:rsid w:val="00591C19"/>
    <w:rsid w:val="00594A53"/>
    <w:rsid w:val="00595BC5"/>
    <w:rsid w:val="005A2A2F"/>
    <w:rsid w:val="005A3D90"/>
    <w:rsid w:val="005B0B96"/>
    <w:rsid w:val="005B426E"/>
    <w:rsid w:val="005B500B"/>
    <w:rsid w:val="005B6B7F"/>
    <w:rsid w:val="005C2441"/>
    <w:rsid w:val="005C394D"/>
    <w:rsid w:val="005C639D"/>
    <w:rsid w:val="005C76B7"/>
    <w:rsid w:val="005D0BE5"/>
    <w:rsid w:val="005D3D41"/>
    <w:rsid w:val="005E0744"/>
    <w:rsid w:val="005E360C"/>
    <w:rsid w:val="005F03CA"/>
    <w:rsid w:val="005F443D"/>
    <w:rsid w:val="005F5764"/>
    <w:rsid w:val="005F6860"/>
    <w:rsid w:val="00600132"/>
    <w:rsid w:val="00601E37"/>
    <w:rsid w:val="0060256A"/>
    <w:rsid w:val="006034E2"/>
    <w:rsid w:val="006035F9"/>
    <w:rsid w:val="0060441D"/>
    <w:rsid w:val="00605495"/>
    <w:rsid w:val="00610819"/>
    <w:rsid w:val="00610AC8"/>
    <w:rsid w:val="0061160A"/>
    <w:rsid w:val="006208E6"/>
    <w:rsid w:val="0062207B"/>
    <w:rsid w:val="006242A5"/>
    <w:rsid w:val="006246A9"/>
    <w:rsid w:val="0062527E"/>
    <w:rsid w:val="006300B5"/>
    <w:rsid w:val="006300C2"/>
    <w:rsid w:val="00634617"/>
    <w:rsid w:val="00634FA8"/>
    <w:rsid w:val="00635451"/>
    <w:rsid w:val="006365D0"/>
    <w:rsid w:val="00645A2F"/>
    <w:rsid w:val="00647F62"/>
    <w:rsid w:val="006520C7"/>
    <w:rsid w:val="0065341F"/>
    <w:rsid w:val="00653B25"/>
    <w:rsid w:val="00655F4D"/>
    <w:rsid w:val="00656459"/>
    <w:rsid w:val="0066134F"/>
    <w:rsid w:val="0066368E"/>
    <w:rsid w:val="00665391"/>
    <w:rsid w:val="0067014A"/>
    <w:rsid w:val="00673A86"/>
    <w:rsid w:val="00673D70"/>
    <w:rsid w:val="00677C8D"/>
    <w:rsid w:val="006845F9"/>
    <w:rsid w:val="006904DC"/>
    <w:rsid w:val="00694DAB"/>
    <w:rsid w:val="006964B0"/>
    <w:rsid w:val="00696C4F"/>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65B"/>
    <w:rsid w:val="006C7E5F"/>
    <w:rsid w:val="006D0C8A"/>
    <w:rsid w:val="006D42DA"/>
    <w:rsid w:val="006D74B5"/>
    <w:rsid w:val="006D766E"/>
    <w:rsid w:val="006E0E18"/>
    <w:rsid w:val="006E5457"/>
    <w:rsid w:val="006F40EA"/>
    <w:rsid w:val="006F6266"/>
    <w:rsid w:val="00702C5A"/>
    <w:rsid w:val="00704652"/>
    <w:rsid w:val="007222CF"/>
    <w:rsid w:val="0072272F"/>
    <w:rsid w:val="00724074"/>
    <w:rsid w:val="00726E36"/>
    <w:rsid w:val="00730B23"/>
    <w:rsid w:val="00731357"/>
    <w:rsid w:val="00734332"/>
    <w:rsid w:val="00734DC1"/>
    <w:rsid w:val="007417DD"/>
    <w:rsid w:val="00741EA1"/>
    <w:rsid w:val="007444A3"/>
    <w:rsid w:val="00744F35"/>
    <w:rsid w:val="00753D40"/>
    <w:rsid w:val="007608D8"/>
    <w:rsid w:val="00762A8D"/>
    <w:rsid w:val="0076370D"/>
    <w:rsid w:val="0076482E"/>
    <w:rsid w:val="007669B0"/>
    <w:rsid w:val="0078007F"/>
    <w:rsid w:val="00780BE7"/>
    <w:rsid w:val="0078272B"/>
    <w:rsid w:val="00783F24"/>
    <w:rsid w:val="0078480B"/>
    <w:rsid w:val="00787D22"/>
    <w:rsid w:val="00792C8E"/>
    <w:rsid w:val="007932C1"/>
    <w:rsid w:val="0079386A"/>
    <w:rsid w:val="00795305"/>
    <w:rsid w:val="00796A8E"/>
    <w:rsid w:val="007A196D"/>
    <w:rsid w:val="007A4518"/>
    <w:rsid w:val="007A4F17"/>
    <w:rsid w:val="007A5254"/>
    <w:rsid w:val="007A6F6C"/>
    <w:rsid w:val="007B3AC6"/>
    <w:rsid w:val="007B5ECA"/>
    <w:rsid w:val="007B6885"/>
    <w:rsid w:val="007C29F7"/>
    <w:rsid w:val="007C3EEC"/>
    <w:rsid w:val="007C5499"/>
    <w:rsid w:val="007C5AD3"/>
    <w:rsid w:val="007C78B7"/>
    <w:rsid w:val="007D2E6A"/>
    <w:rsid w:val="007D586B"/>
    <w:rsid w:val="007D5E0A"/>
    <w:rsid w:val="007D7C7B"/>
    <w:rsid w:val="007E3D89"/>
    <w:rsid w:val="007E46AE"/>
    <w:rsid w:val="007E5210"/>
    <w:rsid w:val="007E7AFA"/>
    <w:rsid w:val="007F23CE"/>
    <w:rsid w:val="007F3C8D"/>
    <w:rsid w:val="007F4A1D"/>
    <w:rsid w:val="007F621D"/>
    <w:rsid w:val="007F6537"/>
    <w:rsid w:val="00802C43"/>
    <w:rsid w:val="0080697C"/>
    <w:rsid w:val="00810F2C"/>
    <w:rsid w:val="00816CF9"/>
    <w:rsid w:val="00826ECD"/>
    <w:rsid w:val="00835605"/>
    <w:rsid w:val="00835A0F"/>
    <w:rsid w:val="00836679"/>
    <w:rsid w:val="00837F18"/>
    <w:rsid w:val="008446CE"/>
    <w:rsid w:val="00844846"/>
    <w:rsid w:val="008470B8"/>
    <w:rsid w:val="0084786F"/>
    <w:rsid w:val="00852178"/>
    <w:rsid w:val="00853FF3"/>
    <w:rsid w:val="0085451D"/>
    <w:rsid w:val="00854EC8"/>
    <w:rsid w:val="008603B4"/>
    <w:rsid w:val="00861579"/>
    <w:rsid w:val="008640BE"/>
    <w:rsid w:val="008642D7"/>
    <w:rsid w:val="0086531E"/>
    <w:rsid w:val="00865C17"/>
    <w:rsid w:val="00867748"/>
    <w:rsid w:val="00870BAC"/>
    <w:rsid w:val="00874659"/>
    <w:rsid w:val="00874731"/>
    <w:rsid w:val="00875D2D"/>
    <w:rsid w:val="0088069E"/>
    <w:rsid w:val="00880CB5"/>
    <w:rsid w:val="00882652"/>
    <w:rsid w:val="00884D77"/>
    <w:rsid w:val="008858E6"/>
    <w:rsid w:val="00885F41"/>
    <w:rsid w:val="008915FF"/>
    <w:rsid w:val="00895AA1"/>
    <w:rsid w:val="00896C72"/>
    <w:rsid w:val="008971FD"/>
    <w:rsid w:val="008A7260"/>
    <w:rsid w:val="008A7B66"/>
    <w:rsid w:val="008B026E"/>
    <w:rsid w:val="008B22EF"/>
    <w:rsid w:val="008B38BA"/>
    <w:rsid w:val="008B4249"/>
    <w:rsid w:val="008C0422"/>
    <w:rsid w:val="008C04D4"/>
    <w:rsid w:val="008C3E90"/>
    <w:rsid w:val="008C4CE3"/>
    <w:rsid w:val="008C6B4B"/>
    <w:rsid w:val="008C7168"/>
    <w:rsid w:val="008D006F"/>
    <w:rsid w:val="008D2798"/>
    <w:rsid w:val="008E2435"/>
    <w:rsid w:val="008E2700"/>
    <w:rsid w:val="008E4C20"/>
    <w:rsid w:val="008F3AD2"/>
    <w:rsid w:val="008F78FD"/>
    <w:rsid w:val="00902473"/>
    <w:rsid w:val="00902D37"/>
    <w:rsid w:val="00902F4F"/>
    <w:rsid w:val="00902F7B"/>
    <w:rsid w:val="00905226"/>
    <w:rsid w:val="009117E9"/>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40A1A"/>
    <w:rsid w:val="00941EDA"/>
    <w:rsid w:val="00945350"/>
    <w:rsid w:val="00945C9B"/>
    <w:rsid w:val="00947B76"/>
    <w:rsid w:val="00954097"/>
    <w:rsid w:val="00955C4C"/>
    <w:rsid w:val="009567F0"/>
    <w:rsid w:val="00956D53"/>
    <w:rsid w:val="00956E53"/>
    <w:rsid w:val="00961D71"/>
    <w:rsid w:val="00961E03"/>
    <w:rsid w:val="00963A67"/>
    <w:rsid w:val="009642DF"/>
    <w:rsid w:val="00966166"/>
    <w:rsid w:val="00966C76"/>
    <w:rsid w:val="00974073"/>
    <w:rsid w:val="00976852"/>
    <w:rsid w:val="009824C8"/>
    <w:rsid w:val="00987852"/>
    <w:rsid w:val="00993D85"/>
    <w:rsid w:val="009946BE"/>
    <w:rsid w:val="0099600D"/>
    <w:rsid w:val="009A08DF"/>
    <w:rsid w:val="009A64C4"/>
    <w:rsid w:val="009C20D0"/>
    <w:rsid w:val="009C219D"/>
    <w:rsid w:val="009C4614"/>
    <w:rsid w:val="009C7D16"/>
    <w:rsid w:val="009D23EF"/>
    <w:rsid w:val="009D6159"/>
    <w:rsid w:val="009D7F7A"/>
    <w:rsid w:val="009E1D8F"/>
    <w:rsid w:val="009E1EC0"/>
    <w:rsid w:val="009E2D53"/>
    <w:rsid w:val="009E6C4F"/>
    <w:rsid w:val="009E70E6"/>
    <w:rsid w:val="009F0EFA"/>
    <w:rsid w:val="009F11CF"/>
    <w:rsid w:val="009F1279"/>
    <w:rsid w:val="009F68B5"/>
    <w:rsid w:val="00A0449E"/>
    <w:rsid w:val="00A05B1C"/>
    <w:rsid w:val="00A07847"/>
    <w:rsid w:val="00A12857"/>
    <w:rsid w:val="00A16DCD"/>
    <w:rsid w:val="00A24811"/>
    <w:rsid w:val="00A251C7"/>
    <w:rsid w:val="00A26996"/>
    <w:rsid w:val="00A274FC"/>
    <w:rsid w:val="00A309AC"/>
    <w:rsid w:val="00A33C7F"/>
    <w:rsid w:val="00A34027"/>
    <w:rsid w:val="00A35945"/>
    <w:rsid w:val="00A4014F"/>
    <w:rsid w:val="00A42868"/>
    <w:rsid w:val="00A44A1E"/>
    <w:rsid w:val="00A4565A"/>
    <w:rsid w:val="00A50ED5"/>
    <w:rsid w:val="00A52CCD"/>
    <w:rsid w:val="00A545B2"/>
    <w:rsid w:val="00A554A0"/>
    <w:rsid w:val="00A56356"/>
    <w:rsid w:val="00A5745C"/>
    <w:rsid w:val="00A63860"/>
    <w:rsid w:val="00A653A2"/>
    <w:rsid w:val="00A675FD"/>
    <w:rsid w:val="00A719F9"/>
    <w:rsid w:val="00A71BB0"/>
    <w:rsid w:val="00A74979"/>
    <w:rsid w:val="00A7696A"/>
    <w:rsid w:val="00A769C4"/>
    <w:rsid w:val="00A77FFB"/>
    <w:rsid w:val="00A81690"/>
    <w:rsid w:val="00A83C88"/>
    <w:rsid w:val="00A850B7"/>
    <w:rsid w:val="00A90C30"/>
    <w:rsid w:val="00AA4BEA"/>
    <w:rsid w:val="00AA5215"/>
    <w:rsid w:val="00AA7474"/>
    <w:rsid w:val="00AB2280"/>
    <w:rsid w:val="00AB546D"/>
    <w:rsid w:val="00AC1F01"/>
    <w:rsid w:val="00AC3BFA"/>
    <w:rsid w:val="00AC6D46"/>
    <w:rsid w:val="00AD4C00"/>
    <w:rsid w:val="00AD4D03"/>
    <w:rsid w:val="00AD64D8"/>
    <w:rsid w:val="00AD7301"/>
    <w:rsid w:val="00AE00C7"/>
    <w:rsid w:val="00AE1D5D"/>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434BE"/>
    <w:rsid w:val="00B44C9A"/>
    <w:rsid w:val="00B4752D"/>
    <w:rsid w:val="00B518D4"/>
    <w:rsid w:val="00B51E41"/>
    <w:rsid w:val="00B52F52"/>
    <w:rsid w:val="00B53945"/>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E9A"/>
    <w:rsid w:val="00BA0F90"/>
    <w:rsid w:val="00BA4E0D"/>
    <w:rsid w:val="00BB1AD4"/>
    <w:rsid w:val="00BB2E06"/>
    <w:rsid w:val="00BB3145"/>
    <w:rsid w:val="00BC2DFF"/>
    <w:rsid w:val="00BC44EE"/>
    <w:rsid w:val="00BC76E4"/>
    <w:rsid w:val="00BD0908"/>
    <w:rsid w:val="00BD0DCE"/>
    <w:rsid w:val="00BD2782"/>
    <w:rsid w:val="00BD33F2"/>
    <w:rsid w:val="00BD54BF"/>
    <w:rsid w:val="00BD7175"/>
    <w:rsid w:val="00BE0DC8"/>
    <w:rsid w:val="00BE79D1"/>
    <w:rsid w:val="00BF13A7"/>
    <w:rsid w:val="00BF4169"/>
    <w:rsid w:val="00BF472E"/>
    <w:rsid w:val="00BF7DFA"/>
    <w:rsid w:val="00C03CD1"/>
    <w:rsid w:val="00C07058"/>
    <w:rsid w:val="00C11584"/>
    <w:rsid w:val="00C12789"/>
    <w:rsid w:val="00C15933"/>
    <w:rsid w:val="00C167E7"/>
    <w:rsid w:val="00C20B4C"/>
    <w:rsid w:val="00C20CC5"/>
    <w:rsid w:val="00C2494E"/>
    <w:rsid w:val="00C24D28"/>
    <w:rsid w:val="00C27D47"/>
    <w:rsid w:val="00C307BD"/>
    <w:rsid w:val="00C33DA4"/>
    <w:rsid w:val="00C35789"/>
    <w:rsid w:val="00C42166"/>
    <w:rsid w:val="00C421CA"/>
    <w:rsid w:val="00C433B8"/>
    <w:rsid w:val="00C4446E"/>
    <w:rsid w:val="00C5181A"/>
    <w:rsid w:val="00C51E36"/>
    <w:rsid w:val="00C61226"/>
    <w:rsid w:val="00C643AB"/>
    <w:rsid w:val="00C64C5A"/>
    <w:rsid w:val="00C65EDC"/>
    <w:rsid w:val="00C72EF9"/>
    <w:rsid w:val="00C819A4"/>
    <w:rsid w:val="00C83786"/>
    <w:rsid w:val="00C84B2D"/>
    <w:rsid w:val="00C85CCE"/>
    <w:rsid w:val="00C870AF"/>
    <w:rsid w:val="00C903D3"/>
    <w:rsid w:val="00C91CCF"/>
    <w:rsid w:val="00C926AF"/>
    <w:rsid w:val="00CA07E4"/>
    <w:rsid w:val="00CA605D"/>
    <w:rsid w:val="00CA72F7"/>
    <w:rsid w:val="00CB0E45"/>
    <w:rsid w:val="00CB1B5C"/>
    <w:rsid w:val="00CB2F01"/>
    <w:rsid w:val="00CC1C6D"/>
    <w:rsid w:val="00CC4AF3"/>
    <w:rsid w:val="00CC5B87"/>
    <w:rsid w:val="00CD2501"/>
    <w:rsid w:val="00CD362B"/>
    <w:rsid w:val="00CD39B2"/>
    <w:rsid w:val="00CD3B11"/>
    <w:rsid w:val="00CD5CFD"/>
    <w:rsid w:val="00CD5D29"/>
    <w:rsid w:val="00CD7F8F"/>
    <w:rsid w:val="00CE1B29"/>
    <w:rsid w:val="00CE1C23"/>
    <w:rsid w:val="00CE3C21"/>
    <w:rsid w:val="00CF08B0"/>
    <w:rsid w:val="00CF2576"/>
    <w:rsid w:val="00CF734C"/>
    <w:rsid w:val="00D048A7"/>
    <w:rsid w:val="00D059D9"/>
    <w:rsid w:val="00D05C08"/>
    <w:rsid w:val="00D151CD"/>
    <w:rsid w:val="00D20003"/>
    <w:rsid w:val="00D20AC9"/>
    <w:rsid w:val="00D244DC"/>
    <w:rsid w:val="00D269E0"/>
    <w:rsid w:val="00D379B4"/>
    <w:rsid w:val="00D40316"/>
    <w:rsid w:val="00D413BF"/>
    <w:rsid w:val="00D426B1"/>
    <w:rsid w:val="00D43BD4"/>
    <w:rsid w:val="00D44AD6"/>
    <w:rsid w:val="00D513B3"/>
    <w:rsid w:val="00D5404C"/>
    <w:rsid w:val="00D54736"/>
    <w:rsid w:val="00D54B65"/>
    <w:rsid w:val="00D60660"/>
    <w:rsid w:val="00D703FE"/>
    <w:rsid w:val="00D7165F"/>
    <w:rsid w:val="00D750EB"/>
    <w:rsid w:val="00D77BBA"/>
    <w:rsid w:val="00D84F53"/>
    <w:rsid w:val="00D86EAE"/>
    <w:rsid w:val="00D92D1E"/>
    <w:rsid w:val="00D936C9"/>
    <w:rsid w:val="00D94AF5"/>
    <w:rsid w:val="00DA26DF"/>
    <w:rsid w:val="00DA2FC4"/>
    <w:rsid w:val="00DA58BE"/>
    <w:rsid w:val="00DA6EC8"/>
    <w:rsid w:val="00DA7E22"/>
    <w:rsid w:val="00DB0521"/>
    <w:rsid w:val="00DB32C6"/>
    <w:rsid w:val="00DB537B"/>
    <w:rsid w:val="00DC15F1"/>
    <w:rsid w:val="00DC220C"/>
    <w:rsid w:val="00DD0473"/>
    <w:rsid w:val="00DD0B1F"/>
    <w:rsid w:val="00DD281C"/>
    <w:rsid w:val="00DD53BD"/>
    <w:rsid w:val="00DE0C29"/>
    <w:rsid w:val="00E02BE4"/>
    <w:rsid w:val="00E049B4"/>
    <w:rsid w:val="00E0514B"/>
    <w:rsid w:val="00E05A3F"/>
    <w:rsid w:val="00E05FB1"/>
    <w:rsid w:val="00E06DAD"/>
    <w:rsid w:val="00E103B0"/>
    <w:rsid w:val="00E1107B"/>
    <w:rsid w:val="00E147DD"/>
    <w:rsid w:val="00E2569F"/>
    <w:rsid w:val="00E30A53"/>
    <w:rsid w:val="00E33FE5"/>
    <w:rsid w:val="00E34A2A"/>
    <w:rsid w:val="00E35AF0"/>
    <w:rsid w:val="00E362B3"/>
    <w:rsid w:val="00E37EE7"/>
    <w:rsid w:val="00E422E3"/>
    <w:rsid w:val="00E43688"/>
    <w:rsid w:val="00E456C6"/>
    <w:rsid w:val="00E47526"/>
    <w:rsid w:val="00E47B5C"/>
    <w:rsid w:val="00E5289B"/>
    <w:rsid w:val="00E535FA"/>
    <w:rsid w:val="00E56BA7"/>
    <w:rsid w:val="00E5771D"/>
    <w:rsid w:val="00E63FCD"/>
    <w:rsid w:val="00E64F8A"/>
    <w:rsid w:val="00E67750"/>
    <w:rsid w:val="00E677E7"/>
    <w:rsid w:val="00E71190"/>
    <w:rsid w:val="00E75CA7"/>
    <w:rsid w:val="00E763F4"/>
    <w:rsid w:val="00E76523"/>
    <w:rsid w:val="00E76A46"/>
    <w:rsid w:val="00E76B5C"/>
    <w:rsid w:val="00E836AF"/>
    <w:rsid w:val="00E85601"/>
    <w:rsid w:val="00E85EF4"/>
    <w:rsid w:val="00E86E91"/>
    <w:rsid w:val="00E94566"/>
    <w:rsid w:val="00E94860"/>
    <w:rsid w:val="00EA19C9"/>
    <w:rsid w:val="00EA63A7"/>
    <w:rsid w:val="00EA659F"/>
    <w:rsid w:val="00EB1E10"/>
    <w:rsid w:val="00EB7547"/>
    <w:rsid w:val="00EB7684"/>
    <w:rsid w:val="00EC008D"/>
    <w:rsid w:val="00EC2B23"/>
    <w:rsid w:val="00EC4A17"/>
    <w:rsid w:val="00EC744D"/>
    <w:rsid w:val="00ED10BE"/>
    <w:rsid w:val="00ED1D3A"/>
    <w:rsid w:val="00ED256B"/>
    <w:rsid w:val="00ED44D2"/>
    <w:rsid w:val="00ED696E"/>
    <w:rsid w:val="00EE0440"/>
    <w:rsid w:val="00EE08E8"/>
    <w:rsid w:val="00EE6196"/>
    <w:rsid w:val="00EE77A2"/>
    <w:rsid w:val="00EF31CF"/>
    <w:rsid w:val="00EF478C"/>
    <w:rsid w:val="00EF4C0F"/>
    <w:rsid w:val="00EF5557"/>
    <w:rsid w:val="00EF63BE"/>
    <w:rsid w:val="00EF7692"/>
    <w:rsid w:val="00F002C9"/>
    <w:rsid w:val="00F12DCE"/>
    <w:rsid w:val="00F12FAD"/>
    <w:rsid w:val="00F13B57"/>
    <w:rsid w:val="00F141EC"/>
    <w:rsid w:val="00F142CB"/>
    <w:rsid w:val="00F16A17"/>
    <w:rsid w:val="00F20E96"/>
    <w:rsid w:val="00F260C9"/>
    <w:rsid w:val="00F272B2"/>
    <w:rsid w:val="00F30B11"/>
    <w:rsid w:val="00F31418"/>
    <w:rsid w:val="00F32DEE"/>
    <w:rsid w:val="00F34519"/>
    <w:rsid w:val="00F35998"/>
    <w:rsid w:val="00F44C19"/>
    <w:rsid w:val="00F44F26"/>
    <w:rsid w:val="00F455C2"/>
    <w:rsid w:val="00F45C7C"/>
    <w:rsid w:val="00F5385D"/>
    <w:rsid w:val="00F573A4"/>
    <w:rsid w:val="00F67DD9"/>
    <w:rsid w:val="00F7009B"/>
    <w:rsid w:val="00F70C0E"/>
    <w:rsid w:val="00F7137F"/>
    <w:rsid w:val="00F724E2"/>
    <w:rsid w:val="00F73835"/>
    <w:rsid w:val="00F742F9"/>
    <w:rsid w:val="00F7764C"/>
    <w:rsid w:val="00F819EA"/>
    <w:rsid w:val="00F82744"/>
    <w:rsid w:val="00F828C2"/>
    <w:rsid w:val="00F8507F"/>
    <w:rsid w:val="00F864B6"/>
    <w:rsid w:val="00F90544"/>
    <w:rsid w:val="00F9421B"/>
    <w:rsid w:val="00F94FF9"/>
    <w:rsid w:val="00F95D36"/>
    <w:rsid w:val="00F9791A"/>
    <w:rsid w:val="00FA02D8"/>
    <w:rsid w:val="00FA2355"/>
    <w:rsid w:val="00FA2933"/>
    <w:rsid w:val="00FB05EA"/>
    <w:rsid w:val="00FB2AE2"/>
    <w:rsid w:val="00FC3370"/>
    <w:rsid w:val="00FC372B"/>
    <w:rsid w:val="00FC3C0B"/>
    <w:rsid w:val="00FC43F4"/>
    <w:rsid w:val="00FC527B"/>
    <w:rsid w:val="00FC62E0"/>
    <w:rsid w:val="00FD4657"/>
    <w:rsid w:val="00FD78CF"/>
    <w:rsid w:val="00FE0CE3"/>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451"/>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link w:val="BalloonTextChar"/>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635451"/>
    <w:rPr>
      <w:color w:val="943634" w:themeColor="accent2" w:themeShade="BF"/>
      <w:spacing w:val="-5"/>
      <w:w w:val="130"/>
      <w:position w:val="-4"/>
      <w:vertAlign w:val="superscript"/>
    </w:rPr>
  </w:style>
  <w:style w:type="character" w:styleId="EndnoteReference">
    <w:name w:val="endnote reference"/>
    <w:aliases w:val="1_G"/>
    <w:rsid w:val="00546F5D"/>
    <w:rPr>
      <w:spacing w:val="-5"/>
      <w:w w:val="130"/>
      <w:position w:val="-4"/>
      <w:vertAlign w:val="superscript"/>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aliases w:val="2_G"/>
    <w:basedOn w:val="FootnoteText"/>
    <w:link w:val="EndnoteTextChar"/>
    <w:rsid w:val="00546F5D"/>
  </w:style>
  <w:style w:type="paragraph" w:styleId="Footer">
    <w:name w:val="footer"/>
    <w:aliases w:val="3_G"/>
    <w:link w:val="FooterCha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themeColor="hyperlink"/>
      <w:u w:val="singl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CommentTextChar"/>
    <w:rsid w:val="00874659"/>
    <w:pPr>
      <w:spacing w:line="240" w:lineRule="auto"/>
    </w:pPr>
  </w:style>
  <w:style w:type="character" w:customStyle="1" w:styleId="CommentTextChar">
    <w:name w:val="Comment Text Char"/>
    <w:basedOn w:val="DefaultParagraphFont"/>
    <w:link w:val="CommentText"/>
    <w:rsid w:val="00874659"/>
    <w:rPr>
      <w:spacing w:val="4"/>
      <w:w w:val="103"/>
      <w:kern w:val="14"/>
      <w:lang w:val="en-GB"/>
    </w:rPr>
  </w:style>
  <w:style w:type="paragraph" w:styleId="CommentSubject">
    <w:name w:val="annotation subject"/>
    <w:basedOn w:val="CommentText"/>
    <w:next w:val="CommentText"/>
    <w:link w:val="CommentSubjectChar"/>
    <w:rsid w:val="00874659"/>
    <w:rPr>
      <w:b/>
      <w:bCs/>
    </w:rPr>
  </w:style>
  <w:style w:type="character" w:customStyle="1" w:styleId="CommentSubjectChar">
    <w:name w:val="Comment Subject Char"/>
    <w:basedOn w:val="CommentTextChar"/>
    <w:link w:val="CommentSubject"/>
    <w:rsid w:val="00874659"/>
    <w:rPr>
      <w:b/>
      <w:bCs/>
      <w:spacing w:val="4"/>
      <w:w w:val="103"/>
      <w:kern w:val="14"/>
      <w:lang w:val="en-GB"/>
    </w:rPr>
  </w:style>
  <w:style w:type="character" w:customStyle="1" w:styleId="FootnoteTextChar">
    <w:name w:val="Footnote Text Char"/>
    <w:aliases w:val="5_G Char"/>
    <w:link w:val="FootnoteText"/>
    <w:rsid w:val="00E30A53"/>
    <w:rPr>
      <w:spacing w:val="5"/>
      <w:w w:val="103"/>
      <w:kern w:val="14"/>
      <w:sz w:val="17"/>
      <w:lang w:val="en-GB"/>
    </w:rPr>
  </w:style>
  <w:style w:type="character" w:customStyle="1" w:styleId="EndnoteTextChar">
    <w:name w:val="Endnote Text Char"/>
    <w:aliases w:val="2_G Char"/>
    <w:link w:val="EndnoteText"/>
    <w:rsid w:val="00E30A53"/>
    <w:rPr>
      <w:spacing w:val="5"/>
      <w:w w:val="103"/>
      <w:kern w:val="14"/>
      <w:sz w:val="17"/>
      <w:lang w:val="en-GB"/>
    </w:rPr>
  </w:style>
  <w:style w:type="character" w:customStyle="1" w:styleId="FooterChar">
    <w:name w:val="Footer Char"/>
    <w:aliases w:val="3_G Char"/>
    <w:link w:val="Footer"/>
    <w:rsid w:val="00E30A53"/>
    <w:rPr>
      <w:b/>
      <w:noProof/>
      <w:sz w:val="17"/>
    </w:rPr>
  </w:style>
  <w:style w:type="paragraph" w:customStyle="1" w:styleId="Bullet1G">
    <w:name w:val="_Bullet 1_G"/>
    <w:basedOn w:val="Normal"/>
    <w:rsid w:val="00E30A53"/>
    <w:pPr>
      <w:numPr>
        <w:numId w:val="3"/>
      </w:numPr>
      <w:spacing w:after="120" w:line="240" w:lineRule="atLeast"/>
      <w:ind w:right="1134"/>
      <w:jc w:val="both"/>
    </w:pPr>
    <w:rPr>
      <w:rFonts w:eastAsia="Times New Roman"/>
      <w:spacing w:val="0"/>
      <w:w w:val="100"/>
      <w:kern w:val="0"/>
      <w:lang w:eastAsia="en-US"/>
    </w:rPr>
  </w:style>
  <w:style w:type="character" w:customStyle="1" w:styleId="BalloonTextChar">
    <w:name w:val="Balloon Text Char"/>
    <w:link w:val="BalloonText"/>
    <w:rsid w:val="00E30A53"/>
    <w:rPr>
      <w:rFonts w:ascii="Tahoma" w:hAnsi="Tahoma" w:cs="Tahoma"/>
      <w:spacing w:val="4"/>
      <w:w w:val="103"/>
      <w:kern w:val="14"/>
      <w:sz w:val="16"/>
      <w:szCs w:val="16"/>
      <w:lang w:val="en-GB"/>
    </w:rPr>
  </w:style>
  <w:style w:type="paragraph" w:styleId="Revision">
    <w:name w:val="Revision"/>
    <w:hidden/>
    <w:uiPriority w:val="99"/>
    <w:semiHidden/>
    <w:rsid w:val="00F002C9"/>
    <w:rPr>
      <w:spacing w:val="4"/>
      <w:w w:val="103"/>
      <w:kern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451"/>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link w:val="BalloonTextChar"/>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635451"/>
    <w:rPr>
      <w:color w:val="943634" w:themeColor="accent2" w:themeShade="BF"/>
      <w:spacing w:val="-5"/>
      <w:w w:val="130"/>
      <w:position w:val="-4"/>
      <w:vertAlign w:val="superscript"/>
    </w:rPr>
  </w:style>
  <w:style w:type="character" w:styleId="EndnoteReference">
    <w:name w:val="endnote reference"/>
    <w:aliases w:val="1_G"/>
    <w:rsid w:val="00546F5D"/>
    <w:rPr>
      <w:spacing w:val="-5"/>
      <w:w w:val="130"/>
      <w:position w:val="-4"/>
      <w:vertAlign w:val="superscript"/>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aliases w:val="2_G"/>
    <w:basedOn w:val="FootnoteText"/>
    <w:link w:val="EndnoteTextChar"/>
    <w:rsid w:val="00546F5D"/>
  </w:style>
  <w:style w:type="paragraph" w:styleId="Footer">
    <w:name w:val="footer"/>
    <w:aliases w:val="3_G"/>
    <w:link w:val="FooterCha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themeColor="hyperlink"/>
      <w:u w:val="singl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CommentTextChar"/>
    <w:rsid w:val="00874659"/>
    <w:pPr>
      <w:spacing w:line="240" w:lineRule="auto"/>
    </w:pPr>
  </w:style>
  <w:style w:type="character" w:customStyle="1" w:styleId="CommentTextChar">
    <w:name w:val="Comment Text Char"/>
    <w:basedOn w:val="DefaultParagraphFont"/>
    <w:link w:val="CommentText"/>
    <w:rsid w:val="00874659"/>
    <w:rPr>
      <w:spacing w:val="4"/>
      <w:w w:val="103"/>
      <w:kern w:val="14"/>
      <w:lang w:val="en-GB"/>
    </w:rPr>
  </w:style>
  <w:style w:type="paragraph" w:styleId="CommentSubject">
    <w:name w:val="annotation subject"/>
    <w:basedOn w:val="CommentText"/>
    <w:next w:val="CommentText"/>
    <w:link w:val="CommentSubjectChar"/>
    <w:rsid w:val="00874659"/>
    <w:rPr>
      <w:b/>
      <w:bCs/>
    </w:rPr>
  </w:style>
  <w:style w:type="character" w:customStyle="1" w:styleId="CommentSubjectChar">
    <w:name w:val="Comment Subject Char"/>
    <w:basedOn w:val="CommentTextChar"/>
    <w:link w:val="CommentSubject"/>
    <w:rsid w:val="00874659"/>
    <w:rPr>
      <w:b/>
      <w:bCs/>
      <w:spacing w:val="4"/>
      <w:w w:val="103"/>
      <w:kern w:val="14"/>
      <w:lang w:val="en-GB"/>
    </w:rPr>
  </w:style>
  <w:style w:type="character" w:customStyle="1" w:styleId="FootnoteTextChar">
    <w:name w:val="Footnote Text Char"/>
    <w:aliases w:val="5_G Char"/>
    <w:link w:val="FootnoteText"/>
    <w:rsid w:val="00E30A53"/>
    <w:rPr>
      <w:spacing w:val="5"/>
      <w:w w:val="103"/>
      <w:kern w:val="14"/>
      <w:sz w:val="17"/>
      <w:lang w:val="en-GB"/>
    </w:rPr>
  </w:style>
  <w:style w:type="character" w:customStyle="1" w:styleId="EndnoteTextChar">
    <w:name w:val="Endnote Text Char"/>
    <w:aliases w:val="2_G Char"/>
    <w:link w:val="EndnoteText"/>
    <w:rsid w:val="00E30A53"/>
    <w:rPr>
      <w:spacing w:val="5"/>
      <w:w w:val="103"/>
      <w:kern w:val="14"/>
      <w:sz w:val="17"/>
      <w:lang w:val="en-GB"/>
    </w:rPr>
  </w:style>
  <w:style w:type="character" w:customStyle="1" w:styleId="FooterChar">
    <w:name w:val="Footer Char"/>
    <w:aliases w:val="3_G Char"/>
    <w:link w:val="Footer"/>
    <w:rsid w:val="00E30A53"/>
    <w:rPr>
      <w:b/>
      <w:noProof/>
      <w:sz w:val="17"/>
    </w:rPr>
  </w:style>
  <w:style w:type="paragraph" w:customStyle="1" w:styleId="Bullet1G">
    <w:name w:val="_Bullet 1_G"/>
    <w:basedOn w:val="Normal"/>
    <w:rsid w:val="00E30A53"/>
    <w:pPr>
      <w:numPr>
        <w:numId w:val="3"/>
      </w:numPr>
      <w:spacing w:after="120" w:line="240" w:lineRule="atLeast"/>
      <w:ind w:right="1134"/>
      <w:jc w:val="both"/>
    </w:pPr>
    <w:rPr>
      <w:rFonts w:eastAsia="Times New Roman"/>
      <w:spacing w:val="0"/>
      <w:w w:val="100"/>
      <w:kern w:val="0"/>
      <w:lang w:eastAsia="en-US"/>
    </w:rPr>
  </w:style>
  <w:style w:type="character" w:customStyle="1" w:styleId="BalloonTextChar">
    <w:name w:val="Balloon Text Char"/>
    <w:link w:val="BalloonText"/>
    <w:rsid w:val="00E30A53"/>
    <w:rPr>
      <w:rFonts w:ascii="Tahoma" w:hAnsi="Tahoma" w:cs="Tahoma"/>
      <w:spacing w:val="4"/>
      <w:w w:val="103"/>
      <w:kern w:val="14"/>
      <w:sz w:val="16"/>
      <w:szCs w:val="16"/>
      <w:lang w:val="en-GB"/>
    </w:rPr>
  </w:style>
  <w:style w:type="paragraph" w:styleId="Revision">
    <w:name w:val="Revision"/>
    <w:hidden/>
    <w:uiPriority w:val="99"/>
    <w:semiHidden/>
    <w:rsid w:val="00F002C9"/>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96636">
      <w:bodyDiv w:val="1"/>
      <w:marLeft w:val="0"/>
      <w:marRight w:val="0"/>
      <w:marTop w:val="0"/>
      <w:marBottom w:val="0"/>
      <w:divBdr>
        <w:top w:val="none" w:sz="0" w:space="0" w:color="auto"/>
        <w:left w:val="none" w:sz="0" w:space="0" w:color="auto"/>
        <w:bottom w:val="none" w:sz="0" w:space="0" w:color="auto"/>
        <w:right w:val="none" w:sz="0" w:space="0" w:color="auto"/>
      </w:divBdr>
    </w:div>
    <w:div w:id="710107479">
      <w:bodyDiv w:val="1"/>
      <w:marLeft w:val="0"/>
      <w:marRight w:val="0"/>
      <w:marTop w:val="0"/>
      <w:marBottom w:val="0"/>
      <w:divBdr>
        <w:top w:val="none" w:sz="0" w:space="0" w:color="auto"/>
        <w:left w:val="none" w:sz="0" w:space="0" w:color="auto"/>
        <w:bottom w:val="none" w:sz="0" w:space="0" w:color="auto"/>
        <w:right w:val="none" w:sz="0" w:space="0" w:color="auto"/>
      </w:divBdr>
    </w:div>
    <w:div w:id="726952830">
      <w:bodyDiv w:val="1"/>
      <w:marLeft w:val="0"/>
      <w:marRight w:val="0"/>
      <w:marTop w:val="0"/>
      <w:marBottom w:val="0"/>
      <w:divBdr>
        <w:top w:val="none" w:sz="0" w:space="0" w:color="auto"/>
        <w:left w:val="none" w:sz="0" w:space="0" w:color="auto"/>
        <w:bottom w:val="none" w:sz="0" w:space="0" w:color="auto"/>
        <w:right w:val="none" w:sz="0" w:space="0" w:color="auto"/>
      </w:divBdr>
    </w:div>
    <w:div w:id="1021860604">
      <w:bodyDiv w:val="1"/>
      <w:marLeft w:val="0"/>
      <w:marRight w:val="0"/>
      <w:marTop w:val="0"/>
      <w:marBottom w:val="0"/>
      <w:divBdr>
        <w:top w:val="none" w:sz="0" w:space="0" w:color="auto"/>
        <w:left w:val="none" w:sz="0" w:space="0" w:color="auto"/>
        <w:bottom w:val="none" w:sz="0" w:space="0" w:color="auto"/>
        <w:right w:val="none" w:sz="0" w:space="0" w:color="auto"/>
      </w:divBdr>
    </w:div>
    <w:div w:id="1162744616">
      <w:bodyDiv w:val="1"/>
      <w:marLeft w:val="0"/>
      <w:marRight w:val="0"/>
      <w:marTop w:val="0"/>
      <w:marBottom w:val="0"/>
      <w:divBdr>
        <w:top w:val="none" w:sz="0" w:space="0" w:color="auto"/>
        <w:left w:val="none" w:sz="0" w:space="0" w:color="auto"/>
        <w:bottom w:val="none" w:sz="0" w:space="0" w:color="auto"/>
        <w:right w:val="none" w:sz="0" w:space="0" w:color="auto"/>
      </w:divBdr>
    </w:div>
    <w:div w:id="1205488102">
      <w:bodyDiv w:val="1"/>
      <w:marLeft w:val="0"/>
      <w:marRight w:val="0"/>
      <w:marTop w:val="0"/>
      <w:marBottom w:val="0"/>
      <w:divBdr>
        <w:top w:val="none" w:sz="0" w:space="0" w:color="auto"/>
        <w:left w:val="none" w:sz="0" w:space="0" w:color="auto"/>
        <w:bottom w:val="none" w:sz="0" w:space="0" w:color="auto"/>
        <w:right w:val="none" w:sz="0" w:space="0" w:color="auto"/>
      </w:divBdr>
    </w:div>
    <w:div w:id="1554148681">
      <w:bodyDiv w:val="1"/>
      <w:marLeft w:val="0"/>
      <w:marRight w:val="0"/>
      <w:marTop w:val="0"/>
      <w:marBottom w:val="0"/>
      <w:divBdr>
        <w:top w:val="none" w:sz="0" w:space="0" w:color="auto"/>
        <w:left w:val="none" w:sz="0" w:space="0" w:color="auto"/>
        <w:bottom w:val="none" w:sz="0" w:space="0" w:color="auto"/>
        <w:right w:val="none" w:sz="0" w:space="0" w:color="auto"/>
      </w:divBdr>
    </w:div>
    <w:div w:id="1797487418">
      <w:bodyDiv w:val="1"/>
      <w:marLeft w:val="0"/>
      <w:marRight w:val="0"/>
      <w:marTop w:val="0"/>
      <w:marBottom w:val="0"/>
      <w:divBdr>
        <w:top w:val="none" w:sz="0" w:space="0" w:color="auto"/>
        <w:left w:val="none" w:sz="0" w:space="0" w:color="auto"/>
        <w:bottom w:val="none" w:sz="0" w:space="0" w:color="auto"/>
        <w:right w:val="none" w:sz="0" w:space="0" w:color="auto"/>
      </w:divBdr>
    </w:div>
    <w:div w:id="1905752447">
      <w:bodyDiv w:val="1"/>
      <w:marLeft w:val="0"/>
      <w:marRight w:val="0"/>
      <w:marTop w:val="0"/>
      <w:marBottom w:val="0"/>
      <w:divBdr>
        <w:top w:val="none" w:sz="0" w:space="0" w:color="auto"/>
        <w:left w:val="none" w:sz="0" w:space="0" w:color="auto"/>
        <w:bottom w:val="none" w:sz="0" w:space="0" w:color="auto"/>
        <w:right w:val="none" w:sz="0" w:space="0" w:color="auto"/>
      </w:divBdr>
    </w:div>
    <w:div w:id="20446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cnm.gov.ar/GNR/GuiaNacionalRecursos.html" TargetMode="External"/><Relationship Id="rId2" Type="http://schemas.openxmlformats.org/officeDocument/2006/relationships/hyperlink" Target="http://www.vivirsinviolencia.gov.ar/" TargetMode="External"/><Relationship Id="rId1" Type="http://schemas.openxmlformats.org/officeDocument/2006/relationships/hyperlink" Target="http://www.sacatarjetaroja.com.ar/" TargetMode="External"/><Relationship Id="rId4" Type="http://schemas.openxmlformats.org/officeDocument/2006/relationships/hyperlink" Target="http://www.obserdiscriminacion.gov.ar"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516D8-D98D-4B7E-A11A-4EEA61B79962}"/>
</file>

<file path=customXml/itemProps2.xml><?xml version="1.0" encoding="utf-8"?>
<ds:datastoreItem xmlns:ds="http://schemas.openxmlformats.org/officeDocument/2006/customXml" ds:itemID="{1A318C79-9EFB-4E51-878D-A019E9C624AA}"/>
</file>

<file path=customXml/itemProps3.xml><?xml version="1.0" encoding="utf-8"?>
<ds:datastoreItem xmlns:ds="http://schemas.openxmlformats.org/officeDocument/2006/customXml" ds:itemID="{D15E74A4-4BE9-401E-8409-D6ADDD14C124}"/>
</file>

<file path=customXml/itemProps4.xml><?xml version="1.0" encoding="utf-8"?>
<ds:datastoreItem xmlns:ds="http://schemas.openxmlformats.org/officeDocument/2006/customXml" ds:itemID="{24EF1885-2034-4673-ADF3-C29B5E7F452F}"/>
</file>

<file path=docProps/app.xml><?xml version="1.0" encoding="utf-8"?>
<Properties xmlns="http://schemas.openxmlformats.org/officeDocument/2006/extended-properties" xmlns:vt="http://schemas.openxmlformats.org/officeDocument/2006/docPropsVTypes">
  <Template>Normal</Template>
  <TotalTime>0</TotalTime>
  <Pages>10</Pages>
  <Words>2569</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Revision1 in English (Word)</dc:title>
  <dc:creator>Morris Helen</dc:creator>
  <cp:lastModifiedBy>Sumiko IHARA</cp:lastModifiedBy>
  <cp:revision>2</cp:revision>
  <cp:lastPrinted>2015-07-29T09:40:00Z</cp:lastPrinted>
  <dcterms:created xsi:type="dcterms:W3CDTF">2015-08-14T12:36:00Z</dcterms:created>
  <dcterms:modified xsi:type="dcterms:W3CDTF">2015-08-14T12:36:00Z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SRefJobNo">
    <vt:lpwstr>15E</vt:lpwstr>
  </property>
  <property fmtid="{D5CDD505-2E9C-101B-9397-08002B2CF9AE}" pid="3" name="Symbol2">
    <vt:lpwstr/>
  </property>
  <property fmtid="{D5CDD505-2E9C-101B-9397-08002B2CF9AE}" pid="4" name="Translator">
    <vt:lpwstr/>
  </property>
  <property fmtid="{D5CDD505-2E9C-101B-9397-08002B2CF9AE}" pid="5" name="Operator">
    <vt:lpwstr>HLM</vt:lpwstr>
  </property>
  <property fmtid="{D5CDD505-2E9C-101B-9397-08002B2CF9AE}" pid="6" name="DraftPages">
    <vt:lpwstr> </vt:lpwstr>
  </property>
  <property fmtid="{D5CDD505-2E9C-101B-9397-08002B2CF9AE}" pid="7" name="Comment">
    <vt:lpwstr/>
  </property>
  <property fmtid="{D5CDD505-2E9C-101B-9397-08002B2CF9AE}" pid="8" name="Distribution">
    <vt:lpwstr>General</vt:lpwstr>
  </property>
  <property fmtid="{D5CDD505-2E9C-101B-9397-08002B2CF9AE}" pid="9" name="Publication Date">
    <vt:lpwstr>3 June 2015</vt:lpwstr>
  </property>
  <property fmtid="{D5CDD505-2E9C-101B-9397-08002B2CF9AE}" pid="10" name="Original">
    <vt:lpwstr>Spanish</vt:lpwstr>
  </property>
  <property fmtid="{D5CDD505-2E9C-101B-9397-08002B2CF9AE}" pid="11" name="Release Date">
    <vt:lpwstr>270715</vt:lpwstr>
  </property>
  <property fmtid="{D5CDD505-2E9C-101B-9397-08002B2CF9AE}" pid="12" name="Symbol1">
    <vt:lpwstr>A/HRC/22/4/Add.1/Rev.1</vt:lpwstr>
  </property>
  <property fmtid="{D5CDD505-2E9C-101B-9397-08002B2CF9AE}" pid="13" name="JobNo">
    <vt:lpwstr>GE.1506411E</vt:lpwstr>
  </property>
  <property fmtid="{D5CDD505-2E9C-101B-9397-08002B2CF9AE}" pid="14" name="ContentTypeId">
    <vt:lpwstr>0x010100A16357C84A8A6A439E605EB3EB56852B</vt:lpwstr>
  </property>
  <property fmtid="{D5CDD505-2E9C-101B-9397-08002B2CF9AE}" pid="15" name="Order">
    <vt:r8>1368500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