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CA33F1">
        <w:rPr>
          <w:rFonts w:ascii="Times New Roman" w:hAnsi="Times New Roman"/>
          <w:b/>
          <w:sz w:val="24"/>
          <w:szCs w:val="24"/>
          <w:u w:val="single"/>
        </w:rPr>
        <w:t>NICARAGUA</w:t>
      </w:r>
    </w:p>
    <w:p w:rsidR="009A21C9" w:rsidRPr="00F7239A" w:rsidRDefault="009A21C9" w:rsidP="007D388B">
      <w:pPr>
        <w:jc w:val="center"/>
        <w:rPr>
          <w:rFonts w:ascii="Times New Roman" w:hAnsi="Times New Roman"/>
          <w:b/>
          <w:sz w:val="24"/>
          <w:szCs w:val="24"/>
          <w:u w:val="single"/>
        </w:rPr>
      </w:pPr>
    </w:p>
    <w:p w:rsidR="00CE45ED" w:rsidRDefault="00CE45ED" w:rsidP="00CE45ED">
      <w:pPr>
        <w:spacing w:after="200" w:line="240" w:lineRule="auto"/>
        <w:ind w:firstLine="360"/>
        <w:rPr>
          <w:rFonts w:ascii="Times New Roman" w:hAnsi="Times New Roman"/>
          <w:b/>
          <w:sz w:val="24"/>
          <w:szCs w:val="24"/>
        </w:rPr>
      </w:pPr>
      <w:r>
        <w:rPr>
          <w:rFonts w:ascii="Times New Roman" w:hAnsi="Times New Roman"/>
          <w:b/>
          <w:sz w:val="24"/>
          <w:szCs w:val="24"/>
        </w:rPr>
        <w:t>CZECH REPUBLIC</w:t>
      </w:r>
    </w:p>
    <w:p w:rsidR="00CE45ED" w:rsidRPr="00CE45ED" w:rsidRDefault="00CE45ED" w:rsidP="00CE45ED">
      <w:pPr>
        <w:pStyle w:val="ListParagraph"/>
        <w:numPr>
          <w:ilvl w:val="0"/>
          <w:numId w:val="23"/>
        </w:numPr>
        <w:autoSpaceDE w:val="0"/>
        <w:jc w:val="both"/>
        <w:rPr>
          <w:rFonts w:ascii="Times New Roman" w:hAnsi="Times New Roman"/>
          <w:sz w:val="24"/>
          <w:szCs w:val="24"/>
        </w:rPr>
      </w:pPr>
      <w:r w:rsidRPr="00CE45ED">
        <w:rPr>
          <w:rFonts w:ascii="Times New Roman" w:hAnsi="Times New Roman"/>
          <w:sz w:val="24"/>
          <w:szCs w:val="24"/>
        </w:rPr>
        <w:t xml:space="preserve">The Czech Republic welcomes Nicaragua’s support of certain recommendations made in the previous UPR, namely on the assistance, health care and protection of women and girls who are victims of rape and violence. Some serious concerns, however, remain. What measures has the Government been taking to protect women victims of violence after entering into force of the Amendments to Law 779 in September 2013 allowing, </w:t>
      </w:r>
      <w:r w:rsidRPr="00CE45ED">
        <w:rPr>
          <w:rFonts w:ascii="Times New Roman" w:hAnsi="Times New Roman"/>
          <w:i/>
          <w:sz w:val="24"/>
          <w:szCs w:val="24"/>
        </w:rPr>
        <w:t>inter alia</w:t>
      </w:r>
      <w:r w:rsidRPr="00CE45ED">
        <w:rPr>
          <w:rFonts w:ascii="Times New Roman" w:hAnsi="Times New Roman"/>
          <w:sz w:val="24"/>
          <w:szCs w:val="24"/>
        </w:rPr>
        <w:t>, the formerly banned use of mediation between the woman and the aggressor which is contradictory to the Government’s international and national obligations to protect women’s human rights?</w:t>
      </w:r>
    </w:p>
    <w:p w:rsidR="00CE45ED" w:rsidRPr="00CE45ED" w:rsidRDefault="00CE45ED" w:rsidP="00CE45ED">
      <w:pPr>
        <w:pStyle w:val="ListParagraph"/>
        <w:numPr>
          <w:ilvl w:val="0"/>
          <w:numId w:val="23"/>
        </w:numPr>
        <w:autoSpaceDE w:val="0"/>
        <w:jc w:val="both"/>
        <w:rPr>
          <w:rFonts w:ascii="Times New Roman" w:eastAsia="Malgun Gothic" w:hAnsi="Times New Roman"/>
          <w:sz w:val="24"/>
          <w:szCs w:val="24"/>
          <w:lang w:val="en-US"/>
        </w:rPr>
      </w:pPr>
      <w:r w:rsidRPr="00CE45ED">
        <w:rPr>
          <w:rFonts w:ascii="Times New Roman" w:hAnsi="Times New Roman"/>
          <w:sz w:val="24"/>
          <w:szCs w:val="24"/>
        </w:rPr>
        <w:t xml:space="preserve">In Nicaragua all forms of abortion are illegal. </w:t>
      </w:r>
      <w:r w:rsidRPr="00CE45ED">
        <w:rPr>
          <w:rFonts w:ascii="Times New Roman" w:eastAsia="Malgun Gothic" w:hAnsi="Times New Roman"/>
          <w:sz w:val="24"/>
          <w:szCs w:val="24"/>
          <w:lang w:val="en-US"/>
        </w:rPr>
        <w:t>The Penal Code criminalizes abortion in all circumstances, including when the mother’s life is at risk and when the pregnancy stems from rape or incest. What measures are available to women and girls when their life or health is at risk if they continue with the pregnancy?</w:t>
      </w:r>
    </w:p>
    <w:p w:rsidR="00CE45ED" w:rsidRPr="00CE45ED" w:rsidRDefault="00CE45ED" w:rsidP="00CE45ED">
      <w:pPr>
        <w:pStyle w:val="ListParagraph"/>
        <w:numPr>
          <w:ilvl w:val="0"/>
          <w:numId w:val="23"/>
        </w:numPr>
        <w:autoSpaceDE w:val="0"/>
        <w:jc w:val="both"/>
        <w:rPr>
          <w:rFonts w:ascii="Times New Roman" w:hAnsi="Times New Roman"/>
          <w:sz w:val="24"/>
          <w:szCs w:val="24"/>
        </w:rPr>
      </w:pPr>
      <w:r w:rsidRPr="00CE45ED">
        <w:rPr>
          <w:rFonts w:ascii="Times New Roman" w:hAnsi="Times New Roman"/>
          <w:sz w:val="24"/>
          <w:szCs w:val="24"/>
        </w:rPr>
        <w:t>What steps has the Government taken to ensure the accountability for human rights violations, including ill-treatment or rape in custody, committed by police officers?</w:t>
      </w:r>
    </w:p>
    <w:p w:rsidR="00CE45ED" w:rsidRPr="00CE45ED" w:rsidRDefault="00CE45ED" w:rsidP="00CE45ED">
      <w:pPr>
        <w:pStyle w:val="ListParagraph"/>
        <w:numPr>
          <w:ilvl w:val="0"/>
          <w:numId w:val="23"/>
        </w:numPr>
        <w:autoSpaceDE w:val="0"/>
        <w:jc w:val="both"/>
        <w:rPr>
          <w:rFonts w:ascii="Times New Roman" w:hAnsi="Times New Roman"/>
          <w:sz w:val="24"/>
          <w:szCs w:val="24"/>
        </w:rPr>
      </w:pPr>
      <w:r w:rsidRPr="00CE45ED">
        <w:rPr>
          <w:rFonts w:ascii="Times New Roman" w:hAnsi="Times New Roman"/>
          <w:sz w:val="24"/>
          <w:szCs w:val="24"/>
        </w:rPr>
        <w:t>The Czech Republic commends Nicaragua for its efforts to ensure human rights training for police, prison and judiciary staff as recommended in 2009. Could you elaborate whether the training has been made integral part of the mandatory education of the said personnel?</w:t>
      </w:r>
    </w:p>
    <w:p w:rsidR="00CE45ED" w:rsidRDefault="00CE45ED" w:rsidP="00396A23">
      <w:pPr>
        <w:spacing w:after="200" w:line="240" w:lineRule="auto"/>
        <w:ind w:firstLine="360"/>
        <w:rPr>
          <w:rFonts w:ascii="Times New Roman" w:hAnsi="Times New Roman"/>
          <w:b/>
          <w:sz w:val="24"/>
          <w:szCs w:val="24"/>
        </w:rPr>
      </w:pPr>
    </w:p>
    <w:p w:rsidR="000E5EDB" w:rsidRDefault="000E5EDB" w:rsidP="000E5EDB">
      <w:pPr>
        <w:spacing w:after="200" w:line="240" w:lineRule="auto"/>
        <w:ind w:firstLine="360"/>
        <w:rPr>
          <w:rFonts w:ascii="Times New Roman" w:hAnsi="Times New Roman"/>
          <w:b/>
          <w:sz w:val="24"/>
          <w:szCs w:val="24"/>
        </w:rPr>
      </w:pPr>
      <w:r>
        <w:rPr>
          <w:rFonts w:ascii="Times New Roman" w:hAnsi="Times New Roman"/>
          <w:b/>
          <w:sz w:val="24"/>
          <w:szCs w:val="24"/>
        </w:rPr>
        <w:t>NETHERLANDS</w:t>
      </w:r>
    </w:p>
    <w:p w:rsidR="000E5EDB" w:rsidRPr="000E5EDB" w:rsidRDefault="000E5EDB" w:rsidP="000E5EDB">
      <w:pPr>
        <w:pStyle w:val="ListParagraph"/>
        <w:numPr>
          <w:ilvl w:val="0"/>
          <w:numId w:val="25"/>
        </w:numPr>
        <w:pBdr>
          <w:top w:val="nil"/>
          <w:left w:val="nil"/>
          <w:bottom w:val="nil"/>
          <w:right w:val="nil"/>
          <w:between w:val="nil"/>
          <w:bar w:val="nil"/>
        </w:pBdr>
        <w:spacing w:after="200" w:line="240" w:lineRule="auto"/>
        <w:contextualSpacing w:val="0"/>
        <w:rPr>
          <w:rFonts w:ascii="Times New Roman" w:hAnsi="Times New Roman"/>
          <w:sz w:val="24"/>
          <w:szCs w:val="24"/>
        </w:rPr>
      </w:pPr>
      <w:bookmarkStart w:id="0" w:name="_GoBack"/>
      <w:r w:rsidRPr="000E5EDB">
        <w:rPr>
          <w:rFonts w:ascii="Times New Roman" w:hAnsi="Times New Roman"/>
          <w:sz w:val="24"/>
          <w:szCs w:val="24"/>
        </w:rPr>
        <w:t>The Kingdom of the Netherlands is concerned about the increasing number of hate crimes against LGBT and the hostile environment for human rights defenders advocating equal rights for LGBT. The LGBT community is not explicitly mentioned as a vulnerable group in laws or regulations. Is the Government willing to support awareness raising policies and programmes to combat discrimination against LGBT and to promote their acceptance in society?</w:t>
      </w:r>
    </w:p>
    <w:p w:rsidR="000E5EDB" w:rsidRPr="000E5EDB" w:rsidRDefault="000E5EDB" w:rsidP="000E5EDB">
      <w:pPr>
        <w:pStyle w:val="ListParagraph"/>
        <w:numPr>
          <w:ilvl w:val="0"/>
          <w:numId w:val="25"/>
        </w:numPr>
        <w:pBdr>
          <w:top w:val="nil"/>
          <w:left w:val="nil"/>
          <w:bottom w:val="nil"/>
          <w:right w:val="nil"/>
          <w:between w:val="nil"/>
          <w:bar w:val="nil"/>
        </w:pBdr>
        <w:spacing w:after="200" w:line="240" w:lineRule="auto"/>
        <w:contextualSpacing w:val="0"/>
        <w:rPr>
          <w:rFonts w:ascii="Times New Roman" w:hAnsi="Times New Roman"/>
          <w:sz w:val="24"/>
          <w:szCs w:val="24"/>
        </w:rPr>
      </w:pPr>
      <w:r w:rsidRPr="000E5EDB">
        <w:rPr>
          <w:rFonts w:ascii="Times New Roman" w:hAnsi="Times New Roman"/>
          <w:sz w:val="24"/>
          <w:szCs w:val="24"/>
        </w:rPr>
        <w:t>Would the government consider legislation to introduce provisions in the Criminal Code to address discrimination and hate crimes against the LGBT?</w:t>
      </w:r>
    </w:p>
    <w:p w:rsidR="000E5EDB" w:rsidRPr="000E5EDB" w:rsidRDefault="000E5EDB" w:rsidP="000E5EDB">
      <w:pPr>
        <w:pStyle w:val="ListParagraph"/>
        <w:numPr>
          <w:ilvl w:val="0"/>
          <w:numId w:val="25"/>
        </w:numPr>
        <w:pBdr>
          <w:top w:val="nil"/>
          <w:left w:val="nil"/>
          <w:bottom w:val="nil"/>
          <w:right w:val="nil"/>
          <w:between w:val="nil"/>
          <w:bar w:val="nil"/>
        </w:pBdr>
        <w:spacing w:after="200" w:line="240" w:lineRule="auto"/>
        <w:contextualSpacing w:val="0"/>
        <w:rPr>
          <w:rFonts w:ascii="Times New Roman" w:hAnsi="Times New Roman"/>
          <w:sz w:val="24"/>
          <w:szCs w:val="24"/>
        </w:rPr>
      </w:pPr>
      <w:r w:rsidRPr="000E5EDB">
        <w:rPr>
          <w:rFonts w:ascii="Times New Roman" w:hAnsi="Times New Roman"/>
          <w:sz w:val="24"/>
          <w:szCs w:val="24"/>
        </w:rPr>
        <w:t>Which initiatives has the Special Human Rights Advocate for Sexual Diversity launched especially for the LGBT?</w:t>
      </w:r>
    </w:p>
    <w:p w:rsidR="000E5EDB" w:rsidRPr="000E5EDB" w:rsidRDefault="000E5EDB" w:rsidP="000E5EDB">
      <w:pPr>
        <w:pStyle w:val="ListParagraph"/>
        <w:numPr>
          <w:ilvl w:val="0"/>
          <w:numId w:val="25"/>
        </w:numPr>
        <w:pBdr>
          <w:top w:val="nil"/>
          <w:left w:val="nil"/>
          <w:bottom w:val="nil"/>
          <w:right w:val="nil"/>
          <w:between w:val="nil"/>
          <w:bar w:val="nil"/>
        </w:pBdr>
        <w:spacing w:after="200" w:line="240" w:lineRule="auto"/>
        <w:contextualSpacing w:val="0"/>
        <w:rPr>
          <w:rFonts w:ascii="Times New Roman" w:hAnsi="Times New Roman"/>
          <w:sz w:val="24"/>
          <w:szCs w:val="24"/>
        </w:rPr>
      </w:pPr>
      <w:r w:rsidRPr="000E5EDB">
        <w:rPr>
          <w:rFonts w:ascii="Times New Roman" w:hAnsi="Times New Roman"/>
          <w:sz w:val="24"/>
          <w:szCs w:val="24"/>
        </w:rPr>
        <w:t>Can the Government indicate what it will do to improve the conditions for human rights defenders advocating equal rights for LGBT who have been assaulted?</w:t>
      </w:r>
    </w:p>
    <w:p w:rsidR="000E5EDB" w:rsidRPr="000E5EDB" w:rsidRDefault="000E5EDB" w:rsidP="000E5EDB">
      <w:pPr>
        <w:pStyle w:val="ListParagraph"/>
        <w:numPr>
          <w:ilvl w:val="0"/>
          <w:numId w:val="25"/>
        </w:numPr>
        <w:pBdr>
          <w:top w:val="nil"/>
          <w:left w:val="nil"/>
          <w:bottom w:val="nil"/>
          <w:right w:val="nil"/>
          <w:between w:val="nil"/>
          <w:bar w:val="nil"/>
        </w:pBdr>
        <w:spacing w:after="200" w:line="240" w:lineRule="auto"/>
        <w:contextualSpacing w:val="0"/>
        <w:rPr>
          <w:rFonts w:ascii="Times New Roman" w:hAnsi="Times New Roman"/>
          <w:i/>
          <w:sz w:val="24"/>
          <w:szCs w:val="24"/>
        </w:rPr>
      </w:pPr>
      <w:r w:rsidRPr="000E5EDB">
        <w:rPr>
          <w:rFonts w:ascii="Times New Roman" w:hAnsi="Times New Roman"/>
          <w:sz w:val="24"/>
          <w:szCs w:val="24"/>
        </w:rPr>
        <w:t xml:space="preserve">Despite a reduction in the number of attacks in recent years, the environment for human rights defenders remains hostile. What measures are taken by the Government in order to facilitate a safer environment for persons and institutions that defend human rights? </w:t>
      </w:r>
    </w:p>
    <w:bookmarkEnd w:id="0"/>
    <w:p w:rsidR="000E5EDB" w:rsidRDefault="000E5EDB" w:rsidP="00396A23">
      <w:pPr>
        <w:spacing w:after="200" w:line="240" w:lineRule="auto"/>
        <w:ind w:firstLine="360"/>
        <w:rPr>
          <w:rFonts w:ascii="Times New Roman" w:hAnsi="Times New Roman"/>
          <w:b/>
          <w:sz w:val="24"/>
          <w:szCs w:val="24"/>
        </w:rPr>
      </w:pPr>
    </w:p>
    <w:p w:rsidR="00396A23" w:rsidRDefault="00396A23" w:rsidP="00396A23">
      <w:pPr>
        <w:spacing w:after="200" w:line="240" w:lineRule="auto"/>
        <w:ind w:firstLine="360"/>
        <w:rPr>
          <w:rFonts w:ascii="Times New Roman" w:hAnsi="Times New Roman"/>
          <w:b/>
          <w:sz w:val="24"/>
          <w:szCs w:val="24"/>
        </w:rPr>
      </w:pPr>
      <w:r>
        <w:rPr>
          <w:rFonts w:ascii="Times New Roman" w:hAnsi="Times New Roman"/>
          <w:b/>
          <w:sz w:val="24"/>
          <w:szCs w:val="24"/>
        </w:rPr>
        <w:lastRenderedPageBreak/>
        <w:t>NORWAY</w:t>
      </w:r>
    </w:p>
    <w:p w:rsidR="00396A23" w:rsidRDefault="00396A23" w:rsidP="00396A23">
      <w:pPr>
        <w:spacing w:after="200" w:line="240" w:lineRule="auto"/>
        <w:ind w:firstLine="360"/>
        <w:rPr>
          <w:rFonts w:ascii="Times New Roman" w:hAnsi="Times New Roman"/>
          <w:b/>
          <w:sz w:val="24"/>
          <w:szCs w:val="24"/>
        </w:rPr>
      </w:pPr>
    </w:p>
    <w:tbl>
      <w:tblPr>
        <w:tblW w:w="17794" w:type="dxa"/>
        <w:tblLook w:val="04A0" w:firstRow="1" w:lastRow="0" w:firstColumn="1" w:lastColumn="0" w:noHBand="0" w:noVBand="1"/>
      </w:tblPr>
      <w:tblGrid>
        <w:gridCol w:w="8897"/>
        <w:gridCol w:w="8897"/>
      </w:tblGrid>
      <w:tr w:rsidR="00CA33F1" w:rsidTr="00CA33F1">
        <w:tc>
          <w:tcPr>
            <w:tcW w:w="8897" w:type="dxa"/>
          </w:tcPr>
          <w:p w:rsidR="00CA33F1" w:rsidRPr="00CA33F1" w:rsidRDefault="00CA33F1" w:rsidP="00D71AAD">
            <w:pPr>
              <w:pStyle w:val="NoSpacing"/>
              <w:numPr>
                <w:ilvl w:val="0"/>
                <w:numId w:val="22"/>
              </w:numPr>
              <w:rPr>
                <w:rFonts w:ascii="Times New Roman" w:hAnsi="Times New Roman" w:cs="Times New Roman"/>
                <w:sz w:val="24"/>
                <w:szCs w:val="24"/>
                <w:lang w:val="en-US"/>
              </w:rPr>
            </w:pPr>
            <w:r w:rsidRPr="00CA33F1">
              <w:rPr>
                <w:rFonts w:ascii="Times New Roman" w:hAnsi="Times New Roman" w:cs="Times New Roman"/>
                <w:sz w:val="24"/>
                <w:szCs w:val="24"/>
                <w:lang w:val="en-US"/>
              </w:rPr>
              <w:t xml:space="preserve">Norway congratulates Nicaragua on the recent ratification of the International </w:t>
            </w:r>
            <w:proofErr w:type="spellStart"/>
            <w:r w:rsidRPr="00CA33F1">
              <w:rPr>
                <w:rFonts w:ascii="Times New Roman" w:hAnsi="Times New Roman" w:cs="Times New Roman"/>
                <w:sz w:val="24"/>
                <w:szCs w:val="24"/>
                <w:lang w:val="en-US"/>
              </w:rPr>
              <w:t>Labour</w:t>
            </w:r>
            <w:proofErr w:type="spellEnd"/>
            <w:r w:rsidRPr="00CA33F1">
              <w:rPr>
                <w:rFonts w:ascii="Times New Roman" w:hAnsi="Times New Roman" w:cs="Times New Roman"/>
                <w:sz w:val="24"/>
                <w:szCs w:val="24"/>
                <w:lang w:val="en-US"/>
              </w:rPr>
              <w:t xml:space="preserve"> Organization Convention number 169.</w:t>
            </w:r>
            <w:r>
              <w:rPr>
                <w:rFonts w:ascii="Times New Roman" w:hAnsi="Times New Roman" w:cs="Times New Roman"/>
                <w:sz w:val="24"/>
                <w:szCs w:val="24"/>
                <w:lang w:val="en-US"/>
              </w:rPr>
              <w:t xml:space="preserve"> </w:t>
            </w:r>
            <w:r w:rsidRPr="00CA33F1">
              <w:rPr>
                <w:rFonts w:ascii="Times New Roman" w:hAnsi="Times New Roman" w:cs="Times New Roman"/>
                <w:b/>
                <w:iCs/>
                <w:sz w:val="24"/>
                <w:szCs w:val="24"/>
                <w:lang w:val="en-US"/>
              </w:rPr>
              <w:t>Which steps are being taken to implement the obligation under the ILO Convention number 169 in national legislation?</w:t>
            </w:r>
          </w:p>
          <w:p w:rsidR="00CA33F1" w:rsidRPr="00CA33F1" w:rsidRDefault="00CA33F1" w:rsidP="00D71AAD">
            <w:pPr>
              <w:jc w:val="center"/>
              <w:rPr>
                <w:rFonts w:ascii="Times New Roman" w:hAnsi="Times New Roman"/>
                <w:b/>
                <w:sz w:val="24"/>
                <w:szCs w:val="24"/>
                <w:lang w:val="en-US"/>
              </w:rPr>
            </w:pPr>
          </w:p>
        </w:tc>
        <w:tc>
          <w:tcPr>
            <w:tcW w:w="8897" w:type="dxa"/>
          </w:tcPr>
          <w:p w:rsidR="00CA33F1" w:rsidRDefault="00CA33F1" w:rsidP="00CA33F1">
            <w:pPr>
              <w:pStyle w:val="ListParagraph"/>
              <w:spacing w:after="200"/>
              <w:rPr>
                <w:rFonts w:ascii="Times New Roman" w:hAnsi="Times New Roman"/>
                <w:sz w:val="24"/>
                <w:szCs w:val="24"/>
                <w:lang w:val="en-US"/>
              </w:rPr>
            </w:pPr>
          </w:p>
        </w:tc>
      </w:tr>
      <w:tr w:rsidR="00CA33F1" w:rsidTr="00CA33F1">
        <w:tc>
          <w:tcPr>
            <w:tcW w:w="8897" w:type="dxa"/>
          </w:tcPr>
          <w:p w:rsidR="00CA33F1" w:rsidRPr="00CA33F1" w:rsidRDefault="00CA33F1" w:rsidP="00CA33F1">
            <w:pPr>
              <w:pStyle w:val="NoSpacing"/>
              <w:numPr>
                <w:ilvl w:val="0"/>
                <w:numId w:val="22"/>
              </w:numPr>
              <w:rPr>
                <w:rFonts w:ascii="Times New Roman" w:hAnsi="Times New Roman" w:cs="Times New Roman"/>
                <w:sz w:val="24"/>
                <w:szCs w:val="24"/>
                <w:lang w:val="en-US"/>
              </w:rPr>
            </w:pPr>
            <w:r w:rsidRPr="00CA33F1">
              <w:rPr>
                <w:rFonts w:ascii="Times New Roman" w:hAnsi="Times New Roman" w:cs="Times New Roman"/>
                <w:sz w:val="24"/>
                <w:szCs w:val="24"/>
                <w:lang w:val="en-US"/>
              </w:rPr>
              <w:t xml:space="preserve">CRC reports of a high number of children who are working, also in the informal sector where they are being exposed to “the worst forms of child </w:t>
            </w:r>
            <w:proofErr w:type="spellStart"/>
            <w:r w:rsidRPr="00CA33F1">
              <w:rPr>
                <w:rFonts w:ascii="Times New Roman" w:hAnsi="Times New Roman" w:cs="Times New Roman"/>
                <w:sz w:val="24"/>
                <w:szCs w:val="24"/>
                <w:lang w:val="en-US"/>
              </w:rPr>
              <w:t>labour</w:t>
            </w:r>
            <w:proofErr w:type="spellEnd"/>
            <w:r w:rsidRPr="00CA33F1">
              <w:rPr>
                <w:rFonts w:ascii="Times New Roman" w:hAnsi="Times New Roman" w:cs="Times New Roman"/>
                <w:sz w:val="24"/>
                <w:szCs w:val="24"/>
                <w:lang w:val="en-US"/>
              </w:rPr>
              <w:t>”</w:t>
            </w:r>
            <w:r w:rsidRPr="00CA33F1">
              <w:rPr>
                <w:rStyle w:val="FootnoteReference"/>
                <w:rFonts w:ascii="Times New Roman" w:hAnsi="Times New Roman" w:cs="Times New Roman"/>
                <w:sz w:val="24"/>
                <w:szCs w:val="24"/>
                <w:lang w:val="en-US"/>
              </w:rPr>
              <w:footnoteReference w:id="1"/>
            </w:r>
            <w:r w:rsidRPr="00CA33F1">
              <w:rPr>
                <w:rFonts w:ascii="Times New Roman" w:hAnsi="Times New Roman" w:cs="Times New Roman"/>
                <w:sz w:val="24"/>
                <w:szCs w:val="24"/>
                <w:lang w:val="en-US"/>
              </w:rPr>
              <w:t>.</w:t>
            </w:r>
            <w:r w:rsidRPr="00CA33F1">
              <w:rPr>
                <w:rFonts w:ascii="Times New Roman" w:hAnsi="Times New Roman" w:cs="Times New Roman"/>
                <w:b/>
                <w:iCs/>
                <w:sz w:val="24"/>
                <w:szCs w:val="24"/>
                <w:lang w:val="en-US"/>
              </w:rPr>
              <w:t xml:space="preserve">What are the Government’s plans to secure that children attend school rather </w:t>
            </w:r>
            <w:r>
              <w:rPr>
                <w:rFonts w:ascii="Times New Roman" w:hAnsi="Times New Roman" w:cs="Times New Roman"/>
                <w:b/>
                <w:iCs/>
                <w:sz w:val="24"/>
                <w:szCs w:val="24"/>
                <w:lang w:val="en-US"/>
              </w:rPr>
              <w:t xml:space="preserve">than work, </w:t>
            </w:r>
            <w:r w:rsidRPr="00CA33F1">
              <w:rPr>
                <w:rFonts w:ascii="Times New Roman" w:hAnsi="Times New Roman" w:cs="Times New Roman"/>
                <w:b/>
                <w:iCs/>
                <w:sz w:val="24"/>
                <w:szCs w:val="24"/>
                <w:lang w:val="en-US"/>
              </w:rPr>
              <w:t>and that children are guaranteed basic necessities, such as food and health services?</w:t>
            </w:r>
          </w:p>
          <w:p w:rsidR="00CA33F1" w:rsidRPr="00CA33F1" w:rsidRDefault="00CA33F1" w:rsidP="00D71AAD">
            <w:pPr>
              <w:tabs>
                <w:tab w:val="left" w:pos="210"/>
              </w:tabs>
              <w:rPr>
                <w:rFonts w:ascii="Times New Roman" w:hAnsi="Times New Roman"/>
                <w:b/>
                <w:sz w:val="24"/>
                <w:szCs w:val="24"/>
                <w:lang w:val="en-US"/>
              </w:rPr>
            </w:pPr>
          </w:p>
        </w:tc>
        <w:tc>
          <w:tcPr>
            <w:tcW w:w="8897" w:type="dxa"/>
          </w:tcPr>
          <w:p w:rsidR="00CA33F1" w:rsidRDefault="00CA33F1" w:rsidP="00CA33F1">
            <w:pPr>
              <w:pStyle w:val="ListParagraph"/>
              <w:spacing w:after="200"/>
              <w:rPr>
                <w:rFonts w:ascii="Times New Roman" w:hAnsi="Times New Roman"/>
                <w:b/>
                <w:bCs/>
                <w:sz w:val="24"/>
                <w:szCs w:val="24"/>
                <w:lang w:val="en-US"/>
              </w:rPr>
            </w:pPr>
          </w:p>
        </w:tc>
      </w:tr>
      <w:tr w:rsidR="00CA33F1" w:rsidTr="00CA33F1">
        <w:tc>
          <w:tcPr>
            <w:tcW w:w="8897" w:type="dxa"/>
          </w:tcPr>
          <w:p w:rsidR="00CA33F1" w:rsidRPr="00CA33F1" w:rsidRDefault="00CA33F1" w:rsidP="00CA33F1">
            <w:pPr>
              <w:pStyle w:val="NoSpacing"/>
              <w:numPr>
                <w:ilvl w:val="0"/>
                <w:numId w:val="22"/>
              </w:numPr>
              <w:rPr>
                <w:rFonts w:ascii="Times New Roman" w:hAnsi="Times New Roman" w:cs="Times New Roman"/>
                <w:sz w:val="24"/>
                <w:szCs w:val="24"/>
                <w:lang w:val="en-US"/>
              </w:rPr>
            </w:pPr>
            <w:r w:rsidRPr="00CA33F1">
              <w:rPr>
                <w:rFonts w:ascii="Times New Roman" w:hAnsi="Times New Roman" w:cs="Times New Roman"/>
                <w:sz w:val="24"/>
                <w:szCs w:val="24"/>
                <w:lang w:val="en-US"/>
              </w:rPr>
              <w:t xml:space="preserve">The Inter-American Court of Human Rights ruling in the case </w:t>
            </w:r>
            <w:proofErr w:type="spellStart"/>
            <w:r w:rsidRPr="00CA33F1">
              <w:rPr>
                <w:rFonts w:ascii="Times New Roman" w:hAnsi="Times New Roman" w:cs="Times New Roman"/>
                <w:sz w:val="24"/>
                <w:szCs w:val="24"/>
                <w:lang w:val="en-US"/>
              </w:rPr>
              <w:t>Yatama</w:t>
            </w:r>
            <w:proofErr w:type="spellEnd"/>
            <w:r w:rsidRPr="00CA33F1">
              <w:rPr>
                <w:rFonts w:ascii="Times New Roman" w:hAnsi="Times New Roman" w:cs="Times New Roman"/>
                <w:sz w:val="24"/>
                <w:szCs w:val="24"/>
                <w:lang w:val="en-US"/>
              </w:rPr>
              <w:t xml:space="preserve"> vs. Nicaragua requires Nicaragua to adapt its Elections Act to the special situation of indigenous peoples and to establish a quick and simple remedy that would enable the effective review of decisions issued by the Supreme Electoral Council affecting human rights.</w:t>
            </w:r>
            <w:r>
              <w:rPr>
                <w:rFonts w:ascii="Times New Roman" w:hAnsi="Times New Roman" w:cs="Times New Roman"/>
                <w:sz w:val="24"/>
                <w:szCs w:val="24"/>
                <w:lang w:val="en-US"/>
              </w:rPr>
              <w:t xml:space="preserve"> </w:t>
            </w:r>
            <w:r w:rsidRPr="00CA33F1">
              <w:rPr>
                <w:rFonts w:ascii="Times New Roman" w:hAnsi="Times New Roman" w:cs="Times New Roman"/>
                <w:b/>
                <w:sz w:val="24"/>
                <w:szCs w:val="24"/>
                <w:lang w:val="en-US"/>
              </w:rPr>
              <w:t>How will Nicaragua respond to these requirements, and what is the plan of implementation in order to achieve full democratic plurality?</w:t>
            </w:r>
          </w:p>
          <w:p w:rsidR="00CA33F1" w:rsidRPr="00CA33F1" w:rsidRDefault="00CA33F1" w:rsidP="00D71AAD">
            <w:pPr>
              <w:pStyle w:val="NoSpacing"/>
              <w:rPr>
                <w:rFonts w:ascii="Times New Roman" w:hAnsi="Times New Roman" w:cs="Times New Roman"/>
                <w:sz w:val="24"/>
                <w:szCs w:val="24"/>
                <w:lang w:val="en-US"/>
              </w:rPr>
            </w:pPr>
          </w:p>
          <w:p w:rsidR="00CA33F1" w:rsidRPr="00CA33F1" w:rsidRDefault="00CA33F1" w:rsidP="00D71AAD">
            <w:pPr>
              <w:jc w:val="center"/>
              <w:rPr>
                <w:rFonts w:ascii="Times New Roman" w:hAnsi="Times New Roman"/>
                <w:b/>
                <w:sz w:val="24"/>
                <w:szCs w:val="24"/>
                <w:lang w:val="en-US"/>
              </w:rPr>
            </w:pPr>
          </w:p>
        </w:tc>
        <w:tc>
          <w:tcPr>
            <w:tcW w:w="8897" w:type="dxa"/>
          </w:tcPr>
          <w:p w:rsidR="00CA33F1" w:rsidRDefault="00CA33F1">
            <w:pPr>
              <w:pStyle w:val="NoSpacing"/>
              <w:rPr>
                <w:rFonts w:ascii="Times New Roman" w:hAnsi="Times New Roman" w:cs="Times New Roman"/>
                <w:b/>
                <w:sz w:val="24"/>
                <w:szCs w:val="24"/>
                <w:lang w:val="en-GB"/>
              </w:rPr>
            </w:pPr>
          </w:p>
        </w:tc>
      </w:tr>
    </w:tbl>
    <w:p w:rsidR="00396A23" w:rsidRPr="00D31510" w:rsidRDefault="00396A23" w:rsidP="00D31510">
      <w:pPr>
        <w:spacing w:after="200" w:line="240" w:lineRule="auto"/>
        <w:rPr>
          <w:rFonts w:ascii="Times New Roman" w:hAnsi="Times New Roman"/>
          <w:sz w:val="24"/>
          <w:szCs w:val="24"/>
        </w:rPr>
      </w:pPr>
    </w:p>
    <w:p w:rsidR="00AA5A42" w:rsidRPr="001E0847" w:rsidRDefault="00AA5A42" w:rsidP="00800FFA">
      <w:pPr>
        <w:pStyle w:val="NoSpacing"/>
        <w:ind w:left="360"/>
        <w:rPr>
          <w:rFonts w:ascii="Times New Roman" w:hAnsi="Times New Roman"/>
          <w:i/>
          <w:sz w:val="24"/>
          <w:szCs w:val="24"/>
        </w:rPr>
      </w:pPr>
    </w:p>
    <w:sectPr w:rsidR="00AA5A42" w:rsidRPr="001E084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 w:id="1">
    <w:p w:rsidR="00CA33F1" w:rsidRDefault="00CA33F1" w:rsidP="00CA33F1">
      <w:pPr>
        <w:pStyle w:val="FootnoteText"/>
      </w:pPr>
      <w:r>
        <w:rPr>
          <w:rStyle w:val="FootnoteReference"/>
        </w:rPr>
        <w:footnoteRef/>
      </w:r>
      <w:r>
        <w:t xml:space="preserve"> A/HRC/WG.6/19/NIC/2 B25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99C6FC3"/>
    <w:multiLevelType w:val="hybridMultilevel"/>
    <w:tmpl w:val="9F8C3C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D3B6564"/>
    <w:multiLevelType w:val="hybridMultilevel"/>
    <w:tmpl w:val="11425DCE"/>
    <w:lvl w:ilvl="0" w:tplc="0809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845431"/>
    <w:multiLevelType w:val="hybridMultilevel"/>
    <w:tmpl w:val="544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5D177F"/>
    <w:multiLevelType w:val="hybridMultilevel"/>
    <w:tmpl w:val="D71A8FDC"/>
    <w:lvl w:ilvl="0" w:tplc="4ACE4914">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8"/>
  </w:num>
  <w:num w:numId="3">
    <w:abstractNumId w:val="16"/>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1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4"/>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0"/>
  </w:num>
  <w:num w:numId="21">
    <w:abstractNumId w:val="0"/>
  </w:num>
  <w:num w:numId="22">
    <w:abstractNumId w:val="17"/>
  </w:num>
  <w:num w:numId="23">
    <w:abstractNumId w:val="6"/>
  </w:num>
  <w:num w:numId="24">
    <w:abstractNumId w:val="19"/>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5EDB"/>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A33F1"/>
    <w:rsid w:val="00CB7368"/>
    <w:rsid w:val="00CC1F2D"/>
    <w:rsid w:val="00CC2643"/>
    <w:rsid w:val="00CC3D5F"/>
    <w:rsid w:val="00CC59BE"/>
    <w:rsid w:val="00CD0AA3"/>
    <w:rsid w:val="00CE45ED"/>
    <w:rsid w:val="00CF79F9"/>
    <w:rsid w:val="00D17C9C"/>
    <w:rsid w:val="00D240B7"/>
    <w:rsid w:val="00D26A2E"/>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CA33F1"/>
    <w:pPr>
      <w:spacing w:line="240" w:lineRule="auto"/>
    </w:pPr>
    <w:rPr>
      <w:rFonts w:ascii="Calibri" w:hAnsi="Calibri"/>
      <w:sz w:val="20"/>
      <w:szCs w:val="20"/>
      <w:lang w:val="nb-NO"/>
    </w:rPr>
  </w:style>
  <w:style w:type="character" w:customStyle="1" w:styleId="FootnoteTextChar">
    <w:name w:val="Footnote Text Char"/>
    <w:basedOn w:val="DefaultParagraphFont"/>
    <w:link w:val="FootnoteText"/>
    <w:uiPriority w:val="99"/>
    <w:semiHidden/>
    <w:rsid w:val="00CA33F1"/>
    <w:rPr>
      <w:lang w:val="nb-NO" w:eastAsia="en-US"/>
    </w:rPr>
  </w:style>
  <w:style w:type="character" w:styleId="FootnoteReference">
    <w:name w:val="footnote reference"/>
    <w:uiPriority w:val="99"/>
    <w:semiHidden/>
    <w:unhideWhenUsed/>
    <w:rsid w:val="00CA3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B547B-0578-4132-BE57-0BF866A59A6A}"/>
</file>

<file path=customXml/itemProps2.xml><?xml version="1.0" encoding="utf-8"?>
<ds:datastoreItem xmlns:ds="http://schemas.openxmlformats.org/officeDocument/2006/customXml" ds:itemID="{36A6AAE3-F842-4EE3-99CE-AA7DF482B203}"/>
</file>

<file path=customXml/itemProps3.xml><?xml version="1.0" encoding="utf-8"?>
<ds:datastoreItem xmlns:ds="http://schemas.openxmlformats.org/officeDocument/2006/customXml" ds:itemID="{EF393637-3935-4A10-97C0-E38F34B681AE}"/>
</file>

<file path=customXml/itemProps4.xml><?xml version="1.0" encoding="utf-8"?>
<ds:datastoreItem xmlns:ds="http://schemas.openxmlformats.org/officeDocument/2006/customXml" ds:itemID="{2EE57B7C-4A5D-47CF-8BE6-33EABAD88797}"/>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2014-04-17T08:25:00Z</dcterms:created>
  <dcterms:modified xsi:type="dcterms:W3CDTF">2014-04-17T09:35:00Z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1324700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