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A47</w:t>
            </w:r>
            <w:proofErr w:type="spellEnd"/>
            <w:r w:rsidRPr="007B6E8A">
              <w:rPr>
                <w:b/>
                <w:i/>
                <w:color w:val="000000"/>
                <w:sz w:val="18"/>
                <w:szCs w:val="22"/>
                <w:lang w:eastAsia="en-GB"/>
              </w:rPr>
              <w:t xml:space="preserve"> Good governance</w:t>
            </w:r>
          </w:p>
        </w:tc>
      </w:tr>
      <w:tr w:rsidR="002D6813" w:rsidRPr="007B6E8A" w:rsidTr="001D61C2">
        <w:trPr>
          <w:cantSplit/>
        </w:trPr>
        <w:tc>
          <w:tcPr>
            <w:tcW w:w="4520" w:type="dxa"/>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 xml:space="preserve">134.128 Finalize the development of the third National Anti-Corruption Strategic Action Plan and strengthen the scope of action of the Prevention and </w:t>
            </w:r>
            <w:r w:rsidR="007B6E8A">
              <w:rPr>
                <w:color w:val="000000"/>
                <w:sz w:val="18"/>
                <w:szCs w:val="22"/>
                <w:lang w:eastAsia="en-GB"/>
              </w:rPr>
              <w:t xml:space="preserve">Combating of Corruption Bureau </w:t>
            </w:r>
          </w:p>
        </w:tc>
        <w:tc>
          <w:tcPr>
            <w:tcW w:w="1240" w:type="dxa"/>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Morocco</w:t>
            </w:r>
          </w:p>
        </w:tc>
        <w:tc>
          <w:tcPr>
            <w:tcW w:w="140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Supported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shd w:val="clear" w:color="auto" w:fill="auto"/>
            <w:hideMark/>
          </w:tcPr>
          <w:p w:rsidR="002D6813" w:rsidRPr="007B6E8A" w:rsidRDefault="00BC50B1" w:rsidP="001D61C2">
            <w:pPr>
              <w:suppressAutoHyphens w:val="0"/>
              <w:spacing w:line="240" w:lineRule="auto"/>
              <w:rPr>
                <w:color w:val="000000"/>
                <w:sz w:val="18"/>
                <w:szCs w:val="22"/>
                <w:lang w:eastAsia="en-GB"/>
              </w:rPr>
            </w:pPr>
            <w:r w:rsidRPr="007B6E8A">
              <w:rPr>
                <w:color w:val="000000"/>
                <w:sz w:val="18"/>
                <w:szCs w:val="22"/>
                <w:lang w:eastAsia="en-GB"/>
              </w:rPr>
              <w:t xml:space="preserve">UNDP </w:t>
            </w: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B73</w:t>
            </w:r>
            <w:proofErr w:type="spellEnd"/>
            <w:r w:rsidRPr="007B6E8A">
              <w:rPr>
                <w:b/>
                <w:i/>
                <w:color w:val="000000"/>
                <w:sz w:val="18"/>
                <w:szCs w:val="22"/>
                <w:lang w:eastAsia="en-GB"/>
              </w:rPr>
              <w:t xml:space="preserve"> Human rights and climate change</w:t>
            </w:r>
          </w:p>
        </w:tc>
      </w:tr>
      <w:tr w:rsidR="002D6813" w:rsidRPr="007B6E8A" w:rsidTr="001D61C2">
        <w:trPr>
          <w:cantSplit/>
        </w:trPr>
        <w:tc>
          <w:tcPr>
            <w:tcW w:w="4520" w:type="dxa"/>
            <w:tcBorders>
              <w:bottom w:val="dotted" w:sz="4" w:space="0" w:color="auto"/>
            </w:tcBorders>
            <w:shd w:val="clear" w:color="auto" w:fill="auto"/>
            <w:hideMark/>
          </w:tcPr>
          <w:p w:rsidR="002D6813" w:rsidRPr="007B6E8A" w:rsidRDefault="002D6813" w:rsidP="007B6E8A">
            <w:pPr>
              <w:suppressAutoHyphens w:val="0"/>
              <w:spacing w:before="40" w:after="40" w:line="240" w:lineRule="auto"/>
              <w:rPr>
                <w:color w:val="000000"/>
                <w:sz w:val="18"/>
                <w:szCs w:val="22"/>
                <w:lang w:eastAsia="en-GB"/>
              </w:rPr>
            </w:pPr>
            <w:r w:rsidRPr="007B6E8A">
              <w:rPr>
                <w:color w:val="000000"/>
                <w:sz w:val="18"/>
                <w:szCs w:val="22"/>
                <w:lang w:eastAsia="en-GB"/>
              </w:rPr>
              <w:t xml:space="preserve">134.125 Promote strategies for climate change mitigation and adaptation to their effects, and disseminate them through school programmes </w:t>
            </w:r>
          </w:p>
        </w:tc>
        <w:tc>
          <w:tcPr>
            <w:tcW w:w="1240" w:type="dxa"/>
            <w:tcBorders>
              <w:bottom w:val="dotted" w:sz="4" w:space="0" w:color="auto"/>
            </w:tcBorders>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Haiti</w:t>
            </w:r>
          </w:p>
        </w:tc>
        <w:tc>
          <w:tcPr>
            <w:tcW w:w="1400" w:type="dxa"/>
            <w:tcBorders>
              <w:bottom w:val="dotted" w:sz="4" w:space="0" w:color="auto"/>
            </w:tcBorders>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Supported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tcBorders>
              <w:bottom w:val="dotted" w:sz="4" w:space="0" w:color="auto"/>
            </w:tcBorders>
            <w:shd w:val="clear" w:color="auto" w:fill="auto"/>
            <w:hideMark/>
          </w:tcPr>
          <w:p w:rsidR="002D6813" w:rsidRPr="007B6E8A" w:rsidRDefault="00BC50B1" w:rsidP="001D61C2">
            <w:pPr>
              <w:suppressAutoHyphens w:val="0"/>
              <w:spacing w:line="240" w:lineRule="auto"/>
              <w:rPr>
                <w:color w:val="000000"/>
                <w:sz w:val="18"/>
                <w:szCs w:val="22"/>
                <w:lang w:eastAsia="en-GB"/>
              </w:rPr>
            </w:pPr>
            <w:proofErr w:type="spellStart"/>
            <w:r w:rsidRPr="007B6E8A">
              <w:rPr>
                <w:color w:val="000000"/>
                <w:sz w:val="18"/>
                <w:szCs w:val="22"/>
                <w:lang w:eastAsia="en-GB"/>
              </w:rPr>
              <w:t>UNFPA</w:t>
            </w:r>
            <w:proofErr w:type="spellEnd"/>
            <w:r w:rsidRPr="007B6E8A">
              <w:rPr>
                <w:color w:val="000000"/>
                <w:sz w:val="18"/>
                <w:szCs w:val="22"/>
                <w:lang w:eastAsia="en-GB"/>
              </w:rPr>
              <w:t xml:space="preserve"> </w:t>
            </w: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D29</w:t>
            </w:r>
            <w:proofErr w:type="spellEnd"/>
            <w:r w:rsidRPr="007B6E8A">
              <w:rPr>
                <w:b/>
                <w:i/>
                <w:color w:val="000000"/>
                <w:sz w:val="18"/>
                <w:szCs w:val="22"/>
                <w:lang w:eastAsia="en-GB"/>
              </w:rPr>
              <w:t xml:space="preserve"> Domestic violence</w:t>
            </w:r>
          </w:p>
        </w:tc>
      </w:tr>
      <w:tr w:rsidR="002D6813" w:rsidRPr="007B6E8A" w:rsidTr="007B6E8A">
        <w:trPr>
          <w:cantSplit/>
          <w:trHeight w:val="1030"/>
        </w:trPr>
        <w:tc>
          <w:tcPr>
            <w:tcW w:w="4520" w:type="dxa"/>
            <w:tcBorders>
              <w:bottom w:val="dotted" w:sz="4" w:space="0" w:color="auto"/>
            </w:tcBorders>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134.71 Increase its efforts in the field of violence and domestic violence against women and children aim</w:t>
            </w:r>
            <w:r w:rsidR="007B6E8A">
              <w:rPr>
                <w:color w:val="000000"/>
                <w:sz w:val="18"/>
                <w:szCs w:val="22"/>
                <w:lang w:eastAsia="en-GB"/>
              </w:rPr>
              <w:t>ing for an eradication of both</w:t>
            </w:r>
          </w:p>
        </w:tc>
        <w:tc>
          <w:tcPr>
            <w:tcW w:w="1240" w:type="dxa"/>
            <w:tcBorders>
              <w:bottom w:val="dotted" w:sz="4" w:space="0" w:color="auto"/>
            </w:tcBorders>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Sweden</w:t>
            </w:r>
            <w:bookmarkStart w:id="0" w:name="_GoBack"/>
            <w:bookmarkEnd w:id="0"/>
          </w:p>
        </w:tc>
        <w:tc>
          <w:tcPr>
            <w:tcW w:w="1400" w:type="dxa"/>
            <w:tcBorders>
              <w:bottom w:val="dotted" w:sz="4" w:space="0" w:color="auto"/>
            </w:tcBorders>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Supported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tcBorders>
              <w:bottom w:val="dotted" w:sz="4" w:space="0" w:color="auto"/>
            </w:tcBorders>
            <w:shd w:val="clear" w:color="auto" w:fill="auto"/>
            <w:hideMark/>
          </w:tcPr>
          <w:p w:rsidR="002D6813" w:rsidRPr="007B6E8A" w:rsidRDefault="00BC50B1" w:rsidP="001D61C2">
            <w:pPr>
              <w:suppressAutoHyphens w:val="0"/>
              <w:spacing w:line="240" w:lineRule="auto"/>
              <w:rPr>
                <w:color w:val="000000"/>
                <w:sz w:val="18"/>
                <w:szCs w:val="22"/>
                <w:lang w:eastAsia="en-GB"/>
              </w:rPr>
            </w:pPr>
            <w:proofErr w:type="spellStart"/>
            <w:r w:rsidRPr="007B6E8A">
              <w:rPr>
                <w:color w:val="000000"/>
                <w:sz w:val="18"/>
                <w:szCs w:val="22"/>
                <w:lang w:eastAsia="en-GB"/>
              </w:rPr>
              <w:t>UNWOMEN</w:t>
            </w:r>
            <w:proofErr w:type="spellEnd"/>
            <w:r w:rsidRPr="007B6E8A">
              <w:rPr>
                <w:color w:val="000000"/>
                <w:sz w:val="18"/>
                <w:szCs w:val="22"/>
                <w:lang w:eastAsia="en-GB"/>
              </w:rPr>
              <w:t xml:space="preserve"> </w:t>
            </w: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E23</w:t>
            </w:r>
            <w:proofErr w:type="spellEnd"/>
            <w:r w:rsidRPr="007B6E8A">
              <w:rPr>
                <w:b/>
                <w:i/>
                <w:color w:val="000000"/>
                <w:sz w:val="18"/>
                <w:szCs w:val="22"/>
                <w:lang w:eastAsia="en-GB"/>
              </w:rPr>
              <w:t xml:space="preserve"> Right to adequate housing</w:t>
            </w:r>
          </w:p>
        </w:tc>
      </w:tr>
      <w:tr w:rsidR="002D6813" w:rsidRPr="007B6E8A" w:rsidTr="001D61C2">
        <w:trPr>
          <w:cantSplit/>
        </w:trPr>
        <w:tc>
          <w:tcPr>
            <w:tcW w:w="452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 xml:space="preserve">137.69 Increase the measures taken to counter homelessness and the lack of adequate and affordable housing, especially for vulnerable people such as those living in poverty and single mothers (Malaysia); </w:t>
            </w:r>
          </w:p>
          <w:p w:rsidR="002D6813" w:rsidRPr="007B6E8A" w:rsidRDefault="002D6813" w:rsidP="001D61C2">
            <w:pPr>
              <w:suppressAutoHyphens w:val="0"/>
              <w:spacing w:before="40" w:after="40" w:line="240" w:lineRule="auto"/>
              <w:rPr>
                <w:color w:val="000000"/>
                <w:sz w:val="18"/>
                <w:szCs w:val="22"/>
                <w:lang w:eastAsia="en-GB"/>
              </w:rPr>
            </w:pPr>
            <w:r w:rsidRPr="007B6E8A">
              <w:rPr>
                <w:b/>
                <w:color w:val="000000"/>
                <w:sz w:val="18"/>
                <w:szCs w:val="22"/>
                <w:lang w:eastAsia="en-GB"/>
              </w:rPr>
              <w:t>Source of position:</w:t>
            </w:r>
            <w:r w:rsidRPr="007B6E8A">
              <w:rPr>
                <w:color w:val="000000"/>
                <w:sz w:val="18"/>
                <w:szCs w:val="22"/>
                <w:lang w:eastAsia="en-GB"/>
              </w:rPr>
              <w:t xml:space="preserve"> A/HRC/33/12 - Para. 137 &amp; A/HRC/33/12/</w:t>
            </w:r>
            <w:proofErr w:type="spellStart"/>
            <w:r w:rsidRPr="007B6E8A">
              <w:rPr>
                <w:color w:val="000000"/>
                <w:sz w:val="18"/>
                <w:szCs w:val="22"/>
                <w:lang w:eastAsia="en-GB"/>
              </w:rPr>
              <w:t>Add.1</w:t>
            </w:r>
            <w:proofErr w:type="spellEnd"/>
            <w:r w:rsidRPr="007B6E8A">
              <w:rPr>
                <w:color w:val="000000"/>
                <w:sz w:val="18"/>
                <w:szCs w:val="22"/>
                <w:lang w:eastAsia="en-GB"/>
              </w:rPr>
              <w:t xml:space="preserve"> - Para. Section II</w:t>
            </w:r>
          </w:p>
        </w:tc>
        <w:tc>
          <w:tcPr>
            <w:tcW w:w="1240" w:type="dxa"/>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Malaysia</w:t>
            </w:r>
          </w:p>
        </w:tc>
        <w:tc>
          <w:tcPr>
            <w:tcW w:w="140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Supported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shd w:val="clear" w:color="auto" w:fill="auto"/>
            <w:hideMark/>
          </w:tcPr>
          <w:p w:rsidR="00CB78A3" w:rsidRPr="007B6E8A" w:rsidRDefault="00CB78A3" w:rsidP="00CB78A3">
            <w:pPr>
              <w:suppressAutoHyphens w:val="0"/>
              <w:spacing w:line="240" w:lineRule="auto"/>
              <w:rPr>
                <w:color w:val="000000"/>
                <w:sz w:val="18"/>
                <w:szCs w:val="22"/>
                <w:lang w:eastAsia="en-GB"/>
              </w:rPr>
            </w:pPr>
            <w:r w:rsidRPr="007B6E8A">
              <w:rPr>
                <w:color w:val="000000"/>
                <w:sz w:val="18"/>
                <w:szCs w:val="22"/>
                <w:lang w:eastAsia="en-GB"/>
              </w:rPr>
              <w:t xml:space="preserve">UN-HABITAT </w:t>
            </w:r>
          </w:p>
          <w:p w:rsidR="002D6813" w:rsidRPr="007B6E8A" w:rsidRDefault="002D6813" w:rsidP="001D61C2">
            <w:pPr>
              <w:suppressAutoHyphens w:val="0"/>
              <w:spacing w:line="240" w:lineRule="auto"/>
              <w:rPr>
                <w:color w:val="000000"/>
                <w:sz w:val="18"/>
                <w:szCs w:val="22"/>
                <w:lang w:eastAsia="en-GB"/>
              </w:rPr>
            </w:pP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E41</w:t>
            </w:r>
            <w:proofErr w:type="spellEnd"/>
            <w:r w:rsidRPr="007B6E8A">
              <w:rPr>
                <w:b/>
                <w:i/>
                <w:color w:val="000000"/>
                <w:sz w:val="18"/>
                <w:szCs w:val="22"/>
                <w:lang w:eastAsia="en-GB"/>
              </w:rPr>
              <w:t xml:space="preserve"> Right to health - General</w:t>
            </w:r>
          </w:p>
        </w:tc>
      </w:tr>
      <w:tr w:rsidR="002D6813" w:rsidRPr="007B6E8A" w:rsidTr="001D61C2">
        <w:trPr>
          <w:cantSplit/>
        </w:trPr>
        <w:tc>
          <w:tcPr>
            <w:tcW w:w="452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 xml:space="preserve">134.108 Implement effective measures to prevent and reduce infant and neonatal mortality in the context of the 2016-2020 road map (Angola); </w:t>
            </w:r>
          </w:p>
          <w:p w:rsidR="002D6813" w:rsidRPr="007B6E8A" w:rsidRDefault="002D6813" w:rsidP="001D61C2">
            <w:pPr>
              <w:suppressAutoHyphens w:val="0"/>
              <w:spacing w:before="40" w:after="40" w:line="240" w:lineRule="auto"/>
              <w:rPr>
                <w:color w:val="000000"/>
                <w:sz w:val="18"/>
                <w:szCs w:val="22"/>
                <w:lang w:eastAsia="en-GB"/>
              </w:rPr>
            </w:pPr>
            <w:r w:rsidRPr="007B6E8A">
              <w:rPr>
                <w:b/>
                <w:color w:val="000000"/>
                <w:sz w:val="18"/>
                <w:szCs w:val="22"/>
                <w:lang w:eastAsia="en-GB"/>
              </w:rPr>
              <w:t>Source of position:</w:t>
            </w:r>
            <w:r w:rsidRPr="007B6E8A">
              <w:rPr>
                <w:color w:val="000000"/>
                <w:sz w:val="18"/>
                <w:szCs w:val="22"/>
                <w:lang w:eastAsia="en-GB"/>
              </w:rPr>
              <w:t xml:space="preserve"> A/HRC/33/12 - Para. 134</w:t>
            </w:r>
          </w:p>
        </w:tc>
        <w:tc>
          <w:tcPr>
            <w:tcW w:w="1240" w:type="dxa"/>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Angola</w:t>
            </w:r>
          </w:p>
        </w:tc>
        <w:tc>
          <w:tcPr>
            <w:tcW w:w="140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Supported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shd w:val="clear" w:color="auto" w:fill="auto"/>
            <w:hideMark/>
          </w:tcPr>
          <w:p w:rsidR="002D6813" w:rsidRPr="007B6E8A" w:rsidRDefault="00CB78A3" w:rsidP="001D61C2">
            <w:pPr>
              <w:suppressAutoHyphens w:val="0"/>
              <w:spacing w:line="240" w:lineRule="auto"/>
              <w:rPr>
                <w:color w:val="000000"/>
                <w:sz w:val="18"/>
                <w:szCs w:val="22"/>
                <w:lang w:eastAsia="en-GB"/>
              </w:rPr>
            </w:pPr>
            <w:r w:rsidRPr="007B6E8A">
              <w:rPr>
                <w:color w:val="000000"/>
                <w:sz w:val="18"/>
                <w:szCs w:val="22"/>
                <w:lang w:eastAsia="en-GB"/>
              </w:rPr>
              <w:t xml:space="preserve">WHO </w:t>
            </w: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E43</w:t>
            </w:r>
            <w:proofErr w:type="spellEnd"/>
            <w:r w:rsidRPr="007B6E8A">
              <w:rPr>
                <w:b/>
                <w:i/>
                <w:color w:val="000000"/>
                <w:sz w:val="18"/>
                <w:szCs w:val="22"/>
                <w:lang w:eastAsia="en-GB"/>
              </w:rPr>
              <w:t xml:space="preserve"> Access to sexual and reproductive health and services</w:t>
            </w:r>
          </w:p>
        </w:tc>
      </w:tr>
      <w:tr w:rsidR="002D6813" w:rsidRPr="007B6E8A" w:rsidTr="001D61C2">
        <w:trPr>
          <w:cantSplit/>
        </w:trPr>
        <w:tc>
          <w:tcPr>
            <w:tcW w:w="4520" w:type="dxa"/>
            <w:tcBorders>
              <w:bottom w:val="dotted" w:sz="4" w:space="0" w:color="auto"/>
            </w:tcBorders>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 xml:space="preserve">136.3 Implement the provisions in the African Union’s Maputo Protocol into its national legislation, including those on women’s rights to medical abortion in cases of sexual assault, rape, incest and where the life of the mother or the foetus is in danger (Norway); </w:t>
            </w:r>
          </w:p>
          <w:p w:rsidR="002D6813" w:rsidRPr="007B6E8A" w:rsidRDefault="002D6813" w:rsidP="001D61C2">
            <w:pPr>
              <w:suppressAutoHyphens w:val="0"/>
              <w:spacing w:before="40" w:after="40" w:line="240" w:lineRule="auto"/>
              <w:rPr>
                <w:color w:val="000000"/>
                <w:sz w:val="18"/>
                <w:szCs w:val="22"/>
                <w:lang w:eastAsia="en-GB"/>
              </w:rPr>
            </w:pPr>
            <w:r w:rsidRPr="007B6E8A">
              <w:rPr>
                <w:b/>
                <w:color w:val="000000"/>
                <w:sz w:val="18"/>
                <w:szCs w:val="22"/>
                <w:lang w:eastAsia="en-GB"/>
              </w:rPr>
              <w:t>Source of position:</w:t>
            </w:r>
            <w:r w:rsidRPr="007B6E8A">
              <w:rPr>
                <w:color w:val="000000"/>
                <w:sz w:val="18"/>
                <w:szCs w:val="22"/>
                <w:lang w:eastAsia="en-GB"/>
              </w:rPr>
              <w:t xml:space="preserve"> A/HRC/33/12/</w:t>
            </w:r>
            <w:proofErr w:type="spellStart"/>
            <w:r w:rsidRPr="007B6E8A">
              <w:rPr>
                <w:color w:val="000000"/>
                <w:sz w:val="18"/>
                <w:szCs w:val="22"/>
                <w:lang w:eastAsia="en-GB"/>
              </w:rPr>
              <w:t>Add.1</w:t>
            </w:r>
            <w:proofErr w:type="spellEnd"/>
            <w:r w:rsidRPr="007B6E8A">
              <w:rPr>
                <w:color w:val="000000"/>
                <w:sz w:val="18"/>
                <w:szCs w:val="22"/>
                <w:lang w:eastAsia="en-GB"/>
              </w:rPr>
              <w:t xml:space="preserve"> - Para. Section I</w:t>
            </w:r>
          </w:p>
        </w:tc>
        <w:tc>
          <w:tcPr>
            <w:tcW w:w="1240" w:type="dxa"/>
            <w:tcBorders>
              <w:bottom w:val="dotted" w:sz="4" w:space="0" w:color="auto"/>
            </w:tcBorders>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Norway</w:t>
            </w:r>
          </w:p>
        </w:tc>
        <w:tc>
          <w:tcPr>
            <w:tcW w:w="1400" w:type="dxa"/>
            <w:tcBorders>
              <w:bottom w:val="dotted" w:sz="4" w:space="0" w:color="auto"/>
            </w:tcBorders>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Noted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tcBorders>
              <w:bottom w:val="dotted" w:sz="4" w:space="0" w:color="auto"/>
            </w:tcBorders>
            <w:shd w:val="clear" w:color="auto" w:fill="auto"/>
            <w:hideMark/>
          </w:tcPr>
          <w:p w:rsidR="002D6813" w:rsidRPr="007B6E8A" w:rsidRDefault="00CB78A3" w:rsidP="001D61C2">
            <w:pPr>
              <w:suppressAutoHyphens w:val="0"/>
              <w:spacing w:line="240" w:lineRule="auto"/>
              <w:rPr>
                <w:color w:val="000000"/>
                <w:sz w:val="18"/>
                <w:szCs w:val="22"/>
                <w:lang w:eastAsia="en-GB"/>
              </w:rPr>
            </w:pPr>
            <w:proofErr w:type="spellStart"/>
            <w:r w:rsidRPr="007B6E8A">
              <w:rPr>
                <w:color w:val="000000"/>
                <w:sz w:val="18"/>
                <w:szCs w:val="22"/>
                <w:lang w:eastAsia="en-GB"/>
              </w:rPr>
              <w:t>UNFPA</w:t>
            </w:r>
            <w:proofErr w:type="spellEnd"/>
            <w:r w:rsidRPr="007B6E8A">
              <w:rPr>
                <w:color w:val="000000"/>
                <w:sz w:val="18"/>
                <w:szCs w:val="22"/>
                <w:lang w:eastAsia="en-GB"/>
              </w:rPr>
              <w:t xml:space="preserve"> </w:t>
            </w: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F43</w:t>
            </w:r>
            <w:proofErr w:type="spellEnd"/>
            <w:r w:rsidRPr="007B6E8A">
              <w:rPr>
                <w:b/>
                <w:i/>
                <w:color w:val="000000"/>
                <w:sz w:val="18"/>
                <w:szCs w:val="22"/>
                <w:lang w:eastAsia="en-GB"/>
              </w:rPr>
              <w:t xml:space="preserve"> Persons with disabilities: protection against exploitation, violence and abuse</w:t>
            </w:r>
          </w:p>
        </w:tc>
      </w:tr>
      <w:tr w:rsidR="002D6813" w:rsidRPr="007B6E8A" w:rsidTr="001D61C2">
        <w:trPr>
          <w:cantSplit/>
        </w:trPr>
        <w:tc>
          <w:tcPr>
            <w:tcW w:w="4520" w:type="dxa"/>
            <w:tcBorders>
              <w:bottom w:val="dotted" w:sz="4" w:space="0" w:color="auto"/>
            </w:tcBorders>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 xml:space="preserve">134.54 Take steps with regard to children, particularly with regard to sexual exploitation and all forms of discrimination, including children with albinism (Costa Rica); </w:t>
            </w:r>
          </w:p>
          <w:p w:rsidR="002D6813" w:rsidRPr="007B6E8A" w:rsidRDefault="002D6813" w:rsidP="001D61C2">
            <w:pPr>
              <w:suppressAutoHyphens w:val="0"/>
              <w:spacing w:before="40" w:after="40" w:line="240" w:lineRule="auto"/>
              <w:rPr>
                <w:color w:val="000000"/>
                <w:sz w:val="18"/>
                <w:szCs w:val="22"/>
                <w:lang w:eastAsia="en-GB"/>
              </w:rPr>
            </w:pPr>
            <w:r w:rsidRPr="007B6E8A">
              <w:rPr>
                <w:b/>
                <w:color w:val="000000"/>
                <w:sz w:val="18"/>
                <w:szCs w:val="22"/>
                <w:lang w:eastAsia="en-GB"/>
              </w:rPr>
              <w:t>Source of position:</w:t>
            </w:r>
            <w:r w:rsidRPr="007B6E8A">
              <w:rPr>
                <w:color w:val="000000"/>
                <w:sz w:val="18"/>
                <w:szCs w:val="22"/>
                <w:lang w:eastAsia="en-GB"/>
              </w:rPr>
              <w:t xml:space="preserve"> A/HRC/33/12 - Para. 134</w:t>
            </w:r>
          </w:p>
        </w:tc>
        <w:tc>
          <w:tcPr>
            <w:tcW w:w="1240" w:type="dxa"/>
            <w:tcBorders>
              <w:bottom w:val="dotted" w:sz="4" w:space="0" w:color="auto"/>
            </w:tcBorders>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Costa Rica</w:t>
            </w:r>
          </w:p>
        </w:tc>
        <w:tc>
          <w:tcPr>
            <w:tcW w:w="1400" w:type="dxa"/>
            <w:tcBorders>
              <w:bottom w:val="dotted" w:sz="4" w:space="0" w:color="auto"/>
            </w:tcBorders>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Supported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tcBorders>
              <w:bottom w:val="dotted" w:sz="4" w:space="0" w:color="auto"/>
            </w:tcBorders>
            <w:shd w:val="clear" w:color="auto" w:fill="auto"/>
            <w:hideMark/>
          </w:tcPr>
          <w:p w:rsidR="002D6813" w:rsidRPr="007B6E8A" w:rsidRDefault="00CB78A3" w:rsidP="001D61C2">
            <w:pPr>
              <w:suppressAutoHyphens w:val="0"/>
              <w:spacing w:line="240" w:lineRule="auto"/>
              <w:rPr>
                <w:color w:val="000000"/>
                <w:sz w:val="18"/>
                <w:szCs w:val="22"/>
                <w:lang w:eastAsia="en-GB"/>
              </w:rPr>
            </w:pPr>
            <w:r w:rsidRPr="007B6E8A">
              <w:rPr>
                <w:color w:val="000000"/>
                <w:sz w:val="18"/>
                <w:szCs w:val="22"/>
                <w:lang w:eastAsia="en-GB"/>
              </w:rPr>
              <w:t xml:space="preserve">UNICEF </w:t>
            </w:r>
          </w:p>
        </w:tc>
      </w:tr>
      <w:tr w:rsidR="001D61C2" w:rsidRPr="007B6E8A" w:rsidTr="00BC50B1">
        <w:trPr>
          <w:cantSplit/>
        </w:trPr>
        <w:tc>
          <w:tcPr>
            <w:tcW w:w="10860" w:type="dxa"/>
            <w:gridSpan w:val="4"/>
            <w:shd w:val="clear" w:color="auto" w:fill="DBE5F1"/>
            <w:hideMark/>
          </w:tcPr>
          <w:p w:rsidR="001D61C2" w:rsidRPr="007B6E8A" w:rsidRDefault="001D61C2" w:rsidP="001D61C2">
            <w:pPr>
              <w:suppressAutoHyphens w:val="0"/>
              <w:spacing w:before="40" w:after="40" w:line="240" w:lineRule="auto"/>
              <w:rPr>
                <w:b/>
                <w:i/>
                <w:color w:val="000000"/>
                <w:sz w:val="18"/>
                <w:szCs w:val="22"/>
                <w:lang w:eastAsia="en-GB"/>
              </w:rPr>
            </w:pPr>
            <w:r w:rsidRPr="007B6E8A">
              <w:rPr>
                <w:b/>
                <w:i/>
                <w:color w:val="000000"/>
                <w:sz w:val="18"/>
                <w:szCs w:val="22"/>
                <w:lang w:eastAsia="en-GB"/>
              </w:rPr>
              <w:t xml:space="preserve">Theme: </w:t>
            </w:r>
            <w:proofErr w:type="spellStart"/>
            <w:r w:rsidRPr="007B6E8A">
              <w:rPr>
                <w:b/>
                <w:i/>
                <w:color w:val="000000"/>
                <w:sz w:val="18"/>
                <w:szCs w:val="22"/>
                <w:lang w:eastAsia="en-GB"/>
              </w:rPr>
              <w:t>G5</w:t>
            </w:r>
            <w:proofErr w:type="spellEnd"/>
            <w:r w:rsidRPr="007B6E8A">
              <w:rPr>
                <w:b/>
                <w:i/>
                <w:color w:val="000000"/>
                <w:sz w:val="18"/>
                <w:szCs w:val="22"/>
                <w:lang w:eastAsia="en-GB"/>
              </w:rPr>
              <w:t xml:space="preserve"> Refugees &amp; asylum seekers</w:t>
            </w:r>
          </w:p>
        </w:tc>
      </w:tr>
      <w:tr w:rsidR="002D6813" w:rsidRPr="007B6E8A" w:rsidTr="001D61C2">
        <w:trPr>
          <w:cantSplit/>
        </w:trPr>
        <w:tc>
          <w:tcPr>
            <w:tcW w:w="452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137.72 Ensure, before the next universal periodic review, that asylum seekers and refugees have access to work and freedom of movement (Canada).</w:t>
            </w:r>
          </w:p>
          <w:p w:rsidR="002D6813" w:rsidRPr="007B6E8A" w:rsidRDefault="002D6813" w:rsidP="001D61C2">
            <w:pPr>
              <w:suppressAutoHyphens w:val="0"/>
              <w:spacing w:before="40" w:after="40" w:line="240" w:lineRule="auto"/>
              <w:rPr>
                <w:color w:val="000000"/>
                <w:sz w:val="18"/>
                <w:szCs w:val="22"/>
                <w:lang w:eastAsia="en-GB"/>
              </w:rPr>
            </w:pPr>
            <w:r w:rsidRPr="007B6E8A">
              <w:rPr>
                <w:b/>
                <w:color w:val="000000"/>
                <w:sz w:val="18"/>
                <w:szCs w:val="22"/>
                <w:lang w:eastAsia="en-GB"/>
              </w:rPr>
              <w:t>Source of position:</w:t>
            </w:r>
            <w:r w:rsidRPr="007B6E8A">
              <w:rPr>
                <w:color w:val="000000"/>
                <w:sz w:val="18"/>
                <w:szCs w:val="22"/>
                <w:lang w:eastAsia="en-GB"/>
              </w:rPr>
              <w:t xml:space="preserve"> A/HRC/33/12 - Para. 137</w:t>
            </w:r>
          </w:p>
        </w:tc>
        <w:tc>
          <w:tcPr>
            <w:tcW w:w="1240" w:type="dxa"/>
            <w:shd w:val="clear" w:color="auto" w:fill="auto"/>
            <w:hideMark/>
          </w:tcPr>
          <w:p w:rsidR="002D6813"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Canada</w:t>
            </w:r>
          </w:p>
        </w:tc>
        <w:tc>
          <w:tcPr>
            <w:tcW w:w="1400" w:type="dxa"/>
            <w:shd w:val="clear" w:color="auto" w:fill="auto"/>
            <w:hideMark/>
          </w:tcPr>
          <w:p w:rsidR="001D61C2" w:rsidRPr="007B6E8A" w:rsidRDefault="002D6813" w:rsidP="001D61C2">
            <w:pPr>
              <w:suppressAutoHyphens w:val="0"/>
              <w:spacing w:before="40" w:after="40" w:line="240" w:lineRule="auto"/>
              <w:rPr>
                <w:color w:val="000000"/>
                <w:sz w:val="18"/>
                <w:szCs w:val="22"/>
                <w:lang w:eastAsia="en-GB"/>
              </w:rPr>
            </w:pPr>
            <w:r w:rsidRPr="007B6E8A">
              <w:rPr>
                <w:color w:val="000000"/>
                <w:sz w:val="18"/>
                <w:szCs w:val="22"/>
                <w:lang w:eastAsia="en-GB"/>
              </w:rPr>
              <w:t>Noted</w:t>
            </w:r>
          </w:p>
          <w:p w:rsidR="002D6813" w:rsidRPr="007B6E8A" w:rsidRDefault="002D6813" w:rsidP="001D61C2">
            <w:pPr>
              <w:suppressAutoHyphens w:val="0"/>
              <w:spacing w:before="40" w:after="40" w:line="240" w:lineRule="auto"/>
              <w:rPr>
                <w:color w:val="000000"/>
                <w:sz w:val="18"/>
                <w:szCs w:val="22"/>
                <w:lang w:eastAsia="en-GB"/>
              </w:rPr>
            </w:pPr>
          </w:p>
        </w:tc>
        <w:tc>
          <w:tcPr>
            <w:tcW w:w="3700" w:type="dxa"/>
            <w:shd w:val="clear" w:color="auto" w:fill="auto"/>
            <w:hideMark/>
          </w:tcPr>
          <w:p w:rsidR="002D6813" w:rsidRPr="007B6E8A" w:rsidRDefault="00CB78A3" w:rsidP="001D61C2">
            <w:pPr>
              <w:suppressAutoHyphens w:val="0"/>
              <w:spacing w:line="240" w:lineRule="auto"/>
              <w:rPr>
                <w:color w:val="000000"/>
                <w:sz w:val="18"/>
                <w:szCs w:val="22"/>
                <w:lang w:eastAsia="en-GB"/>
              </w:rPr>
            </w:pPr>
            <w:proofErr w:type="spellStart"/>
            <w:r w:rsidRPr="007B6E8A">
              <w:rPr>
                <w:color w:val="000000"/>
                <w:sz w:val="18"/>
                <w:szCs w:val="22"/>
                <w:lang w:eastAsia="en-GB"/>
              </w:rPr>
              <w:t>UNHCHR</w:t>
            </w:r>
            <w:proofErr w:type="spellEnd"/>
          </w:p>
        </w:tc>
      </w:tr>
    </w:tbl>
    <w:p w:rsidR="0087011F" w:rsidRPr="007B6E8A" w:rsidRDefault="0087011F" w:rsidP="00D53ABE">
      <w:pPr>
        <w:rPr>
          <w:sz w:val="18"/>
          <w:szCs w:val="22"/>
        </w:rPr>
      </w:pPr>
    </w:p>
    <w:p w:rsidR="00E33392" w:rsidRPr="007B6E8A" w:rsidRDefault="00E33392" w:rsidP="00D53ABE">
      <w:pPr>
        <w:rPr>
          <w:sz w:val="18"/>
          <w:szCs w:val="22"/>
        </w:rPr>
      </w:pPr>
    </w:p>
    <w:sectPr w:rsidR="00E33392" w:rsidRPr="007B6E8A"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B1" w:rsidRDefault="00BC50B1"/>
  </w:endnote>
  <w:endnote w:type="continuationSeparator" w:id="0">
    <w:p w:rsidR="00BC50B1" w:rsidRDefault="00BC50B1"/>
  </w:endnote>
  <w:endnote w:type="continuationNotice" w:id="1">
    <w:p w:rsidR="00BC50B1" w:rsidRDefault="00BC5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B1" w:rsidRDefault="00BC50B1">
    <w:pPr>
      <w:pStyle w:val="Footer"/>
    </w:pPr>
  </w:p>
  <w:p w:rsidR="00BC50B1" w:rsidRDefault="00BC5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B1" w:rsidRPr="000B175B" w:rsidRDefault="00BC50B1" w:rsidP="000B175B">
      <w:pPr>
        <w:tabs>
          <w:tab w:val="right" w:pos="2155"/>
        </w:tabs>
        <w:spacing w:after="80"/>
        <w:ind w:left="680"/>
        <w:rPr>
          <w:u w:val="single"/>
        </w:rPr>
      </w:pPr>
      <w:r>
        <w:rPr>
          <w:u w:val="single"/>
        </w:rPr>
        <w:tab/>
      </w:r>
    </w:p>
  </w:footnote>
  <w:footnote w:type="continuationSeparator" w:id="0">
    <w:p w:rsidR="00BC50B1" w:rsidRPr="00FC68B7" w:rsidRDefault="00BC50B1" w:rsidP="00FC68B7">
      <w:pPr>
        <w:tabs>
          <w:tab w:val="left" w:pos="2155"/>
        </w:tabs>
        <w:spacing w:after="80"/>
        <w:ind w:left="680"/>
        <w:rPr>
          <w:u w:val="single"/>
        </w:rPr>
      </w:pPr>
      <w:r>
        <w:rPr>
          <w:u w:val="single"/>
        </w:rPr>
        <w:tab/>
      </w:r>
    </w:p>
  </w:footnote>
  <w:footnote w:type="continuationNotice" w:id="1">
    <w:p w:rsidR="00BC50B1" w:rsidRDefault="00BC50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B1" w:rsidRPr="00CB78A3" w:rsidRDefault="00BC50B1" w:rsidP="00CB78A3">
    <w:pPr>
      <w:suppressAutoHyphens w:val="0"/>
      <w:spacing w:line="240" w:lineRule="auto"/>
      <w:jc w:val="center"/>
      <w:rPr>
        <w:rFonts w:ascii="Calibri" w:hAnsi="Calibri"/>
        <w:color w:val="000000"/>
        <w:sz w:val="28"/>
        <w:szCs w:val="24"/>
        <w:lang w:eastAsia="en-GB"/>
      </w:rPr>
    </w:pPr>
    <w:r w:rsidRPr="00CB78A3">
      <w:rPr>
        <w:rFonts w:ascii="Calibri" w:hAnsi="Calibri"/>
        <w:b/>
        <w:color w:val="000000"/>
        <w:sz w:val="28"/>
        <w:szCs w:val="24"/>
        <w:lang w:eastAsia="en-GB"/>
      </w:rPr>
      <w:t xml:space="preserve">UPR of the </w:t>
    </w:r>
    <w:proofErr w:type="gramStart"/>
    <w:r w:rsidR="00CB78A3" w:rsidRPr="00CB78A3">
      <w:rPr>
        <w:rFonts w:ascii="Calibri" w:hAnsi="Calibri"/>
        <w:b/>
        <w:color w:val="000000"/>
        <w:sz w:val="28"/>
        <w:szCs w:val="24"/>
        <w:lang w:eastAsia="en-GB"/>
      </w:rPr>
      <w:t xml:space="preserve">XX </w:t>
    </w:r>
    <w:r w:rsidRPr="00CB78A3">
      <w:rPr>
        <w:rFonts w:ascii="Calibri" w:hAnsi="Calibri"/>
        <w:b/>
        <w:color w:val="000000"/>
        <w:sz w:val="28"/>
        <w:szCs w:val="24"/>
        <w:lang w:eastAsia="en-GB"/>
      </w:rPr>
      <w:t xml:space="preserve"> -</w:t>
    </w:r>
    <w:proofErr w:type="gramEnd"/>
    <w:r w:rsidRPr="00CB78A3">
      <w:rPr>
        <w:rFonts w:ascii="Calibri" w:hAnsi="Calibri"/>
        <w:b/>
        <w:color w:val="000000"/>
        <w:sz w:val="28"/>
        <w:szCs w:val="24"/>
        <w:lang w:eastAsia="en-GB"/>
      </w:rPr>
      <w:t xml:space="preserve"> Second Cycle - </w:t>
    </w:r>
    <w:r w:rsidRPr="00CB78A3">
      <w:rPr>
        <w:rFonts w:ascii="Calibri" w:hAnsi="Calibri"/>
        <w:b/>
        <w:color w:val="000000"/>
        <w:sz w:val="28"/>
        <w:szCs w:val="28"/>
        <w:lang w:eastAsia="en-GB"/>
      </w:rPr>
      <w:t>Thematic list of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13"/>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D61C2"/>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813"/>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B6E8A"/>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1F"/>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50B1"/>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B78A3"/>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86941266">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CAECE9-496F-41F3-985D-7A9DABA9D39B}">
  <ds:schemaRefs>
    <ds:schemaRef ds:uri="http://schemas.openxmlformats.org/officeDocument/2006/bibliography"/>
  </ds:schemaRefs>
</ds:datastoreItem>
</file>

<file path=customXml/itemProps2.xml><?xml version="1.0" encoding="utf-8"?>
<ds:datastoreItem xmlns:ds="http://schemas.openxmlformats.org/officeDocument/2006/customXml" ds:itemID="{5348BB9A-E5D9-47C6-8F97-016C1F29E37C}"/>
</file>

<file path=customXml/itemProps3.xml><?xml version="1.0" encoding="utf-8"?>
<ds:datastoreItem xmlns:ds="http://schemas.openxmlformats.org/officeDocument/2006/customXml" ds:itemID="{EB4EAC9F-7E07-48E5-ACA7-9682AAE6EA7D}"/>
</file>

<file path=customXml/itemProps4.xml><?xml version="1.0" encoding="utf-8"?>
<ds:datastoreItem xmlns:ds="http://schemas.openxmlformats.org/officeDocument/2006/customXml" ds:itemID="{A52B7B0D-BAB2-4939-9443-B5CEC03C5708}"/>
</file>

<file path=docProps/app.xml><?xml version="1.0" encoding="utf-8"?>
<Properties xmlns="http://schemas.openxmlformats.org/officeDocument/2006/extended-properties" xmlns:vt="http://schemas.openxmlformats.org/officeDocument/2006/docPropsVTypes">
  <Template>Normal.dotm</Template>
  <TotalTime>30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UPR25_UnitedRepublicofTanzania_recommendations</dc:title>
  <dc:creator>Paul Miller</dc:creator>
  <cp:lastModifiedBy>Karin Friedrich</cp:lastModifiedBy>
  <cp:revision>4</cp:revision>
  <cp:lastPrinted>2014-11-20T16:05:00Z</cp:lastPrinted>
  <dcterms:created xsi:type="dcterms:W3CDTF">2016-12-19T12:55:00Z</dcterms:created>
  <dcterms:modified xsi:type="dcterms:W3CDTF">2017-03-08T13:51:00Z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