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7B0C38BD"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3070C9">
        <w:rPr>
          <w:lang w:val="fr-CH"/>
        </w:rPr>
        <w:t>Benin</w:t>
      </w:r>
    </w:p>
    <w:p w14:paraId="6FB0FEAC" w14:textId="05BF631A" w:rsidR="00A02BFB" w:rsidRPr="00A02BFB" w:rsidRDefault="005512BA" w:rsidP="005512BA">
      <w:pPr>
        <w:pStyle w:val="HChG"/>
      </w:pPr>
      <w:r w:rsidRPr="00E170D4">
        <w:rPr>
          <w:lang w:val="fr-CH"/>
        </w:rPr>
        <w:tab/>
      </w:r>
      <w:r w:rsidR="00A02BFB" w:rsidRPr="00A02BFB">
        <w:t>I.</w:t>
      </w:r>
      <w:r w:rsidR="00A02BFB" w:rsidRPr="00A02BFB">
        <w:tab/>
      </w:r>
      <w:r w:rsidR="003070C9" w:rsidRPr="003070C9">
        <w:t>Scope of international obligations</w:t>
      </w:r>
      <w:r w:rsidR="003070C9" w:rsidRPr="003070C9">
        <w:rPr>
          <w:b w:val="0"/>
          <w:bCs/>
          <w:sz w:val="18"/>
          <w:szCs w:val="18"/>
          <w:vertAlign w:val="superscript"/>
        </w:rPr>
        <w:endnoteReference w:id="2"/>
      </w:r>
    </w:p>
    <w:p w14:paraId="7426EFE9" w14:textId="25C46503" w:rsidR="00A02BFB" w:rsidRPr="00A02BFB" w:rsidRDefault="00A02BFB" w:rsidP="005512BA">
      <w:pPr>
        <w:pStyle w:val="H1G"/>
      </w:pPr>
      <w:r w:rsidRPr="00A02BFB">
        <w:tab/>
      </w:r>
      <w:bookmarkStart w:id="0" w:name="Table_Int_HR_Treaties"/>
      <w:r w:rsidR="003070C9">
        <w:t>A.</w:t>
      </w:r>
      <w:r w:rsidR="003070C9">
        <w:tab/>
      </w:r>
      <w:r w:rsidR="003070C9" w:rsidRPr="003070C9">
        <w:t>International human rights treaties</w:t>
      </w:r>
      <w:bookmarkEnd w:id="0"/>
      <w:r w:rsidR="003070C9" w:rsidRPr="003070C9">
        <w:rPr>
          <w:b w:val="0"/>
          <w:bCs/>
          <w:sz w:val="18"/>
          <w:szCs w:val="18"/>
          <w:vertAlign w:val="superscript"/>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A02BFB" w:rsidRPr="00A02BFB" w14:paraId="0EEAE8D7" w14:textId="77777777" w:rsidTr="009045C9">
        <w:tc>
          <w:tcPr>
            <w:tcW w:w="2409" w:type="dxa"/>
            <w:shd w:val="clear" w:color="auto" w:fill="auto"/>
          </w:tcPr>
          <w:p w14:paraId="2F5AE48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27E8B508" w14:textId="77777777" w:rsidR="00B31DB2" w:rsidRPr="00B31DB2" w:rsidRDefault="00B31DB2" w:rsidP="00B31DB2">
            <w:pPr>
              <w:spacing w:before="40" w:after="120"/>
              <w:ind w:right="113"/>
            </w:pPr>
            <w:r w:rsidRPr="00B31DB2">
              <w:t>ICERD (2001)</w:t>
            </w:r>
          </w:p>
          <w:p w14:paraId="2575AD74" w14:textId="77777777" w:rsidR="00B31DB2" w:rsidRPr="00B31DB2" w:rsidRDefault="00B31DB2" w:rsidP="00B31DB2">
            <w:pPr>
              <w:spacing w:before="40" w:after="120"/>
              <w:ind w:right="113"/>
            </w:pPr>
            <w:r w:rsidRPr="00B31DB2">
              <w:t>ICESCR (1992)</w:t>
            </w:r>
          </w:p>
          <w:p w14:paraId="2E8C01CD" w14:textId="77777777" w:rsidR="00B31DB2" w:rsidRPr="00B31DB2" w:rsidRDefault="00B31DB2" w:rsidP="00B31DB2">
            <w:pPr>
              <w:spacing w:before="40" w:after="120"/>
              <w:ind w:right="113"/>
            </w:pPr>
            <w:r w:rsidRPr="00B31DB2">
              <w:t>ICCPR (1992)</w:t>
            </w:r>
          </w:p>
          <w:p w14:paraId="4C2DD3F6" w14:textId="77777777" w:rsidR="00B31DB2" w:rsidRPr="00B31DB2" w:rsidRDefault="00B31DB2" w:rsidP="00B31DB2">
            <w:pPr>
              <w:spacing w:before="40" w:after="120"/>
              <w:ind w:right="113"/>
            </w:pPr>
            <w:r w:rsidRPr="00B31DB2">
              <w:t>ICCPR-OP 2 (2012)</w:t>
            </w:r>
          </w:p>
          <w:p w14:paraId="152970F1" w14:textId="77777777" w:rsidR="00B31DB2" w:rsidRPr="00B31DB2" w:rsidRDefault="00B31DB2" w:rsidP="00B31DB2">
            <w:pPr>
              <w:spacing w:before="40" w:after="120"/>
              <w:ind w:right="113"/>
            </w:pPr>
            <w:r w:rsidRPr="00B31DB2">
              <w:t>CEDAW (1992)</w:t>
            </w:r>
          </w:p>
          <w:p w14:paraId="71DE8897" w14:textId="77777777" w:rsidR="00B31DB2" w:rsidRPr="00B31DB2" w:rsidRDefault="00B31DB2" w:rsidP="00B31DB2">
            <w:pPr>
              <w:spacing w:before="40" w:after="120"/>
              <w:ind w:right="113"/>
            </w:pPr>
            <w:r w:rsidRPr="00B31DB2">
              <w:t>CAT (1992)</w:t>
            </w:r>
          </w:p>
          <w:p w14:paraId="012B0E28" w14:textId="77777777" w:rsidR="00B31DB2" w:rsidRPr="00B31DB2" w:rsidRDefault="00B31DB2" w:rsidP="00B31DB2">
            <w:pPr>
              <w:spacing w:before="40" w:after="120"/>
              <w:ind w:right="113"/>
            </w:pPr>
            <w:r w:rsidRPr="00B31DB2">
              <w:t>OP-CAT (2006)</w:t>
            </w:r>
          </w:p>
          <w:p w14:paraId="6BCACD66" w14:textId="77777777" w:rsidR="00B31DB2" w:rsidRPr="00B31DB2" w:rsidRDefault="00B31DB2" w:rsidP="00B31DB2">
            <w:pPr>
              <w:spacing w:before="40" w:after="120"/>
              <w:ind w:right="113"/>
            </w:pPr>
            <w:r w:rsidRPr="00B31DB2">
              <w:t>CRC (1990)</w:t>
            </w:r>
          </w:p>
          <w:p w14:paraId="5E36BD16" w14:textId="77777777" w:rsidR="00B31DB2" w:rsidRPr="00B31DB2" w:rsidRDefault="00B31DB2" w:rsidP="00B31DB2">
            <w:pPr>
              <w:spacing w:before="40" w:after="120"/>
              <w:ind w:right="113"/>
            </w:pPr>
            <w:r w:rsidRPr="00B31DB2">
              <w:t>OP-CRC-AC (2005)</w:t>
            </w:r>
          </w:p>
          <w:p w14:paraId="7500E41C" w14:textId="77777777" w:rsidR="00B31DB2" w:rsidRPr="00B31DB2" w:rsidRDefault="00B31DB2" w:rsidP="00B31DB2">
            <w:pPr>
              <w:spacing w:before="40" w:after="120"/>
              <w:ind w:right="113"/>
            </w:pPr>
            <w:r w:rsidRPr="00B31DB2">
              <w:t>OP-CRC-SC (2005)</w:t>
            </w:r>
          </w:p>
          <w:p w14:paraId="0ACDD081" w14:textId="3E3BEE53" w:rsidR="00A02BFB" w:rsidRPr="00A02BFB" w:rsidRDefault="00B31DB2" w:rsidP="00B31DB2">
            <w:pPr>
              <w:spacing w:before="40" w:after="120"/>
              <w:ind w:right="113"/>
            </w:pPr>
            <w:r w:rsidRPr="00B31DB2">
              <w:t>CRPD (2012)</w:t>
            </w:r>
          </w:p>
        </w:tc>
        <w:tc>
          <w:tcPr>
            <w:tcW w:w="2409" w:type="dxa"/>
            <w:shd w:val="clear" w:color="auto" w:fill="auto"/>
          </w:tcPr>
          <w:p w14:paraId="14C497E4" w14:textId="56064C3A" w:rsidR="00A02BFB" w:rsidRPr="00A02BFB" w:rsidRDefault="00B31DB2" w:rsidP="00A02BFB">
            <w:pPr>
              <w:spacing w:before="40" w:after="120"/>
              <w:ind w:right="113"/>
            </w:pPr>
            <w:r>
              <w:t>–</w:t>
            </w:r>
          </w:p>
        </w:tc>
        <w:tc>
          <w:tcPr>
            <w:tcW w:w="2410" w:type="dxa"/>
            <w:shd w:val="clear" w:color="auto" w:fill="auto"/>
          </w:tcPr>
          <w:p w14:paraId="4F2363AB" w14:textId="258F3D16" w:rsidR="00B31DB2" w:rsidRPr="00B31DB2" w:rsidRDefault="00B31DB2" w:rsidP="00B31DB2">
            <w:pPr>
              <w:spacing w:before="40" w:after="120"/>
              <w:ind w:right="113"/>
            </w:pPr>
            <w:r>
              <w:t>ICRMW (Signature only, 2005)</w:t>
            </w:r>
          </w:p>
          <w:p w14:paraId="5503D40D" w14:textId="63676290" w:rsidR="00A02BFB" w:rsidRPr="00A02BFB" w:rsidRDefault="005879D1" w:rsidP="00B31DB2">
            <w:pPr>
              <w:spacing w:before="40" w:after="120"/>
              <w:ind w:right="113"/>
            </w:pPr>
            <w:r>
              <w:t xml:space="preserve">ICPPED </w:t>
            </w:r>
            <w:r w:rsidR="00B31DB2" w:rsidRPr="00B31DB2">
              <w:t>(Signature only, 2010)</w:t>
            </w:r>
          </w:p>
        </w:tc>
      </w:tr>
      <w:tr w:rsidR="00A02BFB" w:rsidRPr="00A02BFB" w14:paraId="30601F05" w14:textId="77777777" w:rsidTr="009045C9">
        <w:tc>
          <w:tcPr>
            <w:tcW w:w="2409" w:type="dxa"/>
            <w:tcBorders>
              <w:bottom w:val="single" w:sz="12" w:space="0" w:color="auto"/>
            </w:tcBorders>
            <w:shd w:val="clear" w:color="auto" w:fill="auto"/>
          </w:tcPr>
          <w:p w14:paraId="64F34C15"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5FE44B5D" w14:textId="77777777" w:rsidR="005879D1" w:rsidRPr="005879D1" w:rsidRDefault="005879D1" w:rsidP="005879D1">
            <w:pPr>
              <w:spacing w:before="40" w:after="120"/>
              <w:ind w:right="113"/>
            </w:pPr>
            <w:r w:rsidRPr="005879D1">
              <w:t>ICCPR-OP 1 (1992)</w:t>
            </w:r>
          </w:p>
          <w:p w14:paraId="542C2219" w14:textId="77777777" w:rsidR="005879D1" w:rsidRPr="005879D1" w:rsidRDefault="005879D1" w:rsidP="005879D1">
            <w:pPr>
              <w:spacing w:before="40" w:after="120"/>
              <w:ind w:right="113"/>
            </w:pPr>
            <w:r w:rsidRPr="005879D1">
              <w:t>OP-CRPD, art. 6 (2012)</w:t>
            </w:r>
          </w:p>
          <w:p w14:paraId="4ADAA5A2" w14:textId="3C2507D4" w:rsidR="00A02BFB" w:rsidRPr="00A02BFB" w:rsidRDefault="005879D1" w:rsidP="005879D1">
            <w:pPr>
              <w:spacing w:before="40" w:after="120"/>
              <w:ind w:right="113"/>
            </w:pPr>
            <w:r w:rsidRPr="005879D1">
              <w:t>CAT, art. 21 (1992)</w:t>
            </w:r>
          </w:p>
        </w:tc>
        <w:tc>
          <w:tcPr>
            <w:tcW w:w="2409" w:type="dxa"/>
            <w:tcBorders>
              <w:bottom w:val="single" w:sz="12" w:space="0" w:color="auto"/>
            </w:tcBorders>
            <w:shd w:val="clear" w:color="auto" w:fill="auto"/>
          </w:tcPr>
          <w:p w14:paraId="41110F85" w14:textId="07982BEB" w:rsidR="00A02BFB" w:rsidRPr="00A02BFB" w:rsidRDefault="00AA3277" w:rsidP="00A02BFB">
            <w:pPr>
              <w:spacing w:before="40" w:after="120"/>
              <w:ind w:right="113"/>
            </w:pPr>
            <w:r>
              <w:t>–</w:t>
            </w:r>
          </w:p>
        </w:tc>
        <w:tc>
          <w:tcPr>
            <w:tcW w:w="2410" w:type="dxa"/>
            <w:tcBorders>
              <w:bottom w:val="single" w:sz="12" w:space="0" w:color="auto"/>
            </w:tcBorders>
            <w:shd w:val="clear" w:color="auto" w:fill="auto"/>
          </w:tcPr>
          <w:p w14:paraId="6B033B9A" w14:textId="25F7E2A8" w:rsidR="005879D1" w:rsidRPr="005879D1" w:rsidRDefault="005879D1" w:rsidP="005879D1">
            <w:pPr>
              <w:spacing w:before="40" w:after="120"/>
              <w:ind w:right="113"/>
            </w:pPr>
            <w:r>
              <w:t>ICERD, art. 14</w:t>
            </w:r>
          </w:p>
          <w:p w14:paraId="76126865" w14:textId="77777777" w:rsidR="005879D1" w:rsidRPr="005879D1" w:rsidRDefault="005879D1" w:rsidP="005879D1">
            <w:pPr>
              <w:spacing w:before="40" w:after="120"/>
              <w:ind w:right="113"/>
            </w:pPr>
            <w:r w:rsidRPr="005879D1">
              <w:t>ICRMW, arts. 76-77</w:t>
            </w:r>
          </w:p>
          <w:p w14:paraId="3B3BE8CC" w14:textId="6277740B" w:rsidR="005879D1" w:rsidRPr="005879D1" w:rsidRDefault="008E4200" w:rsidP="005879D1">
            <w:pPr>
              <w:spacing w:before="40" w:after="120"/>
              <w:ind w:right="113"/>
            </w:pPr>
            <w:r>
              <w:t>ICCPR, art. 41</w:t>
            </w:r>
          </w:p>
          <w:p w14:paraId="045EA890" w14:textId="53B1FEA2" w:rsidR="005879D1" w:rsidRPr="005879D1" w:rsidRDefault="005879D1" w:rsidP="005879D1">
            <w:pPr>
              <w:spacing w:before="40" w:after="120"/>
              <w:ind w:right="113"/>
            </w:pPr>
            <w:r>
              <w:t>OP-ICESCR</w:t>
            </w:r>
          </w:p>
          <w:p w14:paraId="3E75569B" w14:textId="0B97495A" w:rsidR="005879D1" w:rsidRPr="005879D1" w:rsidRDefault="005879D1" w:rsidP="005879D1">
            <w:pPr>
              <w:spacing w:before="40" w:after="120"/>
              <w:ind w:right="113"/>
            </w:pPr>
            <w:r w:rsidRPr="005879D1">
              <w:t>OP-CEDAW (Signature only, 2000)</w:t>
            </w:r>
          </w:p>
          <w:p w14:paraId="36885E49" w14:textId="47D53584" w:rsidR="005879D1" w:rsidRPr="005879D1" w:rsidRDefault="005879D1" w:rsidP="005879D1">
            <w:pPr>
              <w:spacing w:before="40" w:after="120"/>
              <w:ind w:right="113"/>
            </w:pPr>
            <w:r w:rsidRPr="005879D1">
              <w:t>CAT, arts. 21</w:t>
            </w:r>
            <w:r>
              <w:t>-22</w:t>
            </w:r>
          </w:p>
          <w:p w14:paraId="468D28B9" w14:textId="2895F887" w:rsidR="00A02BFB" w:rsidRPr="00A02BFB" w:rsidRDefault="005879D1" w:rsidP="005879D1">
            <w:pPr>
              <w:spacing w:before="40" w:after="120"/>
              <w:ind w:right="113"/>
            </w:pPr>
            <w:r w:rsidRPr="005879D1">
              <w:t>OP-CRC-IC (Signature only, 2013)</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02BFB" w:rsidRPr="00A02BFB" w14:paraId="7546C5A3" w14:textId="77777777" w:rsidTr="00D57EDC">
        <w:tc>
          <w:tcPr>
            <w:tcW w:w="2409" w:type="dxa"/>
            <w:tcBorders>
              <w:bottom w:val="single" w:sz="12" w:space="0" w:color="auto"/>
            </w:tcBorders>
          </w:tcPr>
          <w:p w14:paraId="585A7984" w14:textId="77777777" w:rsidR="00A02BFB" w:rsidRPr="00A02BFB" w:rsidRDefault="00A02BFB" w:rsidP="00A02BFB">
            <w:pPr>
              <w:spacing w:before="40" w:after="120"/>
              <w:ind w:right="113"/>
            </w:pPr>
          </w:p>
        </w:tc>
        <w:tc>
          <w:tcPr>
            <w:tcW w:w="2409" w:type="dxa"/>
            <w:tcBorders>
              <w:bottom w:val="single" w:sz="12" w:space="0" w:color="auto"/>
            </w:tcBorders>
          </w:tcPr>
          <w:p w14:paraId="21F4AE79" w14:textId="66813337" w:rsidR="00A02BFB" w:rsidRPr="00A02BFB" w:rsidRDefault="00B33844" w:rsidP="00A02BFB">
            <w:pPr>
              <w:spacing w:before="40" w:after="120"/>
              <w:ind w:right="113"/>
            </w:pPr>
            <w:r w:rsidRPr="00B33844">
              <w:t>OP-CRC-AC (General declaration, 2005)</w:t>
            </w:r>
          </w:p>
        </w:tc>
        <w:tc>
          <w:tcPr>
            <w:tcW w:w="2409" w:type="dxa"/>
            <w:tcBorders>
              <w:bottom w:val="single" w:sz="12" w:space="0" w:color="auto"/>
            </w:tcBorders>
            <w:shd w:val="clear" w:color="auto" w:fill="auto"/>
          </w:tcPr>
          <w:p w14:paraId="42D6128D" w14:textId="35F3F236" w:rsidR="00A02BFB" w:rsidRPr="00A02BFB" w:rsidRDefault="00B33844" w:rsidP="00A3619D">
            <w:pPr>
              <w:spacing w:before="40" w:after="120"/>
              <w:ind w:right="113"/>
            </w:pPr>
            <w:r>
              <w:t>–</w:t>
            </w:r>
          </w:p>
        </w:tc>
        <w:tc>
          <w:tcPr>
            <w:tcW w:w="2410" w:type="dxa"/>
            <w:tcBorders>
              <w:bottom w:val="single" w:sz="12" w:space="0" w:color="auto"/>
            </w:tcBorders>
            <w:shd w:val="clear" w:color="auto" w:fill="auto"/>
          </w:tcPr>
          <w:p w14:paraId="299286B6" w14:textId="6CC23ECB" w:rsidR="00A02BFB" w:rsidRPr="00A02BFB" w:rsidRDefault="00B33844" w:rsidP="00A02BFB">
            <w:pPr>
              <w:spacing w:before="40" w:after="120"/>
              <w:ind w:right="113"/>
            </w:pPr>
            <w:r w:rsidRPr="00B33844">
              <w:t>OP-CRC-AC (General declaration, 2005)</w:t>
            </w:r>
          </w:p>
        </w:tc>
      </w:tr>
    </w:tbl>
    <w:p w14:paraId="69C35676" w14:textId="77777777" w:rsidR="00FD3059" w:rsidRDefault="00FD3059">
      <w:pPr>
        <w:suppressAutoHyphens w:val="0"/>
        <w:spacing w:line="240" w:lineRule="auto"/>
        <w:rPr>
          <w:b/>
          <w:sz w:val="24"/>
        </w:rPr>
      </w:pPr>
      <w:r>
        <w:br w:type="page"/>
      </w:r>
    </w:p>
    <w:p w14:paraId="0BFEBB66" w14:textId="68F06799"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360C13" w:rsidRPr="00A02BFB" w14:paraId="314FD440" w14:textId="77777777" w:rsidTr="000121D2">
        <w:tc>
          <w:tcPr>
            <w:tcW w:w="2409" w:type="dxa"/>
            <w:shd w:val="clear" w:color="auto" w:fill="auto"/>
          </w:tcPr>
          <w:p w14:paraId="4E614050" w14:textId="279BBED7" w:rsidR="00360C13" w:rsidRPr="00A02BFB" w:rsidRDefault="00360C13" w:rsidP="00360C13">
            <w:pPr>
              <w:spacing w:before="40" w:after="120"/>
              <w:ind w:right="113"/>
            </w:pPr>
            <w:r w:rsidRPr="00D16F29">
              <w:rPr>
                <w:i/>
              </w:rPr>
              <w:t>Ratification, accession or succession</w:t>
            </w:r>
          </w:p>
        </w:tc>
        <w:tc>
          <w:tcPr>
            <w:tcW w:w="2409" w:type="dxa"/>
            <w:shd w:val="clear" w:color="auto" w:fill="auto"/>
          </w:tcPr>
          <w:p w14:paraId="03ED0A64" w14:textId="03DDCBCC" w:rsidR="00360C13" w:rsidRPr="00A02BFB" w:rsidRDefault="00360C13" w:rsidP="00360C13">
            <w:pPr>
              <w:spacing w:before="40" w:after="120"/>
              <w:ind w:right="113"/>
            </w:pPr>
            <w:r w:rsidRPr="00D16F29">
              <w:t>Geneva Conventions of 12 August 1949</w:t>
            </w:r>
            <w:r w:rsidRPr="00577FC5">
              <w:rPr>
                <w:sz w:val="18"/>
                <w:szCs w:val="18"/>
                <w:vertAlign w:val="superscript"/>
              </w:rPr>
              <w:endnoteReference w:id="5"/>
            </w:r>
            <w:r>
              <w:t xml:space="preserve"> and Additional Protocols I and II</w:t>
            </w:r>
            <w:r w:rsidRPr="00577FC5">
              <w:rPr>
                <w:sz w:val="18"/>
                <w:szCs w:val="18"/>
                <w:vertAlign w:val="superscript"/>
              </w:rPr>
              <w:endnoteReference w:id="6"/>
            </w:r>
          </w:p>
        </w:tc>
        <w:tc>
          <w:tcPr>
            <w:tcW w:w="2409" w:type="dxa"/>
            <w:shd w:val="clear" w:color="auto" w:fill="auto"/>
          </w:tcPr>
          <w:p w14:paraId="37B46330" w14:textId="34D7ABBF" w:rsidR="00360C13" w:rsidRPr="00A02BFB" w:rsidRDefault="00360C13" w:rsidP="00360C13">
            <w:pPr>
              <w:spacing w:before="40" w:after="120"/>
              <w:ind w:right="113"/>
            </w:pPr>
            <w:r>
              <w:t>–</w:t>
            </w:r>
          </w:p>
        </w:tc>
        <w:tc>
          <w:tcPr>
            <w:tcW w:w="2410" w:type="dxa"/>
            <w:shd w:val="clear" w:color="auto" w:fill="auto"/>
          </w:tcPr>
          <w:p w14:paraId="0E074C2A" w14:textId="77777777" w:rsidR="00360C13" w:rsidRPr="00D16F29" w:rsidRDefault="00360C13" w:rsidP="00360C13">
            <w:pPr>
              <w:spacing w:before="40" w:after="120"/>
              <w:ind w:right="113"/>
            </w:pPr>
            <w:r w:rsidRPr="00D16F29">
              <w:t>Convention on the Prevention and Punishment of the Crime of Genocide</w:t>
            </w:r>
          </w:p>
          <w:p w14:paraId="1E4DFF82" w14:textId="490194E4" w:rsidR="00360C13" w:rsidRPr="00A02BFB" w:rsidRDefault="00360C13" w:rsidP="00360C13">
            <w:pPr>
              <w:spacing w:before="40" w:after="120"/>
              <w:ind w:right="113"/>
            </w:pPr>
            <w:r w:rsidRPr="0007333A">
              <w:t>Additional Protocols III to the 1949 Geneva Conventions</w:t>
            </w:r>
            <w:r w:rsidRPr="00577FC5">
              <w:rPr>
                <w:sz w:val="18"/>
                <w:szCs w:val="18"/>
                <w:vertAlign w:val="superscript"/>
              </w:rPr>
              <w:endnoteReference w:id="7"/>
            </w:r>
          </w:p>
        </w:tc>
      </w:tr>
      <w:tr w:rsidR="00360C13" w:rsidRPr="00A02BFB" w14:paraId="7C2E2B76" w14:textId="77777777" w:rsidTr="000121D2">
        <w:tc>
          <w:tcPr>
            <w:tcW w:w="2409" w:type="dxa"/>
            <w:shd w:val="clear" w:color="auto" w:fill="auto"/>
          </w:tcPr>
          <w:p w14:paraId="5E8E73AA" w14:textId="77777777" w:rsidR="00360C13" w:rsidRPr="00A02BFB" w:rsidRDefault="00360C13" w:rsidP="00360C13">
            <w:pPr>
              <w:spacing w:before="40" w:after="120"/>
              <w:ind w:right="113"/>
            </w:pPr>
          </w:p>
        </w:tc>
        <w:tc>
          <w:tcPr>
            <w:tcW w:w="2409" w:type="dxa"/>
            <w:shd w:val="clear" w:color="auto" w:fill="auto"/>
          </w:tcPr>
          <w:p w14:paraId="5C239303" w14:textId="77777777" w:rsidR="00360C13" w:rsidRDefault="00360C13" w:rsidP="00360C13">
            <w:pPr>
              <w:spacing w:before="40" w:after="120"/>
              <w:ind w:right="113"/>
            </w:pPr>
            <w:r w:rsidRPr="00D16F29">
              <w:t>Rome Statute of the International Criminal Court</w:t>
            </w:r>
          </w:p>
          <w:p w14:paraId="5BCBB174" w14:textId="77777777" w:rsidR="00360C13" w:rsidRDefault="00360C13" w:rsidP="00360C13">
            <w:pPr>
              <w:spacing w:before="40" w:after="120"/>
              <w:ind w:right="113"/>
            </w:pPr>
            <w:r w:rsidRPr="00237870">
              <w:t>Conventions on refugees and stateless persons</w:t>
            </w:r>
            <w:r w:rsidRPr="00577FC5">
              <w:rPr>
                <w:sz w:val="18"/>
                <w:szCs w:val="18"/>
                <w:vertAlign w:val="superscript"/>
              </w:rPr>
              <w:endnoteReference w:id="8"/>
            </w:r>
          </w:p>
          <w:p w14:paraId="19F8277D" w14:textId="01EDB6E2" w:rsidR="00360C13" w:rsidRPr="00A02BFB" w:rsidRDefault="00360C13" w:rsidP="00360C13">
            <w:pPr>
              <w:spacing w:before="40" w:after="120"/>
              <w:ind w:right="113"/>
            </w:pPr>
            <w:r w:rsidRPr="00237870">
              <w:t>1961 Convention on the Reduction of Statelessness</w:t>
            </w:r>
            <w:r w:rsidRPr="00577FC5">
              <w:rPr>
                <w:sz w:val="18"/>
                <w:szCs w:val="18"/>
                <w:vertAlign w:val="superscript"/>
              </w:rPr>
              <w:endnoteReference w:id="9"/>
            </w:r>
          </w:p>
        </w:tc>
        <w:tc>
          <w:tcPr>
            <w:tcW w:w="2409" w:type="dxa"/>
            <w:shd w:val="clear" w:color="auto" w:fill="auto"/>
          </w:tcPr>
          <w:p w14:paraId="600F9B02" w14:textId="48D299EC" w:rsidR="00360C13" w:rsidRPr="00A02BFB" w:rsidRDefault="00360C13" w:rsidP="00360C13">
            <w:pPr>
              <w:spacing w:before="40" w:after="120"/>
              <w:ind w:right="113"/>
            </w:pPr>
            <w:r>
              <w:t>–</w:t>
            </w:r>
          </w:p>
        </w:tc>
        <w:tc>
          <w:tcPr>
            <w:tcW w:w="2410" w:type="dxa"/>
            <w:shd w:val="clear" w:color="auto" w:fill="auto"/>
          </w:tcPr>
          <w:p w14:paraId="51BA8932" w14:textId="1490E2E4" w:rsidR="00360C13" w:rsidRPr="00A02BFB" w:rsidRDefault="00370A62" w:rsidP="00360C13">
            <w:pPr>
              <w:spacing w:before="40" w:after="120"/>
              <w:ind w:right="113"/>
            </w:pPr>
            <w:r>
              <w:t>–</w:t>
            </w:r>
          </w:p>
        </w:tc>
      </w:tr>
      <w:tr w:rsidR="00360C13" w:rsidRPr="00A02BFB" w14:paraId="416C4C14" w14:textId="77777777" w:rsidTr="000121D2">
        <w:tc>
          <w:tcPr>
            <w:tcW w:w="2409" w:type="dxa"/>
            <w:shd w:val="clear" w:color="auto" w:fill="auto"/>
          </w:tcPr>
          <w:p w14:paraId="12464814" w14:textId="77777777" w:rsidR="00360C13" w:rsidRPr="00A02BFB" w:rsidRDefault="00360C13" w:rsidP="00360C13">
            <w:pPr>
              <w:spacing w:before="40" w:after="120"/>
              <w:ind w:right="113"/>
            </w:pPr>
          </w:p>
        </w:tc>
        <w:tc>
          <w:tcPr>
            <w:tcW w:w="2409" w:type="dxa"/>
            <w:shd w:val="clear" w:color="auto" w:fill="auto"/>
          </w:tcPr>
          <w:p w14:paraId="2D47E4A2" w14:textId="55AC904C" w:rsidR="00360C13" w:rsidRPr="00A02BFB" w:rsidRDefault="00360C13" w:rsidP="00360C13">
            <w:pPr>
              <w:spacing w:before="40" w:after="120"/>
              <w:ind w:right="113"/>
            </w:pPr>
            <w:r w:rsidRPr="00D16F29">
              <w:t>Palermo Protocol</w:t>
            </w:r>
            <w:r w:rsidRPr="00577FC5">
              <w:rPr>
                <w:sz w:val="18"/>
                <w:szCs w:val="18"/>
                <w:vertAlign w:val="superscript"/>
              </w:rPr>
              <w:endnoteReference w:id="10"/>
            </w:r>
          </w:p>
        </w:tc>
        <w:tc>
          <w:tcPr>
            <w:tcW w:w="2409" w:type="dxa"/>
            <w:shd w:val="clear" w:color="auto" w:fill="auto"/>
          </w:tcPr>
          <w:p w14:paraId="3A1AEBA0" w14:textId="0C38903A" w:rsidR="00360C13" w:rsidRPr="00A02BFB" w:rsidRDefault="00360C13" w:rsidP="00360C13">
            <w:pPr>
              <w:spacing w:before="40" w:after="120"/>
              <w:ind w:right="113"/>
            </w:pPr>
            <w:r>
              <w:t>–</w:t>
            </w:r>
          </w:p>
        </w:tc>
        <w:tc>
          <w:tcPr>
            <w:tcW w:w="2410" w:type="dxa"/>
            <w:shd w:val="clear" w:color="auto" w:fill="auto"/>
          </w:tcPr>
          <w:p w14:paraId="35CE2B9F" w14:textId="621353F1" w:rsidR="00360C13" w:rsidRPr="00A02BFB" w:rsidRDefault="00370A62" w:rsidP="00360C13">
            <w:pPr>
              <w:spacing w:before="40" w:after="120"/>
              <w:ind w:right="113"/>
            </w:pPr>
            <w:r>
              <w:t>–</w:t>
            </w:r>
          </w:p>
        </w:tc>
      </w:tr>
      <w:tr w:rsidR="00360C13" w:rsidRPr="00A02BFB" w14:paraId="034CF72A" w14:textId="77777777" w:rsidTr="001979F8">
        <w:tc>
          <w:tcPr>
            <w:tcW w:w="2409" w:type="dxa"/>
            <w:tcBorders>
              <w:bottom w:val="single" w:sz="12" w:space="0" w:color="auto"/>
            </w:tcBorders>
            <w:shd w:val="clear" w:color="auto" w:fill="auto"/>
          </w:tcPr>
          <w:p w14:paraId="72AF6285" w14:textId="77777777" w:rsidR="00360C13" w:rsidRPr="00A02BFB" w:rsidRDefault="00360C13" w:rsidP="00360C13">
            <w:pPr>
              <w:spacing w:before="40" w:after="120"/>
              <w:ind w:right="113"/>
            </w:pPr>
          </w:p>
        </w:tc>
        <w:tc>
          <w:tcPr>
            <w:tcW w:w="2409" w:type="dxa"/>
            <w:tcBorders>
              <w:bottom w:val="single" w:sz="12" w:space="0" w:color="auto"/>
            </w:tcBorders>
            <w:shd w:val="clear" w:color="auto" w:fill="auto"/>
          </w:tcPr>
          <w:p w14:paraId="27E9C8EE" w14:textId="18B44D76" w:rsidR="00360C13" w:rsidRPr="00D16F29" w:rsidRDefault="00360C13" w:rsidP="00AF7605">
            <w:pPr>
              <w:autoSpaceDE w:val="0"/>
              <w:autoSpaceDN w:val="0"/>
              <w:adjustRightInd w:val="0"/>
              <w:spacing w:before="40" w:after="120" w:line="220" w:lineRule="atLeast"/>
              <w:ind w:right="113"/>
            </w:pPr>
            <w:r w:rsidRPr="00D16F29">
              <w:t>ILO fundamental Conventions</w:t>
            </w:r>
            <w:r>
              <w:t xml:space="preserve">, </w:t>
            </w:r>
            <w:r w:rsidRPr="0007333A">
              <w:t>except Nos. 138 and 182</w:t>
            </w:r>
            <w:r w:rsidRPr="00D16F29">
              <w:rPr>
                <w:rStyle w:val="EndnoteReference"/>
              </w:rPr>
              <w:endnoteReference w:id="11"/>
            </w:r>
          </w:p>
          <w:p w14:paraId="4D637E8E" w14:textId="4ECE0782" w:rsidR="00360C13" w:rsidRPr="00A02BFB" w:rsidRDefault="00360C13" w:rsidP="00F86D3A">
            <w:pPr>
              <w:spacing w:before="40" w:after="120"/>
              <w:ind w:right="113"/>
            </w:pPr>
            <w:r w:rsidRPr="00D16F29">
              <w:t>Convention against Discrimination in Education</w:t>
            </w:r>
          </w:p>
        </w:tc>
        <w:tc>
          <w:tcPr>
            <w:tcW w:w="2409" w:type="dxa"/>
            <w:tcBorders>
              <w:bottom w:val="single" w:sz="12" w:space="0" w:color="auto"/>
            </w:tcBorders>
            <w:shd w:val="clear" w:color="auto" w:fill="auto"/>
          </w:tcPr>
          <w:p w14:paraId="7CFAD956" w14:textId="501AB00F" w:rsidR="00360C13" w:rsidRPr="00A02BFB" w:rsidRDefault="00577FC5" w:rsidP="00360C13">
            <w:pPr>
              <w:spacing w:before="40" w:after="120"/>
              <w:ind w:right="113"/>
            </w:pPr>
            <w:r>
              <w:t>–</w:t>
            </w:r>
          </w:p>
        </w:tc>
        <w:tc>
          <w:tcPr>
            <w:tcW w:w="2410" w:type="dxa"/>
            <w:tcBorders>
              <w:bottom w:val="single" w:sz="12" w:space="0" w:color="auto"/>
            </w:tcBorders>
            <w:shd w:val="clear" w:color="auto" w:fill="auto"/>
          </w:tcPr>
          <w:p w14:paraId="3E70AA95" w14:textId="3EE96D8C" w:rsidR="00360C13" w:rsidRPr="00A02BFB" w:rsidRDefault="00360C13" w:rsidP="00360C13">
            <w:pPr>
              <w:spacing w:before="40" w:after="120"/>
              <w:ind w:right="113"/>
            </w:pPr>
            <w:r w:rsidRPr="001075EC">
              <w:rPr>
                <w:lang w:val="es-ES"/>
              </w:rPr>
              <w:t>ILO Conventions Nos. 169 and 189</w:t>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3742710B"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14:paraId="15062C40" w14:textId="4B89CC76"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779BA12E" w14:textId="77777777" w:rsidTr="0022777B">
        <w:tc>
          <w:tcPr>
            <w:tcW w:w="1928"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7A62CD06" w14:textId="77777777" w:rsidTr="0022777B">
        <w:trPr>
          <w:trHeight w:hRule="exact" w:val="113"/>
        </w:trPr>
        <w:tc>
          <w:tcPr>
            <w:tcW w:w="1928" w:type="dxa"/>
            <w:shd w:val="clear" w:color="auto" w:fill="auto"/>
            <w:vAlign w:val="bottom"/>
          </w:tcPr>
          <w:p w14:paraId="28835BFF"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526D09E5"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3C21823D"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6C8E352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2699EE97" w14:textId="77777777" w:rsidR="00A02BFB" w:rsidRPr="00A02BFB" w:rsidRDefault="00A02BFB" w:rsidP="00A02BFB">
            <w:pPr>
              <w:spacing w:before="80" w:after="80" w:line="200" w:lineRule="exact"/>
              <w:ind w:right="113"/>
              <w:rPr>
                <w:i/>
                <w:sz w:val="16"/>
              </w:rPr>
            </w:pPr>
          </w:p>
        </w:tc>
      </w:tr>
      <w:tr w:rsidR="00171E14" w:rsidRPr="00A02BFB" w14:paraId="350F06A1" w14:textId="77777777" w:rsidTr="000121D2">
        <w:tc>
          <w:tcPr>
            <w:tcW w:w="1928" w:type="dxa"/>
            <w:shd w:val="clear" w:color="auto" w:fill="auto"/>
          </w:tcPr>
          <w:p w14:paraId="4D948FD2" w14:textId="2F73782A" w:rsidR="00171E14" w:rsidRPr="00171E14" w:rsidRDefault="00171E14" w:rsidP="00171E14">
            <w:pPr>
              <w:spacing w:before="40" w:after="120"/>
              <w:ind w:right="113"/>
            </w:pPr>
            <w:r w:rsidRPr="00171E14">
              <w:t>CERD</w:t>
            </w:r>
          </w:p>
        </w:tc>
        <w:tc>
          <w:tcPr>
            <w:tcW w:w="1928" w:type="dxa"/>
            <w:shd w:val="clear" w:color="auto" w:fill="auto"/>
          </w:tcPr>
          <w:p w14:paraId="575E5802" w14:textId="6ADAC0E6" w:rsidR="00171E14" w:rsidRPr="00A02BFB" w:rsidRDefault="00F75213" w:rsidP="00171E14">
            <w:pPr>
              <w:spacing w:before="40" w:after="120"/>
              <w:ind w:right="113"/>
            </w:pPr>
            <w:r>
              <w:t>–</w:t>
            </w:r>
          </w:p>
        </w:tc>
        <w:tc>
          <w:tcPr>
            <w:tcW w:w="1927" w:type="dxa"/>
            <w:shd w:val="clear" w:color="auto" w:fill="auto"/>
          </w:tcPr>
          <w:p w14:paraId="59633412" w14:textId="1986B498" w:rsidR="00171E14" w:rsidRPr="00A02BFB" w:rsidRDefault="00F75213" w:rsidP="00171E14">
            <w:pPr>
              <w:spacing w:before="40" w:after="120"/>
              <w:ind w:right="113"/>
            </w:pPr>
            <w:r>
              <w:t>–</w:t>
            </w:r>
          </w:p>
        </w:tc>
        <w:tc>
          <w:tcPr>
            <w:tcW w:w="1927" w:type="dxa"/>
            <w:shd w:val="clear" w:color="auto" w:fill="auto"/>
          </w:tcPr>
          <w:p w14:paraId="4DD16D3B" w14:textId="54961E68" w:rsidR="00171E14" w:rsidRPr="00A02BFB" w:rsidRDefault="00F75213" w:rsidP="00171E14">
            <w:pPr>
              <w:spacing w:before="40" w:after="120"/>
              <w:ind w:right="113"/>
            </w:pPr>
            <w:r>
              <w:t>–</w:t>
            </w:r>
          </w:p>
        </w:tc>
        <w:tc>
          <w:tcPr>
            <w:tcW w:w="1927" w:type="dxa"/>
            <w:shd w:val="clear" w:color="auto" w:fill="auto"/>
          </w:tcPr>
          <w:p w14:paraId="76585057" w14:textId="024A27FE" w:rsidR="00171E14" w:rsidRPr="00A02BFB" w:rsidRDefault="00171E14" w:rsidP="00171E14">
            <w:pPr>
              <w:spacing w:before="40" w:after="120"/>
              <w:ind w:right="113"/>
            </w:pPr>
            <w:r>
              <w:t>Initial Report overdue since 2002</w:t>
            </w:r>
          </w:p>
        </w:tc>
      </w:tr>
      <w:tr w:rsidR="00171E14" w:rsidRPr="00A02BFB" w14:paraId="2F75D8E7" w14:textId="77777777" w:rsidTr="000121D2">
        <w:tc>
          <w:tcPr>
            <w:tcW w:w="1928" w:type="dxa"/>
            <w:shd w:val="clear" w:color="auto" w:fill="auto"/>
          </w:tcPr>
          <w:p w14:paraId="1C7E0D0E" w14:textId="2A4EF180" w:rsidR="00171E14" w:rsidRPr="00171E14" w:rsidRDefault="00171E14" w:rsidP="00171E14">
            <w:pPr>
              <w:spacing w:before="40" w:after="120"/>
              <w:ind w:right="113"/>
            </w:pPr>
            <w:r w:rsidRPr="00171E14">
              <w:t>CESCR</w:t>
            </w:r>
          </w:p>
        </w:tc>
        <w:tc>
          <w:tcPr>
            <w:tcW w:w="1928" w:type="dxa"/>
            <w:shd w:val="clear" w:color="auto" w:fill="auto"/>
          </w:tcPr>
          <w:p w14:paraId="2AC79F44" w14:textId="266851C4" w:rsidR="00171E14" w:rsidRPr="00A02BFB" w:rsidRDefault="00171E14" w:rsidP="00171E14">
            <w:pPr>
              <w:spacing w:before="40" w:after="120"/>
              <w:ind w:right="113"/>
            </w:pPr>
            <w:r>
              <w:t>May 2008</w:t>
            </w:r>
          </w:p>
        </w:tc>
        <w:tc>
          <w:tcPr>
            <w:tcW w:w="1927" w:type="dxa"/>
            <w:shd w:val="clear" w:color="auto" w:fill="auto"/>
          </w:tcPr>
          <w:p w14:paraId="4735AAA0" w14:textId="6BE8F706" w:rsidR="00171E14" w:rsidRPr="00A02BFB" w:rsidRDefault="00F75213" w:rsidP="00171E14">
            <w:pPr>
              <w:spacing w:before="40" w:after="120"/>
              <w:ind w:right="113"/>
            </w:pPr>
            <w:r>
              <w:t>–</w:t>
            </w:r>
          </w:p>
        </w:tc>
        <w:tc>
          <w:tcPr>
            <w:tcW w:w="1927" w:type="dxa"/>
            <w:shd w:val="clear" w:color="auto" w:fill="auto"/>
          </w:tcPr>
          <w:p w14:paraId="70DF9B6E" w14:textId="2E0A3AA8" w:rsidR="00171E14" w:rsidRPr="00A02BFB" w:rsidRDefault="00F75213" w:rsidP="00171E14">
            <w:pPr>
              <w:spacing w:before="40" w:after="120"/>
              <w:ind w:right="113"/>
            </w:pPr>
            <w:r>
              <w:t>–</w:t>
            </w:r>
          </w:p>
        </w:tc>
        <w:tc>
          <w:tcPr>
            <w:tcW w:w="1927" w:type="dxa"/>
            <w:shd w:val="clear" w:color="auto" w:fill="auto"/>
          </w:tcPr>
          <w:p w14:paraId="4D5ACCF6" w14:textId="26B70F32" w:rsidR="00171E14" w:rsidRPr="00A02BFB" w:rsidRDefault="00171E14" w:rsidP="00171E14">
            <w:pPr>
              <w:spacing w:before="40" w:after="120"/>
              <w:ind w:right="113"/>
            </w:pPr>
            <w:r>
              <w:t>Third periodic report overdue since 2010</w:t>
            </w:r>
          </w:p>
        </w:tc>
      </w:tr>
      <w:tr w:rsidR="00171E14" w:rsidRPr="00A02BFB" w14:paraId="0AA1C42A" w14:textId="77777777" w:rsidTr="000121D2">
        <w:tc>
          <w:tcPr>
            <w:tcW w:w="1928" w:type="dxa"/>
            <w:shd w:val="clear" w:color="auto" w:fill="auto"/>
          </w:tcPr>
          <w:p w14:paraId="570EE019" w14:textId="3BA5EAA7" w:rsidR="00171E14" w:rsidRPr="00171E14" w:rsidRDefault="00171E14" w:rsidP="00171E14">
            <w:pPr>
              <w:spacing w:before="40" w:after="120"/>
              <w:ind w:right="113"/>
            </w:pPr>
            <w:r w:rsidRPr="00171E14">
              <w:t>HR Committee</w:t>
            </w:r>
          </w:p>
        </w:tc>
        <w:tc>
          <w:tcPr>
            <w:tcW w:w="1928" w:type="dxa"/>
            <w:shd w:val="clear" w:color="auto" w:fill="auto"/>
          </w:tcPr>
          <w:p w14:paraId="70B7F22D" w14:textId="2F8BBF78" w:rsidR="00171E14" w:rsidRPr="00A02BFB" w:rsidRDefault="00F75213" w:rsidP="00171E14">
            <w:pPr>
              <w:spacing w:before="40" w:after="120"/>
              <w:ind w:right="113"/>
            </w:pPr>
            <w:r>
              <w:t>–</w:t>
            </w:r>
          </w:p>
        </w:tc>
        <w:tc>
          <w:tcPr>
            <w:tcW w:w="1927" w:type="dxa"/>
            <w:shd w:val="clear" w:color="auto" w:fill="auto"/>
          </w:tcPr>
          <w:p w14:paraId="5BD2930B" w14:textId="5E7A700A" w:rsidR="00171E14" w:rsidRPr="00A02BFB" w:rsidRDefault="00171E14" w:rsidP="00171E14">
            <w:pPr>
              <w:spacing w:before="40" w:after="120"/>
              <w:ind w:right="113"/>
            </w:pPr>
            <w:r>
              <w:t xml:space="preserve">2013 </w:t>
            </w:r>
          </w:p>
        </w:tc>
        <w:tc>
          <w:tcPr>
            <w:tcW w:w="1927" w:type="dxa"/>
            <w:shd w:val="clear" w:color="auto" w:fill="auto"/>
          </w:tcPr>
          <w:p w14:paraId="38600003" w14:textId="1A291D68" w:rsidR="00171E14" w:rsidRPr="00A02BFB" w:rsidRDefault="00171E14" w:rsidP="00171E14">
            <w:pPr>
              <w:spacing w:before="40" w:after="120"/>
              <w:ind w:right="113"/>
            </w:pPr>
            <w:r>
              <w:t>Nov. 2015</w:t>
            </w:r>
          </w:p>
        </w:tc>
        <w:tc>
          <w:tcPr>
            <w:tcW w:w="1927" w:type="dxa"/>
            <w:shd w:val="clear" w:color="auto" w:fill="auto"/>
          </w:tcPr>
          <w:p w14:paraId="55ED45F6" w14:textId="3659D63B" w:rsidR="00171E14" w:rsidRPr="00A02BFB" w:rsidRDefault="00171E14" w:rsidP="00171E14">
            <w:pPr>
              <w:spacing w:before="40" w:after="120"/>
              <w:ind w:right="113"/>
            </w:pPr>
            <w:r>
              <w:t>Third periodic report due in 2019</w:t>
            </w:r>
          </w:p>
        </w:tc>
      </w:tr>
      <w:tr w:rsidR="00171E14" w:rsidRPr="00A02BFB" w14:paraId="74BF6D48" w14:textId="77777777" w:rsidTr="000121D2">
        <w:tc>
          <w:tcPr>
            <w:tcW w:w="1928" w:type="dxa"/>
            <w:shd w:val="clear" w:color="auto" w:fill="auto"/>
          </w:tcPr>
          <w:p w14:paraId="7AEF31E8" w14:textId="58AFF56D" w:rsidR="00171E14" w:rsidRPr="00171E14" w:rsidRDefault="00171E14" w:rsidP="00171E14">
            <w:pPr>
              <w:spacing w:before="40" w:after="120"/>
              <w:ind w:right="113"/>
            </w:pPr>
            <w:r w:rsidRPr="00171E14">
              <w:t>CEDAW</w:t>
            </w:r>
          </w:p>
        </w:tc>
        <w:tc>
          <w:tcPr>
            <w:tcW w:w="1928" w:type="dxa"/>
            <w:shd w:val="clear" w:color="auto" w:fill="auto"/>
          </w:tcPr>
          <w:p w14:paraId="455A8964" w14:textId="59255662" w:rsidR="00171E14" w:rsidRPr="00A02BFB" w:rsidRDefault="00F75213" w:rsidP="00171E14">
            <w:pPr>
              <w:spacing w:before="40" w:after="120"/>
              <w:ind w:right="113"/>
            </w:pPr>
            <w:r>
              <w:t>–</w:t>
            </w:r>
          </w:p>
        </w:tc>
        <w:tc>
          <w:tcPr>
            <w:tcW w:w="1927" w:type="dxa"/>
            <w:shd w:val="clear" w:color="auto" w:fill="auto"/>
          </w:tcPr>
          <w:p w14:paraId="3D55A1C3" w14:textId="256481A3" w:rsidR="00171E14" w:rsidRPr="00A02BFB" w:rsidRDefault="00171E14" w:rsidP="00171E14">
            <w:pPr>
              <w:spacing w:before="40" w:after="120"/>
              <w:ind w:right="113"/>
            </w:pPr>
            <w:r>
              <w:t>2012</w:t>
            </w:r>
          </w:p>
        </w:tc>
        <w:tc>
          <w:tcPr>
            <w:tcW w:w="1927" w:type="dxa"/>
            <w:shd w:val="clear" w:color="auto" w:fill="auto"/>
          </w:tcPr>
          <w:p w14:paraId="192B86EA" w14:textId="1BCE1B24" w:rsidR="00171E14" w:rsidRPr="00A02BFB" w:rsidRDefault="00171E14" w:rsidP="00171E14">
            <w:pPr>
              <w:spacing w:before="40" w:after="120"/>
              <w:ind w:right="113"/>
            </w:pPr>
            <w:r>
              <w:t>Oct. 2013</w:t>
            </w:r>
          </w:p>
        </w:tc>
        <w:tc>
          <w:tcPr>
            <w:tcW w:w="1927" w:type="dxa"/>
            <w:shd w:val="clear" w:color="auto" w:fill="auto"/>
          </w:tcPr>
          <w:p w14:paraId="35E38704" w14:textId="4CF3EE26" w:rsidR="00171E14" w:rsidRPr="00A02BFB" w:rsidRDefault="00171E14" w:rsidP="00171E14">
            <w:pPr>
              <w:spacing w:before="40" w:after="120"/>
              <w:ind w:right="113"/>
            </w:pPr>
            <w:r>
              <w:t>Fifth</w:t>
            </w:r>
            <w:r w:rsidRPr="00301326">
              <w:t xml:space="preserve"> periodic report due i</w:t>
            </w:r>
            <w:r>
              <w:t>n 2017</w:t>
            </w:r>
          </w:p>
        </w:tc>
      </w:tr>
      <w:tr w:rsidR="00171E14" w:rsidRPr="00A02BFB" w14:paraId="70A11214" w14:textId="77777777" w:rsidTr="000121D2">
        <w:tc>
          <w:tcPr>
            <w:tcW w:w="1928" w:type="dxa"/>
            <w:shd w:val="clear" w:color="auto" w:fill="auto"/>
          </w:tcPr>
          <w:p w14:paraId="6ED05246" w14:textId="1E0E0193" w:rsidR="00171E14" w:rsidRPr="00171E14" w:rsidRDefault="00171E14" w:rsidP="00171E14">
            <w:pPr>
              <w:spacing w:before="40" w:after="120"/>
              <w:ind w:right="113"/>
            </w:pPr>
            <w:r w:rsidRPr="00171E14">
              <w:t>CRC</w:t>
            </w:r>
          </w:p>
        </w:tc>
        <w:tc>
          <w:tcPr>
            <w:tcW w:w="1928" w:type="dxa"/>
            <w:shd w:val="clear" w:color="auto" w:fill="auto"/>
          </w:tcPr>
          <w:p w14:paraId="48F12FA8" w14:textId="22F68881" w:rsidR="00171E14" w:rsidRPr="00A02BFB" w:rsidRDefault="00F75213" w:rsidP="00171E14">
            <w:pPr>
              <w:spacing w:before="40" w:after="120"/>
              <w:ind w:right="113"/>
            </w:pPr>
            <w:r>
              <w:t>–</w:t>
            </w:r>
          </w:p>
        </w:tc>
        <w:tc>
          <w:tcPr>
            <w:tcW w:w="1927" w:type="dxa"/>
            <w:shd w:val="clear" w:color="auto" w:fill="auto"/>
          </w:tcPr>
          <w:p w14:paraId="67BE0CFB" w14:textId="081D4339" w:rsidR="00171E14" w:rsidRPr="00A02BFB" w:rsidRDefault="00171E14" w:rsidP="00171E14">
            <w:pPr>
              <w:spacing w:before="40" w:after="120"/>
              <w:ind w:right="113"/>
            </w:pPr>
            <w:r>
              <w:t>2013</w:t>
            </w:r>
          </w:p>
        </w:tc>
        <w:tc>
          <w:tcPr>
            <w:tcW w:w="1927" w:type="dxa"/>
            <w:shd w:val="clear" w:color="auto" w:fill="auto"/>
          </w:tcPr>
          <w:p w14:paraId="0104E7EF" w14:textId="65A88419" w:rsidR="00171E14" w:rsidRPr="00A02BFB" w:rsidRDefault="00171E14" w:rsidP="00171E14">
            <w:pPr>
              <w:spacing w:before="40" w:after="120"/>
              <w:ind w:right="113"/>
            </w:pPr>
            <w:r>
              <w:t>Jan. 2016</w:t>
            </w:r>
          </w:p>
        </w:tc>
        <w:tc>
          <w:tcPr>
            <w:tcW w:w="1927" w:type="dxa"/>
            <w:shd w:val="clear" w:color="auto" w:fill="auto"/>
          </w:tcPr>
          <w:p w14:paraId="34425AC5" w14:textId="0CE09B3C" w:rsidR="00171E14" w:rsidRPr="00A02BFB" w:rsidRDefault="00171E14" w:rsidP="00171E14">
            <w:pPr>
              <w:spacing w:before="40" w:after="120"/>
              <w:ind w:right="113"/>
            </w:pPr>
            <w:r w:rsidRPr="00237870">
              <w:t xml:space="preserve">Combined </w:t>
            </w:r>
            <w:r>
              <w:t>sixth</w:t>
            </w:r>
            <w:r w:rsidRPr="00237870">
              <w:t xml:space="preserve"> to s</w:t>
            </w:r>
            <w:r>
              <w:t>eventh reports due in 2021</w:t>
            </w:r>
          </w:p>
        </w:tc>
      </w:tr>
      <w:tr w:rsidR="00171E14" w:rsidRPr="00A02BFB" w14:paraId="3F03AE30" w14:textId="77777777" w:rsidTr="000121D2">
        <w:tc>
          <w:tcPr>
            <w:tcW w:w="1928" w:type="dxa"/>
            <w:shd w:val="clear" w:color="auto" w:fill="auto"/>
          </w:tcPr>
          <w:p w14:paraId="6E3F7ECA" w14:textId="40676775" w:rsidR="00171E14" w:rsidRPr="00171E14" w:rsidRDefault="00171E14" w:rsidP="00171E14">
            <w:pPr>
              <w:spacing w:before="40" w:after="120"/>
              <w:ind w:right="113"/>
            </w:pPr>
            <w:r w:rsidRPr="00171E14">
              <w:lastRenderedPageBreak/>
              <w:t>CAT</w:t>
            </w:r>
          </w:p>
        </w:tc>
        <w:tc>
          <w:tcPr>
            <w:tcW w:w="1928" w:type="dxa"/>
            <w:shd w:val="clear" w:color="auto" w:fill="auto"/>
          </w:tcPr>
          <w:p w14:paraId="14EFF4CF" w14:textId="1DE37B74" w:rsidR="00171E14" w:rsidRPr="00A02BFB" w:rsidRDefault="00F75213" w:rsidP="00171E14">
            <w:pPr>
              <w:spacing w:before="40" w:after="120"/>
              <w:ind w:right="113"/>
            </w:pPr>
            <w:r>
              <w:t>–</w:t>
            </w:r>
          </w:p>
        </w:tc>
        <w:tc>
          <w:tcPr>
            <w:tcW w:w="1927" w:type="dxa"/>
            <w:shd w:val="clear" w:color="auto" w:fill="auto"/>
          </w:tcPr>
          <w:p w14:paraId="548F728E" w14:textId="215AB38B" w:rsidR="00171E14" w:rsidRPr="00A02BFB" w:rsidRDefault="00F75213" w:rsidP="00171E14">
            <w:pPr>
              <w:spacing w:before="40" w:after="120"/>
              <w:ind w:right="113"/>
            </w:pPr>
            <w:r>
              <w:t>–</w:t>
            </w:r>
          </w:p>
        </w:tc>
        <w:tc>
          <w:tcPr>
            <w:tcW w:w="1927" w:type="dxa"/>
            <w:shd w:val="clear" w:color="auto" w:fill="auto"/>
          </w:tcPr>
          <w:p w14:paraId="1E2A84C2" w14:textId="278779A8" w:rsidR="00171E14" w:rsidRPr="00A02BFB" w:rsidRDefault="00F75213" w:rsidP="00171E14">
            <w:pPr>
              <w:spacing w:before="40" w:after="120"/>
              <w:ind w:right="113"/>
            </w:pPr>
            <w:r>
              <w:t>–</w:t>
            </w:r>
          </w:p>
        </w:tc>
        <w:tc>
          <w:tcPr>
            <w:tcW w:w="1927" w:type="dxa"/>
            <w:shd w:val="clear" w:color="auto" w:fill="auto"/>
          </w:tcPr>
          <w:p w14:paraId="6033D1C7" w14:textId="696FA69E" w:rsidR="00171E14" w:rsidRPr="00A02BFB" w:rsidRDefault="00171E14" w:rsidP="00171E14">
            <w:pPr>
              <w:spacing w:before="40" w:after="120"/>
              <w:ind w:right="113"/>
            </w:pPr>
            <w:r w:rsidRPr="00301326">
              <w:t>Third periodic report overdue since 201</w:t>
            </w:r>
            <w:r>
              <w:t>0</w:t>
            </w:r>
          </w:p>
        </w:tc>
      </w:tr>
      <w:tr w:rsidR="00171E14" w:rsidRPr="00A02BFB" w14:paraId="6E4FF1DB" w14:textId="77777777" w:rsidTr="00D40052">
        <w:tc>
          <w:tcPr>
            <w:tcW w:w="1928" w:type="dxa"/>
            <w:tcBorders>
              <w:bottom w:val="single" w:sz="12" w:space="0" w:color="auto"/>
            </w:tcBorders>
            <w:shd w:val="clear" w:color="auto" w:fill="auto"/>
          </w:tcPr>
          <w:p w14:paraId="0B3E3AB0" w14:textId="0AE55F54" w:rsidR="00171E14" w:rsidRPr="00171E14" w:rsidRDefault="00171E14" w:rsidP="00171E14">
            <w:pPr>
              <w:spacing w:before="40" w:after="120"/>
              <w:ind w:right="113"/>
            </w:pPr>
            <w:r w:rsidRPr="00171E14">
              <w:t>CRPD</w:t>
            </w:r>
          </w:p>
        </w:tc>
        <w:tc>
          <w:tcPr>
            <w:tcW w:w="1928" w:type="dxa"/>
            <w:tcBorders>
              <w:bottom w:val="single" w:sz="12" w:space="0" w:color="auto"/>
            </w:tcBorders>
            <w:shd w:val="clear" w:color="auto" w:fill="auto"/>
          </w:tcPr>
          <w:p w14:paraId="6D5E1DD8" w14:textId="0F6E0A9E" w:rsidR="00171E14" w:rsidRPr="00A02BFB" w:rsidRDefault="00F75213" w:rsidP="00171E14">
            <w:pPr>
              <w:spacing w:before="40" w:after="120"/>
              <w:ind w:right="113"/>
            </w:pPr>
            <w:r>
              <w:t>–</w:t>
            </w:r>
          </w:p>
        </w:tc>
        <w:tc>
          <w:tcPr>
            <w:tcW w:w="1927" w:type="dxa"/>
            <w:tcBorders>
              <w:bottom w:val="single" w:sz="12" w:space="0" w:color="auto"/>
            </w:tcBorders>
            <w:shd w:val="clear" w:color="auto" w:fill="auto"/>
          </w:tcPr>
          <w:p w14:paraId="4EABD23E" w14:textId="652FB022" w:rsidR="00171E14" w:rsidRPr="00A02BFB" w:rsidRDefault="00F75213" w:rsidP="00171E14">
            <w:pPr>
              <w:spacing w:before="40" w:after="120"/>
              <w:ind w:right="113"/>
            </w:pPr>
            <w:r>
              <w:t>–</w:t>
            </w:r>
          </w:p>
        </w:tc>
        <w:tc>
          <w:tcPr>
            <w:tcW w:w="1927" w:type="dxa"/>
            <w:tcBorders>
              <w:bottom w:val="single" w:sz="12" w:space="0" w:color="auto"/>
            </w:tcBorders>
            <w:shd w:val="clear" w:color="auto" w:fill="auto"/>
          </w:tcPr>
          <w:p w14:paraId="30AD6838" w14:textId="12B616C1" w:rsidR="00171E14" w:rsidRPr="00A02BFB" w:rsidRDefault="00F75213" w:rsidP="00171E14">
            <w:pPr>
              <w:spacing w:before="40" w:after="120"/>
              <w:ind w:right="113"/>
            </w:pPr>
            <w:r>
              <w:t>–</w:t>
            </w:r>
          </w:p>
        </w:tc>
        <w:tc>
          <w:tcPr>
            <w:tcW w:w="1927" w:type="dxa"/>
            <w:tcBorders>
              <w:bottom w:val="single" w:sz="12" w:space="0" w:color="auto"/>
            </w:tcBorders>
            <w:shd w:val="clear" w:color="auto" w:fill="auto"/>
          </w:tcPr>
          <w:p w14:paraId="07840211" w14:textId="5839CD91" w:rsidR="00171E14" w:rsidRPr="00A02BFB" w:rsidRDefault="00171E14" w:rsidP="00D6784E">
            <w:pPr>
              <w:spacing w:before="40"/>
              <w:ind w:right="113"/>
            </w:pPr>
            <w:r w:rsidRPr="00237870">
              <w:t xml:space="preserve">Initial report </w:t>
            </w:r>
            <w:r>
              <w:t>overdue since 2014</w:t>
            </w:r>
          </w:p>
        </w:tc>
      </w:tr>
    </w:tbl>
    <w:p w14:paraId="397876FE" w14:textId="2A4A9ED9"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DB7FB6" w:rsidRPr="00DB7FB6" w14:paraId="0BF6FA79" w14:textId="77777777" w:rsidTr="00DB7FB6">
        <w:tc>
          <w:tcPr>
            <w:tcW w:w="2409" w:type="dxa"/>
            <w:tcBorders>
              <w:top w:val="single" w:sz="4" w:space="0" w:color="auto"/>
              <w:bottom w:val="single" w:sz="12" w:space="0" w:color="auto"/>
            </w:tcBorders>
            <w:shd w:val="clear" w:color="auto" w:fill="auto"/>
            <w:vAlign w:val="bottom"/>
          </w:tcPr>
          <w:p w14:paraId="617642AF" w14:textId="2B934E16" w:rsidR="00DB7FB6" w:rsidRPr="00DB7FB6" w:rsidRDefault="00DB7FB6" w:rsidP="00DB7FB6">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10E91D9A" w14:textId="459063BF" w:rsidR="00DB7FB6" w:rsidRPr="00DB7FB6" w:rsidRDefault="00DB7FB6" w:rsidP="00DB7FB6">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5A21513E" w14:textId="6D66EBFA" w:rsidR="00DB7FB6" w:rsidRPr="00DB7FB6" w:rsidRDefault="00DB7FB6" w:rsidP="00DB7FB6">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4B36AF7C" w14:textId="529B1CF3" w:rsidR="00DB7FB6" w:rsidRPr="00DB7FB6" w:rsidRDefault="00DB7FB6" w:rsidP="00DB7FB6">
            <w:pPr>
              <w:spacing w:before="80" w:after="80" w:line="200" w:lineRule="exact"/>
              <w:ind w:right="113"/>
              <w:rPr>
                <w:i/>
                <w:sz w:val="16"/>
              </w:rPr>
            </w:pPr>
            <w:r>
              <w:rPr>
                <w:i/>
                <w:sz w:val="16"/>
              </w:rPr>
              <w:t>Submitted</w:t>
            </w:r>
          </w:p>
        </w:tc>
      </w:tr>
      <w:tr w:rsidR="00DB7FB6" w:rsidRPr="00DB7FB6" w14:paraId="0058D5F7" w14:textId="77777777" w:rsidTr="00DB7FB6">
        <w:trPr>
          <w:trHeight w:hRule="exact" w:val="113"/>
        </w:trPr>
        <w:tc>
          <w:tcPr>
            <w:tcW w:w="2409" w:type="dxa"/>
            <w:tcBorders>
              <w:top w:val="single" w:sz="12" w:space="0" w:color="auto"/>
            </w:tcBorders>
            <w:shd w:val="clear" w:color="auto" w:fill="auto"/>
            <w:vAlign w:val="bottom"/>
          </w:tcPr>
          <w:p w14:paraId="7E03883E"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688EB3C6" w14:textId="77777777" w:rsidR="00DB7FB6" w:rsidRPr="00DB7FB6" w:rsidRDefault="00DB7FB6" w:rsidP="00DB7FB6">
            <w:pPr>
              <w:spacing w:before="80" w:after="80" w:line="200" w:lineRule="exact"/>
              <w:ind w:right="113"/>
              <w:rPr>
                <w:i/>
                <w:sz w:val="16"/>
              </w:rPr>
            </w:pPr>
          </w:p>
        </w:tc>
        <w:tc>
          <w:tcPr>
            <w:tcW w:w="2409" w:type="dxa"/>
            <w:tcBorders>
              <w:top w:val="single" w:sz="12" w:space="0" w:color="auto"/>
            </w:tcBorders>
            <w:shd w:val="clear" w:color="auto" w:fill="auto"/>
            <w:vAlign w:val="bottom"/>
          </w:tcPr>
          <w:p w14:paraId="45939982" w14:textId="77777777" w:rsidR="00DB7FB6" w:rsidRPr="00DB7FB6" w:rsidRDefault="00DB7FB6" w:rsidP="00DB7FB6">
            <w:pPr>
              <w:spacing w:before="80" w:after="80" w:line="200" w:lineRule="exact"/>
              <w:ind w:right="113"/>
              <w:rPr>
                <w:i/>
                <w:sz w:val="16"/>
              </w:rPr>
            </w:pPr>
          </w:p>
        </w:tc>
        <w:tc>
          <w:tcPr>
            <w:tcW w:w="2410" w:type="dxa"/>
            <w:tcBorders>
              <w:top w:val="single" w:sz="12" w:space="0" w:color="auto"/>
            </w:tcBorders>
            <w:shd w:val="clear" w:color="auto" w:fill="auto"/>
            <w:vAlign w:val="bottom"/>
          </w:tcPr>
          <w:p w14:paraId="4A74DD41" w14:textId="77777777" w:rsidR="00DB7FB6" w:rsidRPr="00DB7FB6" w:rsidRDefault="00DB7FB6" w:rsidP="00DB7FB6">
            <w:pPr>
              <w:spacing w:before="80" w:after="80" w:line="200" w:lineRule="exact"/>
              <w:ind w:right="113"/>
              <w:rPr>
                <w:i/>
                <w:sz w:val="16"/>
              </w:rPr>
            </w:pPr>
          </w:p>
        </w:tc>
      </w:tr>
      <w:tr w:rsidR="00DB7FB6" w:rsidRPr="00DB7FB6" w14:paraId="4229886B" w14:textId="77777777" w:rsidTr="00DB7FB6">
        <w:tc>
          <w:tcPr>
            <w:tcW w:w="2409" w:type="dxa"/>
            <w:shd w:val="clear" w:color="auto" w:fill="auto"/>
          </w:tcPr>
          <w:p w14:paraId="1CF39FF1" w14:textId="6B2425BF" w:rsidR="00DB7FB6" w:rsidRPr="00DB7FB6" w:rsidRDefault="007C27EF" w:rsidP="00DB7FB6">
            <w:pPr>
              <w:spacing w:before="40" w:after="120"/>
              <w:ind w:right="113"/>
            </w:pPr>
            <w:r w:rsidRPr="007C27EF">
              <w:t>H</w:t>
            </w:r>
            <w:r>
              <w:t>R</w:t>
            </w:r>
            <w:r w:rsidRPr="007C27EF">
              <w:t xml:space="preserve"> Committee</w:t>
            </w:r>
          </w:p>
        </w:tc>
        <w:tc>
          <w:tcPr>
            <w:tcW w:w="2409" w:type="dxa"/>
            <w:shd w:val="clear" w:color="auto" w:fill="auto"/>
          </w:tcPr>
          <w:p w14:paraId="494BABEE" w14:textId="663F98A6" w:rsidR="00DB7FB6" w:rsidRPr="00DB7FB6" w:rsidRDefault="007C27EF" w:rsidP="00DB7FB6">
            <w:pPr>
              <w:spacing w:before="40" w:after="120"/>
              <w:ind w:right="113"/>
            </w:pPr>
            <w:r>
              <w:t>2016</w:t>
            </w:r>
          </w:p>
        </w:tc>
        <w:tc>
          <w:tcPr>
            <w:tcW w:w="2409" w:type="dxa"/>
            <w:shd w:val="clear" w:color="auto" w:fill="auto"/>
          </w:tcPr>
          <w:p w14:paraId="770F98F5" w14:textId="6122C490" w:rsidR="00DB7FB6" w:rsidRPr="00DB7FB6" w:rsidRDefault="007C27EF" w:rsidP="001131C0">
            <w:pPr>
              <w:spacing w:before="40" w:after="120"/>
              <w:ind w:right="113"/>
            </w:pPr>
            <w:r w:rsidRPr="007C27EF">
              <w:t>Appointment of the members of the National Human Rights Commission, abolition of the death penalty and definition and punishment of torture.</w:t>
            </w:r>
            <w:r w:rsidR="001131C0">
              <w:rPr>
                <w:rStyle w:val="EndnoteReference"/>
              </w:rPr>
              <w:endnoteReference w:id="12"/>
            </w:r>
          </w:p>
        </w:tc>
        <w:tc>
          <w:tcPr>
            <w:tcW w:w="2410" w:type="dxa"/>
            <w:shd w:val="clear" w:color="auto" w:fill="auto"/>
          </w:tcPr>
          <w:p w14:paraId="2C6BE47E" w14:textId="350CA6D2" w:rsidR="00DB7FB6" w:rsidRPr="00DB7FB6" w:rsidRDefault="007C27EF" w:rsidP="001131C0">
            <w:pPr>
              <w:spacing w:before="40" w:after="120"/>
              <w:ind w:right="113"/>
            </w:pPr>
            <w:r>
              <w:t>–</w:t>
            </w:r>
            <w:r w:rsidR="001131C0">
              <w:rPr>
                <w:rStyle w:val="EndnoteReference"/>
              </w:rPr>
              <w:endnoteReference w:id="13"/>
            </w:r>
          </w:p>
        </w:tc>
      </w:tr>
      <w:tr w:rsidR="00DB7FB6" w:rsidRPr="00DB7FB6" w14:paraId="76AA1E55" w14:textId="77777777" w:rsidTr="007C27EF">
        <w:tc>
          <w:tcPr>
            <w:tcW w:w="2409" w:type="dxa"/>
            <w:tcBorders>
              <w:bottom w:val="single" w:sz="12" w:space="0" w:color="auto"/>
            </w:tcBorders>
            <w:shd w:val="clear" w:color="auto" w:fill="auto"/>
          </w:tcPr>
          <w:p w14:paraId="4E63581F" w14:textId="4705F5D9" w:rsidR="00DB7FB6" w:rsidRPr="00DB7FB6" w:rsidRDefault="007C27EF" w:rsidP="00DB7FB6">
            <w:pPr>
              <w:spacing w:before="40" w:after="120"/>
              <w:ind w:right="113"/>
            </w:pPr>
            <w:r>
              <w:t>CEDAW</w:t>
            </w:r>
          </w:p>
        </w:tc>
        <w:tc>
          <w:tcPr>
            <w:tcW w:w="2409" w:type="dxa"/>
            <w:tcBorders>
              <w:bottom w:val="single" w:sz="12" w:space="0" w:color="auto"/>
            </w:tcBorders>
            <w:shd w:val="clear" w:color="auto" w:fill="auto"/>
          </w:tcPr>
          <w:p w14:paraId="543882A4" w14:textId="6B386869" w:rsidR="00DB7FB6" w:rsidRPr="00DB7FB6" w:rsidRDefault="007C27EF" w:rsidP="00DB7FB6">
            <w:pPr>
              <w:spacing w:before="40" w:after="120"/>
              <w:ind w:right="113"/>
            </w:pPr>
            <w:r>
              <w:t>2015</w:t>
            </w:r>
          </w:p>
        </w:tc>
        <w:tc>
          <w:tcPr>
            <w:tcW w:w="2409" w:type="dxa"/>
            <w:tcBorders>
              <w:bottom w:val="single" w:sz="12" w:space="0" w:color="auto"/>
            </w:tcBorders>
            <w:shd w:val="clear" w:color="auto" w:fill="auto"/>
          </w:tcPr>
          <w:p w14:paraId="16F89E34" w14:textId="3142738D" w:rsidR="00DB7FB6" w:rsidRPr="00DB7FB6" w:rsidRDefault="007C27EF" w:rsidP="001131C0">
            <w:pPr>
              <w:spacing w:before="40" w:after="120"/>
              <w:ind w:right="113"/>
            </w:pPr>
            <w:r w:rsidRPr="007C27EF">
              <w:t>Regulate and monitor the working conditions of girls employed as vidomegons in order to protect them from exploitative child labour and to take measures necessary to prevent, treat and control HIV/AIDS.</w:t>
            </w:r>
            <w:r w:rsidR="001131C0">
              <w:rPr>
                <w:rStyle w:val="EndnoteReference"/>
              </w:rPr>
              <w:endnoteReference w:id="14"/>
            </w:r>
          </w:p>
        </w:tc>
        <w:tc>
          <w:tcPr>
            <w:tcW w:w="2410" w:type="dxa"/>
            <w:tcBorders>
              <w:bottom w:val="single" w:sz="12" w:space="0" w:color="auto"/>
            </w:tcBorders>
            <w:shd w:val="clear" w:color="auto" w:fill="auto"/>
          </w:tcPr>
          <w:p w14:paraId="5AD9F573" w14:textId="26CC67B9" w:rsidR="00DB7FB6" w:rsidRPr="00DB7FB6" w:rsidRDefault="007C27EF" w:rsidP="001131C0">
            <w:pPr>
              <w:spacing w:before="40" w:after="120"/>
              <w:ind w:right="113"/>
            </w:pPr>
            <w:r w:rsidRPr="007C27EF">
              <w:t>Ongoing dialogue</w:t>
            </w:r>
            <w:r w:rsidR="001131C0">
              <w:rPr>
                <w:rStyle w:val="EndnoteReference"/>
              </w:rPr>
              <w:endnoteReference w:id="15"/>
            </w:r>
          </w:p>
        </w:tc>
      </w:tr>
    </w:tbl>
    <w:p w14:paraId="635D0779" w14:textId="08CEAFB6" w:rsidR="00A02BFB" w:rsidRPr="00DB7FB6" w:rsidRDefault="0022777B" w:rsidP="0083487C">
      <w:pPr>
        <w:pStyle w:val="H23G"/>
        <w:spacing w:before="40" w:line="240" w:lineRule="atLeast"/>
        <w:ind w:left="0" w:right="113" w:firstLine="0"/>
      </w:pPr>
      <w:r w:rsidRPr="00DB7FB6">
        <w:tab/>
      </w:r>
      <w:r w:rsidRPr="00DB7FB6">
        <w:tab/>
      </w:r>
      <w:r w:rsidR="0083487C">
        <w:t>Views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DB7FB6" w14:paraId="3897061F" w14:textId="77777777" w:rsidTr="000121D2">
        <w:tc>
          <w:tcPr>
            <w:tcW w:w="3211" w:type="dxa"/>
            <w:tcBorders>
              <w:top w:val="single" w:sz="4" w:space="0" w:color="auto"/>
              <w:bottom w:val="single" w:sz="12" w:space="0" w:color="auto"/>
            </w:tcBorders>
            <w:shd w:val="clear" w:color="auto" w:fill="auto"/>
            <w:vAlign w:val="bottom"/>
          </w:tcPr>
          <w:p w14:paraId="02F4932A" w14:textId="77777777" w:rsidR="00A02BFB" w:rsidRPr="00DB7FB6" w:rsidRDefault="00A02BFB" w:rsidP="00DB7FB6">
            <w:pPr>
              <w:spacing w:before="40" w:after="120"/>
              <w:ind w:right="113"/>
              <w:rPr>
                <w:sz w:val="16"/>
              </w:rPr>
            </w:pPr>
            <w:r w:rsidRPr="00DB7FB6">
              <w:rPr>
                <w:sz w:val="16"/>
              </w:rPr>
              <w:t>Treaty body</w:t>
            </w:r>
          </w:p>
        </w:tc>
        <w:tc>
          <w:tcPr>
            <w:tcW w:w="3213" w:type="dxa"/>
            <w:tcBorders>
              <w:top w:val="single" w:sz="4" w:space="0" w:color="auto"/>
              <w:bottom w:val="single" w:sz="12" w:space="0" w:color="auto"/>
            </w:tcBorders>
            <w:shd w:val="clear" w:color="auto" w:fill="auto"/>
            <w:vAlign w:val="bottom"/>
          </w:tcPr>
          <w:p w14:paraId="7BBE5C70" w14:textId="77777777" w:rsidR="00A02BFB" w:rsidRPr="00DB7FB6" w:rsidRDefault="00A02BFB" w:rsidP="00DB7FB6">
            <w:pPr>
              <w:spacing w:before="40" w:after="120"/>
              <w:ind w:right="113"/>
              <w:rPr>
                <w:sz w:val="16"/>
              </w:rPr>
            </w:pPr>
            <w:r w:rsidRPr="00DB7FB6">
              <w:rPr>
                <w:sz w:val="16"/>
              </w:rPr>
              <w:t>Number of views</w:t>
            </w:r>
          </w:p>
        </w:tc>
        <w:tc>
          <w:tcPr>
            <w:tcW w:w="3213" w:type="dxa"/>
            <w:tcBorders>
              <w:top w:val="single" w:sz="4" w:space="0" w:color="auto"/>
              <w:bottom w:val="single" w:sz="12" w:space="0" w:color="auto"/>
            </w:tcBorders>
            <w:shd w:val="clear" w:color="auto" w:fill="auto"/>
            <w:vAlign w:val="bottom"/>
          </w:tcPr>
          <w:p w14:paraId="50ED3F02" w14:textId="77777777" w:rsidR="00A02BFB" w:rsidRPr="00DB7FB6" w:rsidRDefault="00A02BFB" w:rsidP="00DB7FB6">
            <w:pPr>
              <w:spacing w:before="40" w:after="120"/>
              <w:ind w:right="113"/>
              <w:rPr>
                <w:sz w:val="16"/>
              </w:rPr>
            </w:pPr>
            <w:r w:rsidRPr="00DB7FB6">
              <w:rPr>
                <w:sz w:val="16"/>
              </w:rPr>
              <w:t>Status</w:t>
            </w:r>
          </w:p>
        </w:tc>
      </w:tr>
      <w:tr w:rsidR="00A02BFB" w:rsidRPr="00DB7FB6" w14:paraId="7A35C240" w14:textId="77777777" w:rsidTr="000121D2">
        <w:trPr>
          <w:trHeight w:hRule="exact" w:val="113"/>
        </w:trPr>
        <w:tc>
          <w:tcPr>
            <w:tcW w:w="3211" w:type="dxa"/>
            <w:tcBorders>
              <w:top w:val="single" w:sz="12" w:space="0" w:color="auto"/>
            </w:tcBorders>
            <w:shd w:val="clear" w:color="auto" w:fill="auto"/>
            <w:vAlign w:val="bottom"/>
          </w:tcPr>
          <w:p w14:paraId="14D2974D" w14:textId="77777777" w:rsidR="00A02BFB" w:rsidRPr="00DB7FB6" w:rsidRDefault="00A02BFB" w:rsidP="00DB7FB6">
            <w:pPr>
              <w:spacing w:before="40" w:after="120"/>
              <w:ind w:right="113"/>
              <w:rPr>
                <w:sz w:val="16"/>
              </w:rPr>
            </w:pPr>
          </w:p>
        </w:tc>
        <w:tc>
          <w:tcPr>
            <w:tcW w:w="3213" w:type="dxa"/>
            <w:tcBorders>
              <w:top w:val="single" w:sz="12" w:space="0" w:color="auto"/>
            </w:tcBorders>
            <w:shd w:val="clear" w:color="auto" w:fill="auto"/>
            <w:vAlign w:val="bottom"/>
          </w:tcPr>
          <w:p w14:paraId="6E0315C0" w14:textId="77777777" w:rsidR="00A02BFB" w:rsidRPr="00DB7FB6" w:rsidRDefault="00A02BFB" w:rsidP="00DB7FB6">
            <w:pPr>
              <w:spacing w:before="40" w:after="120"/>
              <w:ind w:right="113"/>
              <w:rPr>
                <w:sz w:val="16"/>
              </w:rPr>
            </w:pPr>
          </w:p>
        </w:tc>
        <w:tc>
          <w:tcPr>
            <w:tcW w:w="3213" w:type="dxa"/>
            <w:tcBorders>
              <w:top w:val="single" w:sz="12" w:space="0" w:color="auto"/>
            </w:tcBorders>
            <w:shd w:val="clear" w:color="auto" w:fill="auto"/>
            <w:vAlign w:val="bottom"/>
          </w:tcPr>
          <w:p w14:paraId="07664A1C" w14:textId="77777777" w:rsidR="00A02BFB" w:rsidRPr="00DB7FB6" w:rsidRDefault="00A02BFB" w:rsidP="00DB7FB6">
            <w:pPr>
              <w:spacing w:before="40" w:after="120"/>
              <w:ind w:right="113"/>
              <w:rPr>
                <w:sz w:val="16"/>
              </w:rPr>
            </w:pPr>
          </w:p>
        </w:tc>
      </w:tr>
      <w:tr w:rsidR="00A02BFB" w:rsidRPr="00A02BFB" w14:paraId="53F89F55" w14:textId="77777777" w:rsidTr="00ED0CE2">
        <w:tc>
          <w:tcPr>
            <w:tcW w:w="3211" w:type="dxa"/>
            <w:tcBorders>
              <w:bottom w:val="single" w:sz="12" w:space="0" w:color="auto"/>
            </w:tcBorders>
            <w:shd w:val="clear" w:color="auto" w:fill="auto"/>
          </w:tcPr>
          <w:p w14:paraId="0AEFF881" w14:textId="20C4340A" w:rsidR="00A02BFB" w:rsidRPr="00A02BFB" w:rsidRDefault="00A02BFB" w:rsidP="00A02BFB">
            <w:pPr>
              <w:spacing w:before="40" w:after="120"/>
              <w:ind w:right="113"/>
            </w:pPr>
            <w:r w:rsidRPr="00A02BFB">
              <w:t>HR Committe</w:t>
            </w:r>
            <w:r w:rsidR="00D8128F">
              <w:t>e</w:t>
            </w:r>
          </w:p>
        </w:tc>
        <w:tc>
          <w:tcPr>
            <w:tcW w:w="3213" w:type="dxa"/>
            <w:tcBorders>
              <w:bottom w:val="single" w:sz="12" w:space="0" w:color="auto"/>
            </w:tcBorders>
            <w:shd w:val="clear" w:color="auto" w:fill="auto"/>
          </w:tcPr>
          <w:p w14:paraId="331D3000" w14:textId="78624B35" w:rsidR="00A02BFB" w:rsidRPr="00A02BFB" w:rsidRDefault="00ED0CE2" w:rsidP="001131C0">
            <w:pPr>
              <w:spacing w:before="40" w:after="120"/>
              <w:ind w:right="113"/>
            </w:pPr>
            <w:r w:rsidRPr="00ED0CE2">
              <w:t>1</w:t>
            </w:r>
            <w:r w:rsidR="001131C0">
              <w:rPr>
                <w:rStyle w:val="EndnoteReference"/>
              </w:rPr>
              <w:endnoteReference w:id="16"/>
            </w:r>
          </w:p>
        </w:tc>
        <w:tc>
          <w:tcPr>
            <w:tcW w:w="3213" w:type="dxa"/>
            <w:tcBorders>
              <w:bottom w:val="single" w:sz="12" w:space="0" w:color="auto"/>
            </w:tcBorders>
            <w:shd w:val="clear" w:color="auto" w:fill="auto"/>
          </w:tcPr>
          <w:p w14:paraId="01C74041" w14:textId="55177EC0" w:rsidR="00A02BFB" w:rsidRPr="00A02BFB" w:rsidRDefault="00ED0CE2" w:rsidP="00A02BFB">
            <w:pPr>
              <w:spacing w:before="40" w:after="120"/>
              <w:ind w:right="113"/>
            </w:pPr>
            <w:r>
              <w:t>–</w:t>
            </w:r>
          </w:p>
        </w:tc>
      </w:tr>
    </w:tbl>
    <w:p w14:paraId="0DE8B188" w14:textId="1C09BBED" w:rsidR="00A02BFB" w:rsidRDefault="00A02BFB" w:rsidP="00676C10">
      <w:pPr>
        <w:pStyle w:val="H1G"/>
      </w:pPr>
      <w:r w:rsidRPr="00A02BFB">
        <w:tab/>
        <w:t>B.</w:t>
      </w:r>
      <w:r w:rsidRPr="00A02BFB">
        <w:tab/>
      </w:r>
      <w:r w:rsidR="00AB6C1D" w:rsidRPr="00AB6C1D">
        <w:t>Cooperation with special procedures</w:t>
      </w:r>
      <w:r w:rsidR="00AB6C1D" w:rsidRPr="00AB6C1D">
        <w:rPr>
          <w:b w:val="0"/>
          <w:sz w:val="18"/>
          <w:szCs w:val="18"/>
          <w:vertAlign w:val="superscript"/>
        </w:rPr>
        <w:endnoteReference w:id="17"/>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202F1670" w14:textId="77777777" w:rsidTr="009D3FA1">
        <w:tc>
          <w:tcPr>
            <w:tcW w:w="3211"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9D3FA1">
        <w:trPr>
          <w:trHeight w:hRule="exact" w:val="113"/>
        </w:trPr>
        <w:tc>
          <w:tcPr>
            <w:tcW w:w="3211"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9D3FA1">
        <w:tc>
          <w:tcPr>
            <w:tcW w:w="3211"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4282A7FE" w14:textId="0526E4EC" w:rsidR="003E33AE" w:rsidRPr="00752373" w:rsidRDefault="003E33AE" w:rsidP="009E78E3">
            <w:pPr>
              <w:spacing w:before="40" w:after="120"/>
              <w:ind w:right="113"/>
            </w:pPr>
            <w:r w:rsidRPr="00752373">
              <w:t>No</w:t>
            </w:r>
          </w:p>
        </w:tc>
        <w:tc>
          <w:tcPr>
            <w:tcW w:w="3213" w:type="dxa"/>
            <w:shd w:val="clear" w:color="auto" w:fill="auto"/>
          </w:tcPr>
          <w:p w14:paraId="2973A4ED" w14:textId="6D9458F7" w:rsidR="003E33AE" w:rsidRPr="00752373" w:rsidRDefault="003E33AE" w:rsidP="009E78E3">
            <w:pPr>
              <w:spacing w:before="40" w:after="120"/>
              <w:ind w:right="113"/>
            </w:pPr>
            <w:r w:rsidRPr="00752373">
              <w:t>Yes</w:t>
            </w:r>
          </w:p>
        </w:tc>
      </w:tr>
      <w:tr w:rsidR="009E78E3" w:rsidRPr="009E78E3" w14:paraId="6FA0B279" w14:textId="77777777" w:rsidTr="009D3FA1">
        <w:tc>
          <w:tcPr>
            <w:tcW w:w="3211" w:type="dxa"/>
            <w:shd w:val="clear" w:color="auto" w:fill="auto"/>
          </w:tcPr>
          <w:p w14:paraId="497C7BA9" w14:textId="76AB555D" w:rsidR="003E33AE" w:rsidRPr="003E6998" w:rsidRDefault="003E33AE" w:rsidP="009E78E3">
            <w:pPr>
              <w:spacing w:before="40" w:after="120"/>
              <w:ind w:right="113"/>
              <w:rPr>
                <w:i/>
              </w:rPr>
            </w:pPr>
            <w:r>
              <w:rPr>
                <w:i/>
              </w:rPr>
              <w:t>Visits undertaken</w:t>
            </w:r>
          </w:p>
        </w:tc>
        <w:tc>
          <w:tcPr>
            <w:tcW w:w="3213" w:type="dxa"/>
            <w:shd w:val="clear" w:color="auto" w:fill="auto"/>
          </w:tcPr>
          <w:p w14:paraId="47A0EC58" w14:textId="02D259EB" w:rsidR="003E6998" w:rsidRPr="009E78E3" w:rsidRDefault="00752373" w:rsidP="00752373">
            <w:pPr>
              <w:spacing w:before="40" w:after="240"/>
              <w:ind w:right="113"/>
            </w:pPr>
            <w:r w:rsidRPr="00752373">
              <w:t>Food (2009)</w:t>
            </w:r>
          </w:p>
        </w:tc>
        <w:tc>
          <w:tcPr>
            <w:tcW w:w="3213" w:type="dxa"/>
            <w:shd w:val="clear" w:color="auto" w:fill="auto"/>
          </w:tcPr>
          <w:p w14:paraId="0397BFAB" w14:textId="64FF7A8B" w:rsidR="003E6998" w:rsidRPr="009E78E3" w:rsidRDefault="00752373" w:rsidP="009E78E3">
            <w:pPr>
              <w:spacing w:before="40" w:after="120"/>
              <w:ind w:right="113"/>
            </w:pPr>
            <w:r>
              <w:t>Sale of Children (2013)</w:t>
            </w:r>
          </w:p>
        </w:tc>
      </w:tr>
      <w:tr w:rsidR="009E78E3" w:rsidRPr="009E78E3" w14:paraId="65592C34" w14:textId="77777777" w:rsidTr="009D3FA1">
        <w:tc>
          <w:tcPr>
            <w:tcW w:w="3211" w:type="dxa"/>
            <w:shd w:val="clear" w:color="auto" w:fill="auto"/>
          </w:tcPr>
          <w:p w14:paraId="02EBC45F" w14:textId="62A2D5D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9D92018" w14:textId="79892BBA" w:rsidR="009E78E3" w:rsidRPr="009E78E3" w:rsidRDefault="00752373" w:rsidP="003E6998">
            <w:pPr>
              <w:spacing w:before="40" w:after="120"/>
              <w:ind w:right="113"/>
            </w:pPr>
            <w:r>
              <w:t>–</w:t>
            </w:r>
          </w:p>
        </w:tc>
        <w:tc>
          <w:tcPr>
            <w:tcW w:w="3213" w:type="dxa"/>
            <w:shd w:val="clear" w:color="auto" w:fill="auto"/>
          </w:tcPr>
          <w:p w14:paraId="09B0F950" w14:textId="52B69D44" w:rsidR="009E78E3" w:rsidRPr="009E78E3" w:rsidRDefault="00752373" w:rsidP="003E6998">
            <w:pPr>
              <w:spacing w:before="40" w:after="120"/>
              <w:ind w:right="113"/>
            </w:pPr>
            <w:r>
              <w:t>–</w:t>
            </w:r>
          </w:p>
        </w:tc>
      </w:tr>
      <w:tr w:rsidR="009E78E3" w:rsidRPr="009E78E3" w14:paraId="70615A33" w14:textId="77777777" w:rsidTr="009D3FA1">
        <w:tc>
          <w:tcPr>
            <w:tcW w:w="3211" w:type="dxa"/>
            <w:shd w:val="clear" w:color="auto" w:fill="auto"/>
          </w:tcPr>
          <w:p w14:paraId="2901C54C" w14:textId="08DAF1AF" w:rsidR="009E78E3" w:rsidRPr="003E6998" w:rsidRDefault="003E6998" w:rsidP="009E78E3">
            <w:pPr>
              <w:spacing w:before="40" w:after="120"/>
              <w:ind w:right="113"/>
              <w:rPr>
                <w:i/>
              </w:rPr>
            </w:pPr>
            <w:r w:rsidRPr="003E6998">
              <w:rPr>
                <w:i/>
              </w:rPr>
              <w:t>Visits requested</w:t>
            </w:r>
          </w:p>
        </w:tc>
        <w:tc>
          <w:tcPr>
            <w:tcW w:w="3213" w:type="dxa"/>
            <w:shd w:val="clear" w:color="auto" w:fill="auto"/>
          </w:tcPr>
          <w:p w14:paraId="43FAB87F" w14:textId="1DD6D7CA" w:rsidR="003E6998" w:rsidRPr="00752373" w:rsidRDefault="00752373" w:rsidP="003E6998">
            <w:pPr>
              <w:ind w:right="113"/>
              <w:rPr>
                <w:highlight w:val="yellow"/>
              </w:rPr>
            </w:pPr>
            <w:r w:rsidRPr="00752373">
              <w:t>–</w:t>
            </w:r>
          </w:p>
        </w:tc>
        <w:tc>
          <w:tcPr>
            <w:tcW w:w="3213" w:type="dxa"/>
            <w:shd w:val="clear" w:color="auto" w:fill="auto"/>
          </w:tcPr>
          <w:p w14:paraId="0484A958" w14:textId="3F7CE9A0" w:rsidR="003E6998" w:rsidRPr="009D3FA1" w:rsidRDefault="00752373" w:rsidP="003E6998">
            <w:pPr>
              <w:ind w:right="113"/>
              <w:rPr>
                <w:i/>
                <w:highlight w:val="yellow"/>
              </w:rPr>
            </w:pPr>
            <w:r w:rsidRPr="00752373">
              <w:rPr>
                <w:i/>
              </w:rPr>
              <w:t>Safe drinking water and sanitation</w:t>
            </w:r>
          </w:p>
        </w:tc>
      </w:tr>
      <w:tr w:rsidR="009D3FA1" w:rsidRPr="009D3FA1" w14:paraId="31B3C578" w14:textId="77777777" w:rsidTr="005B6B6C">
        <w:trPr>
          <w:trHeight w:hRule="exact" w:val="113"/>
        </w:trPr>
        <w:tc>
          <w:tcPr>
            <w:tcW w:w="3211" w:type="dxa"/>
            <w:tcBorders>
              <w:top w:val="single" w:sz="12" w:space="0" w:color="auto"/>
            </w:tcBorders>
            <w:shd w:val="clear" w:color="auto" w:fill="auto"/>
            <w:vAlign w:val="bottom"/>
          </w:tcPr>
          <w:p w14:paraId="6934F5D6"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2FC80635"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27A2F593" w14:textId="77777777" w:rsidR="009D3FA1" w:rsidRPr="009D3FA1" w:rsidRDefault="009D3FA1" w:rsidP="009D3FA1">
            <w:pPr>
              <w:spacing w:before="80" w:after="80" w:line="200" w:lineRule="exact"/>
              <w:ind w:right="113"/>
              <w:rPr>
                <w:i/>
                <w:sz w:val="16"/>
              </w:rPr>
            </w:pPr>
          </w:p>
        </w:tc>
      </w:tr>
      <w:tr w:rsidR="009D3FA1" w:rsidRPr="009D3FA1" w14:paraId="715751F8" w14:textId="77777777" w:rsidTr="005B6B6C">
        <w:tc>
          <w:tcPr>
            <w:tcW w:w="3211" w:type="dxa"/>
            <w:tcBorders>
              <w:bottom w:val="single" w:sz="12" w:space="0" w:color="auto"/>
            </w:tcBorders>
            <w:shd w:val="clear" w:color="auto" w:fill="auto"/>
          </w:tcPr>
          <w:p w14:paraId="70ED0D0C" w14:textId="72337A7D" w:rsidR="009D3FA1" w:rsidRPr="009D3FA1" w:rsidRDefault="009D3FA1" w:rsidP="009D3FA1">
            <w:pPr>
              <w:spacing w:before="40" w:after="120"/>
              <w:ind w:right="113"/>
              <w:rPr>
                <w:i/>
              </w:rPr>
            </w:pPr>
            <w:r w:rsidRPr="009D3FA1">
              <w:rPr>
                <w:i/>
              </w:rPr>
              <w:t xml:space="preserve">Responses to letters of </w:t>
            </w:r>
            <w:r w:rsidR="00324383">
              <w:rPr>
                <w:i/>
              </w:rPr>
              <w:br/>
            </w:r>
            <w:r w:rsidRPr="009D3FA1">
              <w:rPr>
                <w:i/>
              </w:rPr>
              <w:t>allegation and urgent appeal</w:t>
            </w:r>
            <w:r w:rsidR="00985375">
              <w:rPr>
                <w:i/>
              </w:rPr>
              <w:t>s</w:t>
            </w:r>
          </w:p>
        </w:tc>
        <w:tc>
          <w:tcPr>
            <w:tcW w:w="3213" w:type="dxa"/>
            <w:tcBorders>
              <w:bottom w:val="single" w:sz="12" w:space="0" w:color="auto"/>
            </w:tcBorders>
            <w:shd w:val="clear" w:color="auto" w:fill="auto"/>
          </w:tcPr>
          <w:p w14:paraId="511A7F31" w14:textId="11A0E9DE" w:rsidR="009D3FA1" w:rsidRPr="009D3FA1" w:rsidRDefault="005B6B6C" w:rsidP="009D3FA1">
            <w:pPr>
              <w:spacing w:before="40" w:after="120"/>
              <w:ind w:right="113"/>
            </w:pPr>
            <w:r>
              <w:t>–</w:t>
            </w:r>
          </w:p>
        </w:tc>
        <w:tc>
          <w:tcPr>
            <w:tcW w:w="3213" w:type="dxa"/>
            <w:tcBorders>
              <w:bottom w:val="single" w:sz="12" w:space="0" w:color="auto"/>
            </w:tcBorders>
            <w:shd w:val="clear" w:color="auto" w:fill="auto"/>
          </w:tcPr>
          <w:p w14:paraId="008E6222" w14:textId="31E17C5C" w:rsidR="009D3FA1" w:rsidRPr="009D3FA1" w:rsidRDefault="009D3FA1" w:rsidP="009D3FA1">
            <w:pPr>
              <w:spacing w:before="40" w:after="120"/>
              <w:ind w:right="113"/>
            </w:pPr>
          </w:p>
        </w:tc>
      </w:tr>
    </w:tbl>
    <w:p w14:paraId="0EA2A246" w14:textId="77777777" w:rsidR="004A437F" w:rsidRDefault="004A437F">
      <w:pPr>
        <w:suppressAutoHyphens w:val="0"/>
        <w:spacing w:line="240" w:lineRule="auto"/>
        <w:rPr>
          <w:b/>
          <w:sz w:val="24"/>
        </w:rPr>
      </w:pPr>
      <w:r>
        <w:br w:type="page"/>
      </w:r>
    </w:p>
    <w:p w14:paraId="732A903A" w14:textId="3D8DC21F" w:rsidR="00A02BFB" w:rsidRPr="009D3FA1" w:rsidRDefault="00A02BFB" w:rsidP="009D3FA1">
      <w:pPr>
        <w:pStyle w:val="H1G"/>
      </w:pPr>
      <w:r w:rsidRPr="009D3FA1">
        <w:lastRenderedPageBreak/>
        <w:tab/>
        <w:t>C.</w:t>
      </w:r>
      <w:r w:rsidRPr="009D3FA1">
        <w:tab/>
      </w:r>
      <w:r w:rsidR="006A751B" w:rsidRPr="006A751B">
        <w:t>Status of national human rights institutions</w:t>
      </w:r>
      <w:r w:rsidR="001131C0" w:rsidRPr="00420472">
        <w:rPr>
          <w:rStyle w:val="EndnoteReference"/>
          <w:b w:val="0"/>
        </w:rPr>
        <w:endnoteReference w:id="18"/>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4A437F" w:rsidRDefault="00A02BFB" w:rsidP="009D3FA1">
            <w:pPr>
              <w:spacing w:before="40" w:after="120"/>
              <w:ind w:right="113"/>
              <w:rPr>
                <w:i/>
                <w:sz w:val="16"/>
                <w:szCs w:val="16"/>
              </w:rPr>
            </w:pPr>
            <w:r w:rsidRPr="004A437F">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4A437F" w:rsidRDefault="00A02BFB" w:rsidP="009D3FA1">
            <w:pPr>
              <w:spacing w:before="40" w:after="120"/>
              <w:ind w:right="113"/>
              <w:rPr>
                <w:i/>
                <w:sz w:val="16"/>
                <w:szCs w:val="16"/>
              </w:rPr>
            </w:pPr>
            <w:r w:rsidRPr="004A437F">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35667402" w:rsidR="00A02BFB" w:rsidRPr="004A437F" w:rsidRDefault="00FD1987" w:rsidP="009D3FA1">
            <w:pPr>
              <w:spacing w:before="40" w:after="120"/>
              <w:ind w:right="113"/>
              <w:rPr>
                <w:i/>
                <w:sz w:val="16"/>
                <w:szCs w:val="16"/>
              </w:rPr>
            </w:pPr>
            <w:r w:rsidRPr="00FD1987">
              <w:rPr>
                <w:i/>
                <w:sz w:val="16"/>
                <w:szCs w:val="16"/>
              </w:rPr>
              <w:t>Status during pre</w:t>
            </w:r>
            <w:bookmarkStart w:id="4" w:name="_GoBack"/>
            <w:bookmarkEnd w:id="4"/>
            <w:r w:rsidRPr="00FD1987">
              <w:rPr>
                <w:i/>
                <w:sz w:val="16"/>
                <w:szCs w:val="16"/>
              </w:rPr>
              <w:t>sent cycle</w:t>
            </w:r>
            <w:r w:rsidRPr="00FD1987">
              <w:rPr>
                <w:iCs/>
                <w:sz w:val="18"/>
                <w:szCs w:val="18"/>
                <w:vertAlign w:val="superscript"/>
              </w:rPr>
              <w:endnoteReference w:id="19"/>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0121D2">
        <w:tc>
          <w:tcPr>
            <w:tcW w:w="2456" w:type="dxa"/>
            <w:tcBorders>
              <w:bottom w:val="single" w:sz="4" w:space="0" w:color="auto"/>
            </w:tcBorders>
            <w:shd w:val="clear" w:color="auto" w:fill="auto"/>
          </w:tcPr>
          <w:p w14:paraId="691F57C6" w14:textId="55613CF4" w:rsidR="00A02BFB" w:rsidRPr="00A02BFB" w:rsidRDefault="000B3220" w:rsidP="00A02BFB">
            <w:pPr>
              <w:spacing w:before="40" w:after="120"/>
              <w:ind w:right="113"/>
            </w:pPr>
            <w:r>
              <w:t xml:space="preserve">Beninese Human Rights </w:t>
            </w:r>
            <w:r>
              <w:br/>
              <w:t>Commission</w:t>
            </w:r>
          </w:p>
        </w:tc>
        <w:tc>
          <w:tcPr>
            <w:tcW w:w="2457" w:type="dxa"/>
            <w:tcBorders>
              <w:bottom w:val="single" w:sz="4" w:space="0" w:color="auto"/>
            </w:tcBorders>
            <w:shd w:val="clear" w:color="auto" w:fill="auto"/>
          </w:tcPr>
          <w:p w14:paraId="727727CF" w14:textId="0F111BA5" w:rsidR="00A02BFB" w:rsidRPr="00A02BFB" w:rsidRDefault="000B3220" w:rsidP="00A02BFB">
            <w:pPr>
              <w:spacing w:before="40" w:after="120"/>
              <w:ind w:right="113"/>
            </w:pPr>
            <w:r>
              <w:t>C</w:t>
            </w:r>
          </w:p>
        </w:tc>
        <w:tc>
          <w:tcPr>
            <w:tcW w:w="2457" w:type="dxa"/>
            <w:tcBorders>
              <w:bottom w:val="single" w:sz="4" w:space="0" w:color="auto"/>
            </w:tcBorders>
            <w:shd w:val="clear" w:color="auto" w:fill="auto"/>
          </w:tcPr>
          <w:p w14:paraId="603F2B14" w14:textId="0A57B9E3" w:rsidR="00A02BFB" w:rsidRPr="00A02BFB" w:rsidRDefault="000B3220" w:rsidP="00A02BFB">
            <w:pPr>
              <w:spacing w:before="40" w:after="120"/>
              <w:ind w:right="113"/>
            </w:pPr>
            <w:r>
              <w:t>C</w:t>
            </w:r>
          </w:p>
        </w:tc>
      </w:tr>
    </w:tbl>
    <w:p w14:paraId="187F3A83" w14:textId="77777777"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4A3B9" w14:textId="77777777" w:rsidR="000E7548" w:rsidRDefault="000E7548"/>
  </w:endnote>
  <w:endnote w:type="continuationSeparator" w:id="0">
    <w:p w14:paraId="2DEE6481" w14:textId="77777777" w:rsidR="000E7548" w:rsidRDefault="000E7548"/>
  </w:endnote>
  <w:endnote w:type="continuationNotice" w:id="1">
    <w:p w14:paraId="648B34A7" w14:textId="77777777" w:rsidR="000E7548" w:rsidRDefault="000E7548"/>
  </w:endnote>
  <w:endnote w:id="2">
    <w:p w14:paraId="73694A5B" w14:textId="49E2D698" w:rsidR="00116305" w:rsidRDefault="00116305" w:rsidP="00116305">
      <w:pPr>
        <w:pStyle w:val="H4G"/>
      </w:pPr>
      <w:r>
        <w:t>Notes</w:t>
      </w:r>
    </w:p>
    <w:p w14:paraId="1A498D14" w14:textId="1024EB73" w:rsidR="003070C9" w:rsidRPr="00174744" w:rsidRDefault="003070C9" w:rsidP="003070C9">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Benin </w:t>
      </w:r>
      <w:r w:rsidRPr="00770B1D">
        <w:rPr>
          <w:szCs w:val="18"/>
        </w:rPr>
        <w:t>from the p</w:t>
      </w:r>
      <w:r>
        <w:rPr>
          <w:szCs w:val="18"/>
        </w:rPr>
        <w:t>revious cycle (A</w:t>
      </w:r>
      <w:r>
        <w:t>/HRC/WG.6/14/BEN/2</w:t>
      </w:r>
      <w:r w:rsidRPr="00770B1D">
        <w:rPr>
          <w:szCs w:val="18"/>
        </w:rPr>
        <w:t>).</w:t>
      </w:r>
    </w:p>
  </w:endnote>
  <w:endnote w:id="3">
    <w:p w14:paraId="57AFBF4A" w14:textId="77777777" w:rsidR="003070C9" w:rsidRPr="00174744" w:rsidRDefault="003070C9" w:rsidP="003070C9">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0C4A6DFD" w14:textId="77777777" w:rsidR="003070C9" w:rsidRPr="00174744" w:rsidRDefault="003070C9" w:rsidP="00C90C19">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1E6A3484" w14:textId="77777777" w:rsidR="003070C9" w:rsidRPr="00174744" w:rsidRDefault="003070C9" w:rsidP="00C90C19">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6B6D68DE" w14:textId="77777777" w:rsidR="003070C9" w:rsidRPr="00174744" w:rsidRDefault="003070C9" w:rsidP="00C90C19">
      <w:pPr>
        <w:pStyle w:val="EndnoteText"/>
        <w:widowControl w:val="0"/>
        <w:ind w:left="3969" w:hanging="2269"/>
        <w:rPr>
          <w:szCs w:val="18"/>
        </w:rPr>
      </w:pPr>
      <w:r w:rsidRPr="00174744">
        <w:rPr>
          <w:szCs w:val="18"/>
        </w:rPr>
        <w:t>OP-ICESCR</w:t>
      </w:r>
      <w:r w:rsidRPr="00174744">
        <w:rPr>
          <w:szCs w:val="18"/>
        </w:rPr>
        <w:tab/>
        <w:t>Optional Protocol to ICESCR</w:t>
      </w:r>
    </w:p>
    <w:p w14:paraId="5F5D0056" w14:textId="77777777" w:rsidR="003070C9" w:rsidRPr="00174744" w:rsidRDefault="003070C9" w:rsidP="00C90C19">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0DE2CE78" w14:textId="77777777" w:rsidR="003070C9" w:rsidRPr="00174744" w:rsidRDefault="003070C9" w:rsidP="00C90C19">
      <w:pPr>
        <w:pStyle w:val="EndnoteText"/>
        <w:widowControl w:val="0"/>
        <w:ind w:left="3969" w:hanging="2269"/>
        <w:rPr>
          <w:szCs w:val="18"/>
        </w:rPr>
      </w:pPr>
      <w:r w:rsidRPr="00174744">
        <w:rPr>
          <w:szCs w:val="18"/>
        </w:rPr>
        <w:t>ICCPR-OP 1</w:t>
      </w:r>
      <w:r w:rsidRPr="00174744">
        <w:rPr>
          <w:szCs w:val="18"/>
        </w:rPr>
        <w:tab/>
        <w:t>Optional Protocol to ICCPR</w:t>
      </w:r>
    </w:p>
    <w:p w14:paraId="5117824C" w14:textId="77777777" w:rsidR="003070C9" w:rsidRPr="00174744" w:rsidRDefault="003070C9" w:rsidP="00C90C19">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0DEE7A00" w14:textId="77777777" w:rsidR="003070C9" w:rsidRPr="00174744" w:rsidRDefault="003070C9" w:rsidP="00C90C19">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10CB040E" w14:textId="77777777" w:rsidR="003070C9" w:rsidRPr="00174744" w:rsidRDefault="003070C9" w:rsidP="00C90C19">
      <w:pPr>
        <w:pStyle w:val="EndnoteText"/>
        <w:widowControl w:val="0"/>
        <w:ind w:left="3969" w:hanging="2269"/>
        <w:rPr>
          <w:szCs w:val="18"/>
        </w:rPr>
      </w:pPr>
      <w:r w:rsidRPr="00174744">
        <w:rPr>
          <w:szCs w:val="18"/>
        </w:rPr>
        <w:t>OP-CEDAW</w:t>
      </w:r>
      <w:r w:rsidRPr="00174744">
        <w:rPr>
          <w:szCs w:val="18"/>
        </w:rPr>
        <w:tab/>
        <w:t>Optional Protocol to CEDAW</w:t>
      </w:r>
    </w:p>
    <w:p w14:paraId="57674D73" w14:textId="77777777" w:rsidR="003070C9" w:rsidRPr="00174744" w:rsidRDefault="003070C9" w:rsidP="00C90C19">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31130FBE" w14:textId="77777777" w:rsidR="003070C9" w:rsidRPr="00174744" w:rsidRDefault="003070C9" w:rsidP="00C90C19">
      <w:pPr>
        <w:pStyle w:val="EndnoteText"/>
        <w:widowControl w:val="0"/>
        <w:ind w:left="3969" w:hanging="2269"/>
        <w:rPr>
          <w:szCs w:val="18"/>
        </w:rPr>
      </w:pPr>
      <w:r w:rsidRPr="00174744">
        <w:rPr>
          <w:szCs w:val="18"/>
        </w:rPr>
        <w:t>OP-CAT</w:t>
      </w:r>
      <w:r w:rsidRPr="00174744">
        <w:rPr>
          <w:szCs w:val="18"/>
        </w:rPr>
        <w:tab/>
        <w:t>Optional Protocol to CAT</w:t>
      </w:r>
    </w:p>
    <w:p w14:paraId="434FB321" w14:textId="77777777" w:rsidR="003070C9" w:rsidRPr="00174744" w:rsidRDefault="003070C9" w:rsidP="00C90C19">
      <w:pPr>
        <w:pStyle w:val="EndnoteText"/>
        <w:widowControl w:val="0"/>
        <w:ind w:left="3969" w:hanging="2269"/>
        <w:rPr>
          <w:szCs w:val="18"/>
        </w:rPr>
      </w:pPr>
      <w:r w:rsidRPr="00174744">
        <w:rPr>
          <w:szCs w:val="18"/>
        </w:rPr>
        <w:t>CRC</w:t>
      </w:r>
      <w:r w:rsidRPr="00174744">
        <w:rPr>
          <w:szCs w:val="18"/>
        </w:rPr>
        <w:tab/>
        <w:t>Convention on the Rights of the Child</w:t>
      </w:r>
    </w:p>
    <w:p w14:paraId="6397E149" w14:textId="77777777" w:rsidR="003070C9" w:rsidRPr="00174744" w:rsidRDefault="003070C9" w:rsidP="00C90C19">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54AAA7BA" w14:textId="77777777" w:rsidR="003070C9" w:rsidRPr="00174744" w:rsidRDefault="003070C9" w:rsidP="00C90C19">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31F16E3A" w14:textId="77777777" w:rsidR="003070C9" w:rsidRPr="00174744" w:rsidRDefault="003070C9" w:rsidP="00C90C19">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161E70E1" w14:textId="77777777" w:rsidR="003070C9" w:rsidRPr="00174744" w:rsidRDefault="003070C9" w:rsidP="00C90C19">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28DD17FE" w14:textId="77777777" w:rsidR="003070C9" w:rsidRPr="00174744" w:rsidRDefault="003070C9" w:rsidP="00C90C19">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44EE4437" w14:textId="77777777" w:rsidR="003070C9" w:rsidRPr="00174744" w:rsidRDefault="003070C9" w:rsidP="00C90C19">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03BBBCC3" w14:textId="786A6DD2" w:rsidR="003070C9" w:rsidRPr="00174744" w:rsidRDefault="003070C9" w:rsidP="00C90C19">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sidR="00C90C19">
        <w:rPr>
          <w:szCs w:val="18"/>
        </w:rPr>
        <w:t>.</w:t>
      </w:r>
    </w:p>
  </w:endnote>
  <w:endnote w:id="4">
    <w:p w14:paraId="17132911"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62EDDFCA" w14:textId="641B7A95" w:rsidR="00360C13" w:rsidRPr="00174744" w:rsidRDefault="00360C13" w:rsidP="00024CE6">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000E36CD">
        <w:rPr>
          <w:szCs w:val="18"/>
        </w:rPr>
        <w:t>.</w:t>
      </w:r>
    </w:p>
  </w:endnote>
  <w:endnote w:id="6">
    <w:p w14:paraId="5AAF4211" w14:textId="77777777" w:rsidR="00360C13" w:rsidRPr="00174744" w:rsidRDefault="00360C13" w:rsidP="0007333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7">
    <w:p w14:paraId="5CB9BA0E" w14:textId="77777777" w:rsidR="00360C13" w:rsidRPr="00174744" w:rsidRDefault="00360C13" w:rsidP="0007333A">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221D7B">
        <w:rPr>
          <w:szCs w:val="18"/>
          <w:lang w:eastAsia="zh-CN"/>
        </w:rPr>
        <w:t>For the official s</w:t>
      </w:r>
      <w:r w:rsidRPr="00D653E5">
        <w:rPr>
          <w:szCs w:val="18"/>
          <w:lang w:eastAsia="zh-CN"/>
        </w:rPr>
        <w:t xml:space="preserve">tatus of ratifications, see Federal Department of Foreign Affairs of Switzerland, at </w:t>
      </w:r>
      <w:r w:rsidRPr="00D653E5">
        <w:rPr>
          <w:szCs w:val="18"/>
        </w:rPr>
        <w:t>https://www.eda.admin.ch/eda/fr/dfae/politique-exterieure/droit-international-public/traites-internationaux/depositaire/protection-des-victimes-de-la-guerre.html</w:t>
      </w:r>
      <w:r w:rsidRPr="00174744">
        <w:rPr>
          <w:szCs w:val="18"/>
          <w:lang w:val="en-US"/>
        </w:rPr>
        <w:t>.</w:t>
      </w:r>
    </w:p>
  </w:endnote>
  <w:endnote w:id="8">
    <w:p w14:paraId="7A19E259" w14:textId="4698B4C9" w:rsidR="00360C13" w:rsidRPr="00174744" w:rsidRDefault="00360C13" w:rsidP="00172435">
      <w:pPr>
        <w:pStyle w:val="EndnoteText"/>
        <w:widowControl w:val="0"/>
        <w:tabs>
          <w:tab w:val="clear" w:pos="1021"/>
          <w:tab w:val="right" w:pos="1020"/>
        </w:tabs>
        <w:rPr>
          <w:szCs w:val="18"/>
        </w:rPr>
      </w:pPr>
      <w:r w:rsidRPr="00174744">
        <w:rPr>
          <w:szCs w:val="18"/>
        </w:rPr>
        <w:tab/>
      </w:r>
      <w:r w:rsidRPr="00174744">
        <w:rPr>
          <w:rStyle w:val="EndnoteReference"/>
          <w:szCs w:val="18"/>
        </w:rPr>
        <w:endnoteRef/>
      </w:r>
      <w:r w:rsidRPr="00174744">
        <w:rPr>
          <w:szCs w:val="18"/>
        </w:rPr>
        <w:tab/>
      </w:r>
      <w:r w:rsidRPr="00C35E51">
        <w:rPr>
          <w:color w:val="000000" w:themeColor="text1"/>
          <w:szCs w:val="18"/>
        </w:rPr>
        <w:t>1951 Convention relating to the Status of Refugees and its 1967 Protocol, 1954 Convention relating to the Status of Stateless Persons, and 1961 Convention on the Reduction of Statelessness</w:t>
      </w:r>
      <w:r w:rsidRPr="00174744">
        <w:rPr>
          <w:color w:val="548DD4"/>
          <w:szCs w:val="18"/>
        </w:rPr>
        <w:t>.</w:t>
      </w:r>
    </w:p>
  </w:endnote>
  <w:endnote w:id="9">
    <w:p w14:paraId="4E0D588F" w14:textId="77777777" w:rsidR="00360C13" w:rsidRPr="00174744" w:rsidRDefault="00360C13" w:rsidP="00036A1C">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1961 Convention on the Reduction of Statelessness</w:t>
      </w:r>
      <w:r>
        <w:rPr>
          <w:szCs w:val="18"/>
        </w:rPr>
        <w:t>.</w:t>
      </w:r>
    </w:p>
  </w:endnote>
  <w:endnote w:id="10">
    <w:p w14:paraId="58289F6E" w14:textId="77777777" w:rsidR="00360C13" w:rsidRPr="00AC3610" w:rsidRDefault="00360C13" w:rsidP="00AC3610">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1">
    <w:p w14:paraId="5102F725" w14:textId="77777777" w:rsidR="00360C13" w:rsidRPr="00F46601" w:rsidRDefault="00360C13" w:rsidP="000F4CB6">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2">
    <w:p w14:paraId="0DDBA0F5" w14:textId="65F50BE0" w:rsidR="001131C0" w:rsidRDefault="001131C0" w:rsidP="001131C0">
      <w:pPr>
        <w:pStyle w:val="EndnoteText"/>
        <w:widowControl w:val="0"/>
        <w:tabs>
          <w:tab w:val="clear" w:pos="1021"/>
          <w:tab w:val="right" w:pos="1020"/>
        </w:tabs>
      </w:pPr>
      <w:r>
        <w:tab/>
      </w:r>
      <w:r>
        <w:rPr>
          <w:rStyle w:val="EndnoteReference"/>
        </w:rPr>
        <w:endnoteRef/>
      </w:r>
      <w:r>
        <w:tab/>
      </w:r>
      <w:r w:rsidRPr="001131C0">
        <w:rPr>
          <w:lang w:val="es-ES"/>
        </w:rPr>
        <w:t>CCPR/C/BEN/CO/2, para. 38</w:t>
      </w:r>
      <w:r>
        <w:rPr>
          <w:lang w:val="es-ES"/>
        </w:rPr>
        <w:t>.</w:t>
      </w:r>
    </w:p>
  </w:endnote>
  <w:endnote w:id="13">
    <w:p w14:paraId="4168A72C" w14:textId="6CF8D8AB" w:rsidR="001131C0" w:rsidRDefault="001131C0" w:rsidP="001131C0">
      <w:pPr>
        <w:pStyle w:val="EndnoteText"/>
        <w:widowControl w:val="0"/>
        <w:tabs>
          <w:tab w:val="clear" w:pos="1021"/>
          <w:tab w:val="right" w:pos="1020"/>
        </w:tabs>
      </w:pPr>
      <w:r>
        <w:tab/>
      </w:r>
      <w:r>
        <w:rPr>
          <w:rStyle w:val="EndnoteReference"/>
        </w:rPr>
        <w:endnoteRef/>
      </w:r>
      <w:r>
        <w:tab/>
      </w:r>
      <w:r w:rsidRPr="001131C0">
        <w:t>Letter sent to the Permanent Representative of Benin to the United Nations Office at Geneva, dated 18 April 2017 available at http://tbinternet.ohchr.org/_layouts/treatybodyexternal/Download.aspx?symbolno=INT%2fCCPR%2fFUL%2fBEN%2f27211&amp;Lang=en</w:t>
      </w:r>
      <w:r>
        <w:t>.</w:t>
      </w:r>
    </w:p>
  </w:endnote>
  <w:endnote w:id="14">
    <w:p w14:paraId="5D57BB64" w14:textId="07C9D747" w:rsidR="001131C0" w:rsidRDefault="001131C0" w:rsidP="001131C0">
      <w:pPr>
        <w:pStyle w:val="EndnoteText"/>
        <w:widowControl w:val="0"/>
        <w:tabs>
          <w:tab w:val="clear" w:pos="1021"/>
          <w:tab w:val="right" w:pos="1020"/>
        </w:tabs>
      </w:pPr>
      <w:r>
        <w:tab/>
      </w:r>
      <w:r>
        <w:rPr>
          <w:rStyle w:val="EndnoteReference"/>
        </w:rPr>
        <w:endnoteRef/>
      </w:r>
      <w:r>
        <w:tab/>
      </w:r>
      <w:r w:rsidRPr="001131C0">
        <w:rPr>
          <w:lang w:val="es-ES"/>
        </w:rPr>
        <w:t>CEDAW/C/BEN/CO/4, para. 49.</w:t>
      </w:r>
    </w:p>
  </w:endnote>
  <w:endnote w:id="15">
    <w:p w14:paraId="0AB3F715" w14:textId="1D85F052" w:rsidR="001131C0" w:rsidRDefault="001131C0" w:rsidP="001131C0">
      <w:pPr>
        <w:pStyle w:val="EndnoteText"/>
        <w:widowControl w:val="0"/>
        <w:tabs>
          <w:tab w:val="clear" w:pos="1021"/>
          <w:tab w:val="right" w:pos="1020"/>
        </w:tabs>
      </w:pPr>
      <w:r>
        <w:tab/>
      </w:r>
      <w:r>
        <w:rPr>
          <w:rStyle w:val="EndnoteReference"/>
        </w:rPr>
        <w:endnoteRef/>
      </w:r>
      <w:r>
        <w:tab/>
      </w:r>
      <w:r w:rsidRPr="001131C0">
        <w:t xml:space="preserve">Letter sent to the Permanent Representative of Benin to the United Nations Office at Geneva, dated 6 December 2016, available at http://tbinternet.ohchr.org/_layouts/treatybodyexternal/Download.aspx?symbolno=INT%2fCEDAW%2fFUL%2fBEN%2f25976&amp;Lang=en; Reminder sent to the Permanent Representative of Benin to the United Nations Office at Geneva, dated 13 May 2016, available at </w:t>
      </w:r>
      <w:hyperlink r:id="rId1" w:history="1">
        <w:r w:rsidRPr="001131C0">
          <w:rPr>
            <w:rStyle w:val="Hyperlink"/>
          </w:rPr>
          <w:t>http://tbinternet.ohchr.org/_layouts/treatybodyexternal/Download.aspx?symbolno=INT%2fCEDAW%2fFUL%2fBEN%2f23904&amp;Lang=en</w:t>
        </w:r>
      </w:hyperlink>
      <w:r>
        <w:t>.</w:t>
      </w:r>
    </w:p>
  </w:endnote>
  <w:endnote w:id="16">
    <w:p w14:paraId="6DEC2FDB" w14:textId="3E652870" w:rsidR="001131C0" w:rsidRDefault="001131C0" w:rsidP="001131C0">
      <w:pPr>
        <w:pStyle w:val="EndnoteText"/>
        <w:widowControl w:val="0"/>
        <w:tabs>
          <w:tab w:val="clear" w:pos="1021"/>
          <w:tab w:val="right" w:pos="1020"/>
        </w:tabs>
      </w:pPr>
      <w:r>
        <w:tab/>
      </w:r>
      <w:r>
        <w:rPr>
          <w:rStyle w:val="EndnoteReference"/>
        </w:rPr>
        <w:endnoteRef/>
      </w:r>
      <w:r>
        <w:tab/>
      </w:r>
      <w:r w:rsidRPr="001131C0">
        <w:t>CCPR/C/111/D/2055/2011</w:t>
      </w:r>
      <w:r>
        <w:t>.</w:t>
      </w:r>
    </w:p>
  </w:endnote>
  <w:endnote w:id="17">
    <w:p w14:paraId="3C7B2407" w14:textId="13E7F827" w:rsidR="00AB6C1D" w:rsidRPr="008A48F2" w:rsidRDefault="00AB6C1D" w:rsidP="00AB6C1D">
      <w:pPr>
        <w:pStyle w:val="EndnoteText"/>
        <w:rPr>
          <w:szCs w:val="18"/>
        </w:rPr>
      </w:pPr>
      <w:r>
        <w:tab/>
      </w:r>
      <w:r w:rsidRPr="00F53EE5">
        <w:rPr>
          <w:rStyle w:val="EndnoteReference"/>
        </w:rPr>
        <w:endnoteRef/>
      </w:r>
      <w:r>
        <w:tab/>
      </w:r>
      <w:r w:rsidRPr="00CE6B02">
        <w:rPr>
          <w:szCs w:val="18"/>
        </w:rPr>
        <w:t>For the titles of special procedure mandate holders</w:t>
      </w:r>
      <w:r>
        <w:rPr>
          <w:szCs w:val="18"/>
        </w:rPr>
        <w:t xml:space="preserve"> see:</w:t>
      </w:r>
      <w:r w:rsidRPr="00C800AA">
        <w:t xml:space="preserve"> </w:t>
      </w:r>
      <w:r w:rsidRPr="00C800AA">
        <w:rPr>
          <w:szCs w:val="18"/>
        </w:rPr>
        <w:t>https://spcommreports.ohchr.org/about/abbreviations</w:t>
      </w:r>
      <w:r w:rsidR="000E36CD">
        <w:rPr>
          <w:szCs w:val="18"/>
        </w:rPr>
        <w:t>.</w:t>
      </w:r>
    </w:p>
  </w:endnote>
  <w:endnote w:id="18">
    <w:p w14:paraId="025CE985" w14:textId="501CE3F8" w:rsidR="001131C0" w:rsidRDefault="001131C0" w:rsidP="001131C0">
      <w:pPr>
        <w:pStyle w:val="EndnoteText"/>
        <w:widowControl w:val="0"/>
        <w:tabs>
          <w:tab w:val="clear" w:pos="1021"/>
          <w:tab w:val="right" w:pos="1020"/>
        </w:tabs>
      </w:pPr>
      <w:r>
        <w:tab/>
      </w:r>
      <w:r>
        <w:rPr>
          <w:rStyle w:val="EndnoteReference"/>
        </w:rPr>
        <w:endnoteRef/>
      </w:r>
      <w:r>
        <w:tab/>
      </w:r>
      <w:r w:rsidRPr="001131C0">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9">
    <w:p w14:paraId="367D422D" w14:textId="77777777" w:rsidR="00FD1987" w:rsidRDefault="00FD1987" w:rsidP="00FD1987">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7E607CD4" w14:textId="77777777" w:rsidR="00FD1987" w:rsidRPr="000138D7" w:rsidRDefault="00FD1987" w:rsidP="00FD1987">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43E0403C" w:rsidR="00674A7D" w:rsidRDefault="00674A7D">
        <w:pPr>
          <w:pStyle w:val="Footer"/>
          <w:jc w:val="right"/>
        </w:pPr>
        <w:r>
          <w:fldChar w:fldCharType="begin"/>
        </w:r>
        <w:r>
          <w:instrText xml:space="preserve"> PAGE   \* MERGEFORMAT </w:instrText>
        </w:r>
        <w:r>
          <w:fldChar w:fldCharType="separate"/>
        </w:r>
        <w:r w:rsidR="00FD1987">
          <w:rPr>
            <w:noProof/>
          </w:rPr>
          <w:t>6</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AEC8" w14:textId="77777777" w:rsidR="000E7548" w:rsidRPr="000B175B" w:rsidRDefault="000E7548" w:rsidP="000B175B">
      <w:pPr>
        <w:tabs>
          <w:tab w:val="right" w:pos="2155"/>
        </w:tabs>
        <w:spacing w:after="80"/>
        <w:ind w:left="680"/>
        <w:rPr>
          <w:u w:val="single"/>
        </w:rPr>
      </w:pPr>
      <w:r>
        <w:rPr>
          <w:u w:val="single"/>
        </w:rPr>
        <w:tab/>
      </w:r>
    </w:p>
  </w:footnote>
  <w:footnote w:type="continuationSeparator" w:id="0">
    <w:p w14:paraId="05880B45" w14:textId="77777777" w:rsidR="000E7548" w:rsidRPr="00FC68B7" w:rsidRDefault="000E7548" w:rsidP="00FC68B7">
      <w:pPr>
        <w:tabs>
          <w:tab w:val="left" w:pos="2155"/>
        </w:tabs>
        <w:spacing w:after="80"/>
        <w:ind w:left="680"/>
        <w:rPr>
          <w:u w:val="single"/>
        </w:rPr>
      </w:pPr>
      <w:r>
        <w:rPr>
          <w:u w:val="single"/>
        </w:rPr>
        <w:tab/>
      </w:r>
    </w:p>
  </w:footnote>
  <w:footnote w:type="continuationNotice" w:id="1">
    <w:p w14:paraId="5AF1AAE8" w14:textId="77777777" w:rsidR="000E7548" w:rsidRDefault="000E754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22DB5"/>
    <w:rsid w:val="0002432F"/>
    <w:rsid w:val="000403D1"/>
    <w:rsid w:val="000449AA"/>
    <w:rsid w:val="00050F6B"/>
    <w:rsid w:val="0006703D"/>
    <w:rsid w:val="00072C8C"/>
    <w:rsid w:val="00073E70"/>
    <w:rsid w:val="00075368"/>
    <w:rsid w:val="000876EB"/>
    <w:rsid w:val="00091419"/>
    <w:rsid w:val="000931C0"/>
    <w:rsid w:val="000B175B"/>
    <w:rsid w:val="000B3220"/>
    <w:rsid w:val="000B3A0F"/>
    <w:rsid w:val="000B4A3B"/>
    <w:rsid w:val="000D0709"/>
    <w:rsid w:val="000D1851"/>
    <w:rsid w:val="000E0415"/>
    <w:rsid w:val="000E36CD"/>
    <w:rsid w:val="000E7548"/>
    <w:rsid w:val="001131C0"/>
    <w:rsid w:val="00116305"/>
    <w:rsid w:val="0013065A"/>
    <w:rsid w:val="0013136E"/>
    <w:rsid w:val="00132BC7"/>
    <w:rsid w:val="001346DF"/>
    <w:rsid w:val="00143C6B"/>
    <w:rsid w:val="00146D32"/>
    <w:rsid w:val="001509BA"/>
    <w:rsid w:val="001614E7"/>
    <w:rsid w:val="0016688D"/>
    <w:rsid w:val="00171E14"/>
    <w:rsid w:val="001979F8"/>
    <w:rsid w:val="001A5AF2"/>
    <w:rsid w:val="001B4B04"/>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53D58"/>
    <w:rsid w:val="00254654"/>
    <w:rsid w:val="00264FA3"/>
    <w:rsid w:val="0027725F"/>
    <w:rsid w:val="00296EB7"/>
    <w:rsid w:val="002B4713"/>
    <w:rsid w:val="002C21F0"/>
    <w:rsid w:val="002C4DF7"/>
    <w:rsid w:val="002E646B"/>
    <w:rsid w:val="003070C9"/>
    <w:rsid w:val="003107FA"/>
    <w:rsid w:val="00317977"/>
    <w:rsid w:val="003229D8"/>
    <w:rsid w:val="00324383"/>
    <w:rsid w:val="003314D1"/>
    <w:rsid w:val="00335A2F"/>
    <w:rsid w:val="00341937"/>
    <w:rsid w:val="00360C13"/>
    <w:rsid w:val="00370A62"/>
    <w:rsid w:val="0037215F"/>
    <w:rsid w:val="00380822"/>
    <w:rsid w:val="0039277A"/>
    <w:rsid w:val="003972E0"/>
    <w:rsid w:val="003975ED"/>
    <w:rsid w:val="003A4E25"/>
    <w:rsid w:val="003B3451"/>
    <w:rsid w:val="003C2CC4"/>
    <w:rsid w:val="003D4B23"/>
    <w:rsid w:val="003E065C"/>
    <w:rsid w:val="003E33AE"/>
    <w:rsid w:val="003E6998"/>
    <w:rsid w:val="00400E06"/>
    <w:rsid w:val="00402E7F"/>
    <w:rsid w:val="00420472"/>
    <w:rsid w:val="00420F8B"/>
    <w:rsid w:val="004241D2"/>
    <w:rsid w:val="00424C80"/>
    <w:rsid w:val="00431A65"/>
    <w:rsid w:val="004325CB"/>
    <w:rsid w:val="00440358"/>
    <w:rsid w:val="0044503A"/>
    <w:rsid w:val="00446DE4"/>
    <w:rsid w:val="00447761"/>
    <w:rsid w:val="00451EC3"/>
    <w:rsid w:val="004721B1"/>
    <w:rsid w:val="004766F2"/>
    <w:rsid w:val="004859EC"/>
    <w:rsid w:val="00493243"/>
    <w:rsid w:val="00496A15"/>
    <w:rsid w:val="004A437F"/>
    <w:rsid w:val="004A76BD"/>
    <w:rsid w:val="004B75D2"/>
    <w:rsid w:val="004D1140"/>
    <w:rsid w:val="004E01CE"/>
    <w:rsid w:val="004E25CB"/>
    <w:rsid w:val="004F55ED"/>
    <w:rsid w:val="0052176C"/>
    <w:rsid w:val="005261E5"/>
    <w:rsid w:val="005420F2"/>
    <w:rsid w:val="00542574"/>
    <w:rsid w:val="005436AB"/>
    <w:rsid w:val="005457B9"/>
    <w:rsid w:val="00546DBF"/>
    <w:rsid w:val="005512BA"/>
    <w:rsid w:val="00553D76"/>
    <w:rsid w:val="005552B5"/>
    <w:rsid w:val="0056117B"/>
    <w:rsid w:val="005620C3"/>
    <w:rsid w:val="00571365"/>
    <w:rsid w:val="00577FC5"/>
    <w:rsid w:val="00584ACD"/>
    <w:rsid w:val="005879D1"/>
    <w:rsid w:val="005A22DB"/>
    <w:rsid w:val="005B3DB3"/>
    <w:rsid w:val="005B6B6C"/>
    <w:rsid w:val="005B6E48"/>
    <w:rsid w:val="005E1712"/>
    <w:rsid w:val="00604A24"/>
    <w:rsid w:val="00611FC4"/>
    <w:rsid w:val="00614239"/>
    <w:rsid w:val="006176FB"/>
    <w:rsid w:val="00626E6C"/>
    <w:rsid w:val="00640B26"/>
    <w:rsid w:val="00670741"/>
    <w:rsid w:val="00674A7D"/>
    <w:rsid w:val="00676C10"/>
    <w:rsid w:val="006808A9"/>
    <w:rsid w:val="00683F32"/>
    <w:rsid w:val="00696BD6"/>
    <w:rsid w:val="006A6B9D"/>
    <w:rsid w:val="006A7392"/>
    <w:rsid w:val="006A751B"/>
    <w:rsid w:val="006B3189"/>
    <w:rsid w:val="006B7D65"/>
    <w:rsid w:val="006D6DA6"/>
    <w:rsid w:val="006E564B"/>
    <w:rsid w:val="006F13F0"/>
    <w:rsid w:val="006F5035"/>
    <w:rsid w:val="007065EB"/>
    <w:rsid w:val="00720183"/>
    <w:rsid w:val="0072632A"/>
    <w:rsid w:val="00741A0B"/>
    <w:rsid w:val="0074200B"/>
    <w:rsid w:val="00752373"/>
    <w:rsid w:val="00757201"/>
    <w:rsid w:val="007971B3"/>
    <w:rsid w:val="007A6296"/>
    <w:rsid w:val="007B6BA5"/>
    <w:rsid w:val="007C1B62"/>
    <w:rsid w:val="007C27EF"/>
    <w:rsid w:val="007C3390"/>
    <w:rsid w:val="007C4F4B"/>
    <w:rsid w:val="007D2CDC"/>
    <w:rsid w:val="007D5213"/>
    <w:rsid w:val="007D5327"/>
    <w:rsid w:val="007E2C3B"/>
    <w:rsid w:val="007E75F7"/>
    <w:rsid w:val="007F085C"/>
    <w:rsid w:val="007F6611"/>
    <w:rsid w:val="008155C3"/>
    <w:rsid w:val="008175E9"/>
    <w:rsid w:val="0082243E"/>
    <w:rsid w:val="008242D7"/>
    <w:rsid w:val="0083487C"/>
    <w:rsid w:val="00846797"/>
    <w:rsid w:val="00856CD2"/>
    <w:rsid w:val="00861BC6"/>
    <w:rsid w:val="00871FD5"/>
    <w:rsid w:val="00875FCF"/>
    <w:rsid w:val="008979B1"/>
    <w:rsid w:val="008A2019"/>
    <w:rsid w:val="008A6B25"/>
    <w:rsid w:val="008A6C4F"/>
    <w:rsid w:val="008C1E4D"/>
    <w:rsid w:val="008E0E46"/>
    <w:rsid w:val="008E4200"/>
    <w:rsid w:val="008F543A"/>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85375"/>
    <w:rsid w:val="00991261"/>
    <w:rsid w:val="009A0B83"/>
    <w:rsid w:val="009B3800"/>
    <w:rsid w:val="009D22AC"/>
    <w:rsid w:val="009D3FA1"/>
    <w:rsid w:val="009D50DB"/>
    <w:rsid w:val="009E1C4E"/>
    <w:rsid w:val="009E78E3"/>
    <w:rsid w:val="00A02BFB"/>
    <w:rsid w:val="00A02F74"/>
    <w:rsid w:val="00A05E0B"/>
    <w:rsid w:val="00A06994"/>
    <w:rsid w:val="00A074DD"/>
    <w:rsid w:val="00A1427D"/>
    <w:rsid w:val="00A3619D"/>
    <w:rsid w:val="00A4634F"/>
    <w:rsid w:val="00A51CF3"/>
    <w:rsid w:val="00A53BB8"/>
    <w:rsid w:val="00A72F22"/>
    <w:rsid w:val="00A748A6"/>
    <w:rsid w:val="00A751AE"/>
    <w:rsid w:val="00A75997"/>
    <w:rsid w:val="00A879A4"/>
    <w:rsid w:val="00A87E95"/>
    <w:rsid w:val="00A92E29"/>
    <w:rsid w:val="00AA3277"/>
    <w:rsid w:val="00AA643E"/>
    <w:rsid w:val="00AB6C1D"/>
    <w:rsid w:val="00AD09E9"/>
    <w:rsid w:val="00AF0576"/>
    <w:rsid w:val="00AF3829"/>
    <w:rsid w:val="00AF7605"/>
    <w:rsid w:val="00B037F0"/>
    <w:rsid w:val="00B14190"/>
    <w:rsid w:val="00B2327D"/>
    <w:rsid w:val="00B2718F"/>
    <w:rsid w:val="00B30179"/>
    <w:rsid w:val="00B31DB2"/>
    <w:rsid w:val="00B3317B"/>
    <w:rsid w:val="00B334DC"/>
    <w:rsid w:val="00B33844"/>
    <w:rsid w:val="00B3631A"/>
    <w:rsid w:val="00B53013"/>
    <w:rsid w:val="00B56B53"/>
    <w:rsid w:val="00B67F5E"/>
    <w:rsid w:val="00B73E65"/>
    <w:rsid w:val="00B81E12"/>
    <w:rsid w:val="00B87110"/>
    <w:rsid w:val="00B90627"/>
    <w:rsid w:val="00B97FA8"/>
    <w:rsid w:val="00BB2720"/>
    <w:rsid w:val="00BC1385"/>
    <w:rsid w:val="00BC74E9"/>
    <w:rsid w:val="00BE618E"/>
    <w:rsid w:val="00BF0197"/>
    <w:rsid w:val="00C24693"/>
    <w:rsid w:val="00C3427B"/>
    <w:rsid w:val="00C35E51"/>
    <w:rsid w:val="00C35F0B"/>
    <w:rsid w:val="00C463DD"/>
    <w:rsid w:val="00C64458"/>
    <w:rsid w:val="00C745C3"/>
    <w:rsid w:val="00C81253"/>
    <w:rsid w:val="00C90C19"/>
    <w:rsid w:val="00CA2A58"/>
    <w:rsid w:val="00CA2E07"/>
    <w:rsid w:val="00CA6DE7"/>
    <w:rsid w:val="00CC0B55"/>
    <w:rsid w:val="00CD6995"/>
    <w:rsid w:val="00CE4A8F"/>
    <w:rsid w:val="00CF0214"/>
    <w:rsid w:val="00CF586F"/>
    <w:rsid w:val="00CF7D43"/>
    <w:rsid w:val="00D11129"/>
    <w:rsid w:val="00D2031B"/>
    <w:rsid w:val="00D22332"/>
    <w:rsid w:val="00D226FD"/>
    <w:rsid w:val="00D25FE2"/>
    <w:rsid w:val="00D318D0"/>
    <w:rsid w:val="00D40052"/>
    <w:rsid w:val="00D43252"/>
    <w:rsid w:val="00D47642"/>
    <w:rsid w:val="00D550F9"/>
    <w:rsid w:val="00D572B0"/>
    <w:rsid w:val="00D57EDC"/>
    <w:rsid w:val="00D62704"/>
    <w:rsid w:val="00D62E90"/>
    <w:rsid w:val="00D6784E"/>
    <w:rsid w:val="00D76BE5"/>
    <w:rsid w:val="00D8128F"/>
    <w:rsid w:val="00D978C6"/>
    <w:rsid w:val="00DA67AD"/>
    <w:rsid w:val="00DB18CE"/>
    <w:rsid w:val="00DB7FB6"/>
    <w:rsid w:val="00DD3674"/>
    <w:rsid w:val="00DE3EC0"/>
    <w:rsid w:val="00DE7BF3"/>
    <w:rsid w:val="00DF0D58"/>
    <w:rsid w:val="00E11593"/>
    <w:rsid w:val="00E12B6B"/>
    <w:rsid w:val="00E130AB"/>
    <w:rsid w:val="00E170D4"/>
    <w:rsid w:val="00E402B2"/>
    <w:rsid w:val="00E438D9"/>
    <w:rsid w:val="00E5644E"/>
    <w:rsid w:val="00E7260F"/>
    <w:rsid w:val="00E806EE"/>
    <w:rsid w:val="00E84D26"/>
    <w:rsid w:val="00E86049"/>
    <w:rsid w:val="00E96630"/>
    <w:rsid w:val="00EB0FB9"/>
    <w:rsid w:val="00ED0CA9"/>
    <w:rsid w:val="00ED0CE2"/>
    <w:rsid w:val="00ED7A2A"/>
    <w:rsid w:val="00EE7D5F"/>
    <w:rsid w:val="00EF1D7F"/>
    <w:rsid w:val="00EF5BDB"/>
    <w:rsid w:val="00F07FD9"/>
    <w:rsid w:val="00F21C38"/>
    <w:rsid w:val="00F23933"/>
    <w:rsid w:val="00F24119"/>
    <w:rsid w:val="00F30B7B"/>
    <w:rsid w:val="00F40E75"/>
    <w:rsid w:val="00F42CD9"/>
    <w:rsid w:val="00F52936"/>
    <w:rsid w:val="00F677CB"/>
    <w:rsid w:val="00F72113"/>
    <w:rsid w:val="00F723A2"/>
    <w:rsid w:val="00F75213"/>
    <w:rsid w:val="00F76CA4"/>
    <w:rsid w:val="00F86D3A"/>
    <w:rsid w:val="00FA7DF3"/>
    <w:rsid w:val="00FC68B7"/>
    <w:rsid w:val="00FD1987"/>
    <w:rsid w:val="00FD268F"/>
    <w:rsid w:val="00FD2C5B"/>
    <w:rsid w:val="00FD3059"/>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tbinternet.ohchr.org/_layouts/treatybodyexternal/Download.aspx?symbolno=INT%2fCEDAW%2fFUL%2fBEN%2f23904&amp;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52D369-F808-41FE-8FA6-17366140CDBC}"/>
</file>

<file path=customXml/itemProps2.xml><?xml version="1.0" encoding="utf-8"?>
<ds:datastoreItem xmlns:ds="http://schemas.openxmlformats.org/officeDocument/2006/customXml" ds:itemID="{D3349A73-860E-40AC-8580-44484D62612B}"/>
</file>

<file path=customXml/itemProps3.xml><?xml version="1.0" encoding="utf-8"?>
<ds:datastoreItem xmlns:ds="http://schemas.openxmlformats.org/officeDocument/2006/customXml" ds:itemID="{9E1E7057-CC12-4A05-AA5C-4BBA4F4C4354}"/>
</file>

<file path=docProps/app.xml><?xml version="1.0" encoding="utf-8"?>
<Properties xmlns="http://schemas.openxmlformats.org/officeDocument/2006/extended-properties" xmlns:vt="http://schemas.openxmlformats.org/officeDocument/2006/docPropsVTypes">
  <Template>A_E.dotm</Template>
  <TotalTime>58</TotalTime>
  <Pages>6</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A.HRC.WG.6.28.BEN.2.Annex</dc:title>
  <dc:creator>Sumiko IHARA</dc:creator>
  <cp:lastModifiedBy>Feyikemi Oyewole</cp:lastModifiedBy>
  <cp:revision>59</cp:revision>
  <cp:lastPrinted>2008-01-29T07:30:00Z</cp:lastPrinted>
  <dcterms:created xsi:type="dcterms:W3CDTF">2017-09-13T13:56:00Z</dcterms:created>
  <dcterms:modified xsi:type="dcterms:W3CDTF">2017-09-14T10:14:00Z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