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C2E17" w14:textId="417A8578"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r w:rsidR="001A4F86">
        <w:rPr>
          <w:lang w:val="fr-CH"/>
        </w:rPr>
        <w:t>Guatemala</w:t>
      </w:r>
    </w:p>
    <w:p w14:paraId="6FB0FEAC" w14:textId="52E8004D" w:rsidR="00A02BFB" w:rsidRPr="001A4F86" w:rsidRDefault="001A4F86" w:rsidP="001A4F86">
      <w:pPr>
        <w:pStyle w:val="HChG"/>
      </w:pPr>
      <w:r w:rsidRPr="001A4F86">
        <w:tab/>
      </w:r>
      <w:r>
        <w:t>I.</w:t>
      </w:r>
      <w:r w:rsidRPr="001A4F86">
        <w:tab/>
        <w:t>Scope of international obligations</w:t>
      </w:r>
      <w:r w:rsidRPr="001A4F86">
        <w:rPr>
          <w:b w:val="0"/>
          <w:sz w:val="18"/>
          <w:szCs w:val="18"/>
          <w:vertAlign w:val="superscript"/>
        </w:rPr>
        <w:endnoteReference w:id="2"/>
      </w:r>
    </w:p>
    <w:p w14:paraId="7426EFE9" w14:textId="5DE26932" w:rsidR="00A02BFB" w:rsidRDefault="001A4F86" w:rsidP="001A4F86">
      <w:pPr>
        <w:pStyle w:val="H1G"/>
      </w:pPr>
      <w:r w:rsidRPr="001A4F86">
        <w:tab/>
      </w:r>
      <w:r>
        <w:t>A</w:t>
      </w:r>
      <w:r w:rsidRPr="001A4F86">
        <w:t>.</w:t>
      </w:r>
      <w:r w:rsidRPr="001A4F86">
        <w:tab/>
      </w:r>
      <w:bookmarkStart w:id="0" w:name="Table_Int_HR_Treaties"/>
      <w:r w:rsidRPr="001A4F86">
        <w:t>International human rights treaties</w:t>
      </w:r>
      <w:bookmarkEnd w:id="0"/>
      <w:r w:rsidRPr="001A4F86">
        <w:rPr>
          <w:b w:val="0"/>
          <w:sz w:val="18"/>
          <w:szCs w:val="18"/>
          <w:vertAlign w:val="superscript"/>
        </w:rPr>
        <w:endnoteReference w:id="3"/>
      </w:r>
    </w:p>
    <w:p w14:paraId="58827FAE" w14:textId="7ADBB187" w:rsidR="001A4F86" w:rsidRPr="001A4F86" w:rsidRDefault="001A4F86" w:rsidP="001A4F86">
      <w:pPr>
        <w:pStyle w:val="H1G"/>
      </w:pPr>
      <w:r>
        <w:tab/>
      </w:r>
      <w:r w:rsidRPr="001A4F86">
        <w:tab/>
        <w:t>International human rights treaties</w:t>
      </w:r>
      <w:r w:rsidRPr="001A4F86">
        <w:rPr>
          <w:b w:val="0"/>
          <w:bCs/>
          <w:sz w:val="18"/>
          <w:szCs w:val="18"/>
          <w:vertAlign w:val="superscript"/>
        </w:rPr>
        <w:endnoteReference w:id="4"/>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52FCBF71" w14:textId="77777777" w:rsidTr="009045C9">
        <w:tc>
          <w:tcPr>
            <w:tcW w:w="2409" w:type="dxa"/>
            <w:tcBorders>
              <w:top w:val="single" w:sz="4" w:space="0" w:color="auto"/>
              <w:bottom w:val="single" w:sz="12" w:space="0" w:color="auto"/>
            </w:tcBorders>
            <w:shd w:val="clear" w:color="auto" w:fill="auto"/>
            <w:vAlign w:val="bottom"/>
          </w:tcPr>
          <w:p w14:paraId="14CEBF59"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5A8F7CFE"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4DBAF6F0"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18A026CA" w14:textId="77777777"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14:paraId="5965BEF0" w14:textId="77777777" w:rsidTr="009045C9">
        <w:trPr>
          <w:trHeight w:hRule="exact" w:val="113"/>
        </w:trPr>
        <w:tc>
          <w:tcPr>
            <w:tcW w:w="2409" w:type="dxa"/>
            <w:tcBorders>
              <w:top w:val="single" w:sz="12" w:space="0" w:color="auto"/>
            </w:tcBorders>
            <w:shd w:val="clear" w:color="auto" w:fill="auto"/>
            <w:vAlign w:val="bottom"/>
          </w:tcPr>
          <w:p w14:paraId="45492466"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2206286F"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6149F9D2"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6E01E2C6" w14:textId="77777777" w:rsidR="00A02BFB" w:rsidRPr="00A02BFB" w:rsidRDefault="00A02BFB" w:rsidP="00A02BFB">
            <w:pPr>
              <w:spacing w:before="80" w:after="80" w:line="200" w:lineRule="exact"/>
              <w:ind w:right="113"/>
              <w:rPr>
                <w:i/>
                <w:sz w:val="16"/>
              </w:rPr>
            </w:pPr>
          </w:p>
        </w:tc>
      </w:tr>
      <w:tr w:rsidR="00A02BFB" w:rsidRPr="00A02BFB" w14:paraId="0EEAE8D7" w14:textId="77777777" w:rsidTr="009045C9">
        <w:tc>
          <w:tcPr>
            <w:tcW w:w="2409" w:type="dxa"/>
            <w:shd w:val="clear" w:color="auto" w:fill="auto"/>
          </w:tcPr>
          <w:p w14:paraId="2F5AE484"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7D55106D" w14:textId="77777777" w:rsidR="00430398" w:rsidRPr="00430398" w:rsidRDefault="00430398" w:rsidP="00430398">
            <w:pPr>
              <w:spacing w:before="40" w:after="120" w:line="220" w:lineRule="atLeast"/>
              <w:ind w:right="113"/>
            </w:pPr>
            <w:r w:rsidRPr="00430398">
              <w:t>ICERD (1983)</w:t>
            </w:r>
          </w:p>
          <w:p w14:paraId="43641A90" w14:textId="77777777" w:rsidR="00430398" w:rsidRPr="00430398" w:rsidRDefault="00430398" w:rsidP="00430398">
            <w:pPr>
              <w:spacing w:before="40" w:after="120" w:line="220" w:lineRule="atLeast"/>
              <w:ind w:right="113"/>
            </w:pPr>
            <w:r w:rsidRPr="00430398">
              <w:t>ICESCR (1988)</w:t>
            </w:r>
          </w:p>
          <w:p w14:paraId="725BCE9E" w14:textId="77777777" w:rsidR="00430398" w:rsidRPr="00430398" w:rsidRDefault="00430398" w:rsidP="00430398">
            <w:pPr>
              <w:spacing w:before="40" w:after="120" w:line="220" w:lineRule="atLeast"/>
              <w:ind w:right="113"/>
            </w:pPr>
            <w:r w:rsidRPr="00430398">
              <w:t xml:space="preserve">ICCPR </w:t>
            </w:r>
            <w:r w:rsidRPr="00430398">
              <w:rPr>
                <w:rFonts w:eastAsiaTheme="minorHAnsi"/>
              </w:rPr>
              <w:t>(1992)</w:t>
            </w:r>
          </w:p>
          <w:p w14:paraId="4712681A" w14:textId="77777777" w:rsidR="00430398" w:rsidRPr="00430398" w:rsidRDefault="00430398" w:rsidP="00430398">
            <w:pPr>
              <w:spacing w:before="40" w:after="120" w:line="220" w:lineRule="atLeast"/>
              <w:ind w:right="113"/>
            </w:pPr>
            <w:r w:rsidRPr="00430398">
              <w:t xml:space="preserve">CEDAW </w:t>
            </w:r>
            <w:r w:rsidRPr="00430398">
              <w:rPr>
                <w:rFonts w:eastAsiaTheme="minorHAnsi"/>
              </w:rPr>
              <w:t>(1982)</w:t>
            </w:r>
          </w:p>
          <w:p w14:paraId="28308C15" w14:textId="77777777" w:rsidR="00430398" w:rsidRPr="00430398" w:rsidRDefault="00430398" w:rsidP="00430398">
            <w:pPr>
              <w:spacing w:before="40" w:after="120" w:line="220" w:lineRule="atLeast"/>
              <w:ind w:right="113"/>
            </w:pPr>
            <w:r w:rsidRPr="00430398">
              <w:t xml:space="preserve">CAT </w:t>
            </w:r>
            <w:r w:rsidRPr="00430398">
              <w:rPr>
                <w:rFonts w:eastAsiaTheme="minorHAnsi"/>
              </w:rPr>
              <w:t>(1990)</w:t>
            </w:r>
          </w:p>
          <w:p w14:paraId="697AC4EA" w14:textId="77777777" w:rsidR="00430398" w:rsidRPr="00430398" w:rsidRDefault="00430398" w:rsidP="00430398">
            <w:pPr>
              <w:spacing w:before="40" w:after="120" w:line="220" w:lineRule="atLeast"/>
              <w:ind w:right="113"/>
            </w:pPr>
            <w:r w:rsidRPr="00430398">
              <w:t xml:space="preserve">OP-CAT </w:t>
            </w:r>
            <w:r w:rsidRPr="00430398">
              <w:rPr>
                <w:rFonts w:eastAsiaTheme="minorHAnsi"/>
              </w:rPr>
              <w:t>(2008)</w:t>
            </w:r>
          </w:p>
          <w:p w14:paraId="25E12332" w14:textId="77777777" w:rsidR="00430398" w:rsidRPr="00430398" w:rsidRDefault="00430398" w:rsidP="00430398">
            <w:pPr>
              <w:spacing w:before="40" w:after="120" w:line="220" w:lineRule="atLeast"/>
              <w:ind w:right="113"/>
            </w:pPr>
            <w:r w:rsidRPr="00430398">
              <w:t xml:space="preserve">CRC </w:t>
            </w:r>
            <w:r w:rsidRPr="00430398">
              <w:rPr>
                <w:rFonts w:eastAsiaTheme="minorHAnsi"/>
              </w:rPr>
              <w:t>(1990)</w:t>
            </w:r>
          </w:p>
          <w:p w14:paraId="490FF501" w14:textId="77777777" w:rsidR="00430398" w:rsidRPr="00430398" w:rsidRDefault="00430398" w:rsidP="00430398">
            <w:pPr>
              <w:spacing w:before="40" w:after="120" w:line="220" w:lineRule="atLeast"/>
              <w:ind w:right="113"/>
            </w:pPr>
            <w:r w:rsidRPr="00430398">
              <w:t>OP-CRC-AC (2002)</w:t>
            </w:r>
          </w:p>
          <w:p w14:paraId="0436F7EA" w14:textId="77777777" w:rsidR="00430398" w:rsidRPr="00430398" w:rsidRDefault="00430398" w:rsidP="00430398">
            <w:pPr>
              <w:spacing w:before="40" w:after="120" w:line="220" w:lineRule="atLeast"/>
              <w:ind w:right="113"/>
            </w:pPr>
            <w:r w:rsidRPr="00430398">
              <w:t>OP-CRC-SC (2002)</w:t>
            </w:r>
          </w:p>
          <w:p w14:paraId="4BD18999" w14:textId="77777777" w:rsidR="00430398" w:rsidRPr="00430398" w:rsidRDefault="00430398" w:rsidP="00430398">
            <w:pPr>
              <w:spacing w:before="40" w:after="120" w:line="220" w:lineRule="atLeast"/>
              <w:ind w:right="113"/>
            </w:pPr>
            <w:r w:rsidRPr="00430398">
              <w:t>ICRMW (2003)</w:t>
            </w:r>
          </w:p>
          <w:p w14:paraId="0ACDD081" w14:textId="40989843" w:rsidR="00A02BFB" w:rsidRPr="00A02BFB" w:rsidRDefault="00430398" w:rsidP="00430398">
            <w:pPr>
              <w:spacing w:before="40" w:after="120"/>
              <w:ind w:right="113"/>
            </w:pPr>
            <w:r w:rsidRPr="00430398">
              <w:t>CRPD (2009)</w:t>
            </w:r>
          </w:p>
        </w:tc>
        <w:tc>
          <w:tcPr>
            <w:tcW w:w="2409" w:type="dxa"/>
            <w:shd w:val="clear" w:color="auto" w:fill="auto"/>
          </w:tcPr>
          <w:p w14:paraId="14C497E4" w14:textId="68BFF228" w:rsidR="00A02BFB" w:rsidRPr="00A02BFB" w:rsidRDefault="002B5DFD" w:rsidP="00A02BFB">
            <w:pPr>
              <w:spacing w:before="40" w:after="120"/>
              <w:ind w:right="113"/>
            </w:pPr>
            <w:r>
              <w:t>–</w:t>
            </w:r>
          </w:p>
        </w:tc>
        <w:tc>
          <w:tcPr>
            <w:tcW w:w="2410" w:type="dxa"/>
            <w:shd w:val="clear" w:color="auto" w:fill="auto"/>
          </w:tcPr>
          <w:p w14:paraId="2129B809" w14:textId="77777777" w:rsidR="00430398" w:rsidRPr="00430398" w:rsidRDefault="00430398" w:rsidP="00430398">
            <w:pPr>
              <w:spacing w:before="40" w:after="120" w:line="220" w:lineRule="atLeast"/>
              <w:ind w:right="113"/>
            </w:pPr>
            <w:r w:rsidRPr="00430398">
              <w:t>ICPPED (signed, 2007)</w:t>
            </w:r>
          </w:p>
          <w:p w14:paraId="5503D40D" w14:textId="5885EB90" w:rsidR="00A02BFB" w:rsidRPr="00A02BFB" w:rsidRDefault="00430398" w:rsidP="00430398">
            <w:pPr>
              <w:spacing w:before="40" w:after="120"/>
              <w:ind w:right="113"/>
            </w:pPr>
            <w:r w:rsidRPr="00430398">
              <w:t>ICCPR-OP 2</w:t>
            </w:r>
          </w:p>
        </w:tc>
      </w:tr>
      <w:tr w:rsidR="00A02BFB" w:rsidRPr="00A02BFB" w14:paraId="30601F05" w14:textId="77777777" w:rsidTr="009045C9">
        <w:tc>
          <w:tcPr>
            <w:tcW w:w="2409" w:type="dxa"/>
            <w:tcBorders>
              <w:bottom w:val="single" w:sz="12" w:space="0" w:color="auto"/>
            </w:tcBorders>
            <w:shd w:val="clear" w:color="auto" w:fill="auto"/>
          </w:tcPr>
          <w:p w14:paraId="64F34C15" w14:textId="77777777"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Pr>
                <w:rStyle w:val="EndnoteReference"/>
                <w:i/>
              </w:rPr>
              <w:endnoteReference w:id="5"/>
            </w:r>
          </w:p>
        </w:tc>
        <w:tc>
          <w:tcPr>
            <w:tcW w:w="2409" w:type="dxa"/>
            <w:tcBorders>
              <w:bottom w:val="single" w:sz="12" w:space="0" w:color="auto"/>
            </w:tcBorders>
            <w:shd w:val="clear" w:color="auto" w:fill="auto"/>
          </w:tcPr>
          <w:p w14:paraId="4F5F0494" w14:textId="77777777" w:rsidR="00430398" w:rsidRPr="00430398" w:rsidRDefault="00430398" w:rsidP="00430398">
            <w:pPr>
              <w:spacing w:before="40" w:after="120" w:line="220" w:lineRule="atLeast"/>
              <w:ind w:right="113"/>
            </w:pPr>
            <w:r w:rsidRPr="00430398">
              <w:t>ICCPR-OP 1 (2000)</w:t>
            </w:r>
          </w:p>
          <w:p w14:paraId="0B3F7E75" w14:textId="77777777" w:rsidR="00430398" w:rsidRPr="00430398" w:rsidRDefault="00430398" w:rsidP="00430398">
            <w:pPr>
              <w:spacing w:before="40" w:after="120" w:line="220" w:lineRule="atLeast"/>
              <w:ind w:right="113"/>
            </w:pPr>
            <w:r w:rsidRPr="00430398">
              <w:t>OP-CEDAW, art. 8 (2002)</w:t>
            </w:r>
          </w:p>
          <w:p w14:paraId="1DE2F612" w14:textId="77777777" w:rsidR="00430398" w:rsidRPr="00430398" w:rsidRDefault="00430398" w:rsidP="00430398">
            <w:pPr>
              <w:spacing w:before="40" w:after="120" w:line="220" w:lineRule="atLeast"/>
              <w:ind w:right="113"/>
            </w:pPr>
            <w:r w:rsidRPr="00430398">
              <w:t>CAT, arts. 20 and 22 (2003)</w:t>
            </w:r>
          </w:p>
          <w:p w14:paraId="2706C06C" w14:textId="77777777" w:rsidR="00430398" w:rsidRPr="00430398" w:rsidRDefault="00430398" w:rsidP="00430398">
            <w:pPr>
              <w:spacing w:before="40" w:after="120" w:line="220" w:lineRule="atLeast"/>
              <w:ind w:right="113"/>
            </w:pPr>
            <w:r w:rsidRPr="00430398">
              <w:t>OP-CRPD, art. 6 (2009)</w:t>
            </w:r>
          </w:p>
          <w:p w14:paraId="4ADAA5A2" w14:textId="4910A555" w:rsidR="00A02BFB" w:rsidRPr="00A02BFB" w:rsidRDefault="00430398" w:rsidP="00430398">
            <w:pPr>
              <w:spacing w:before="40" w:after="120"/>
              <w:ind w:right="113"/>
            </w:pPr>
            <w:r w:rsidRPr="00430398">
              <w:t>ICRMW, art. 76 (2007)</w:t>
            </w:r>
          </w:p>
        </w:tc>
        <w:tc>
          <w:tcPr>
            <w:tcW w:w="2409" w:type="dxa"/>
            <w:tcBorders>
              <w:bottom w:val="single" w:sz="12" w:space="0" w:color="auto"/>
            </w:tcBorders>
            <w:shd w:val="clear" w:color="auto" w:fill="auto"/>
          </w:tcPr>
          <w:p w14:paraId="41110F85" w14:textId="3DD19384" w:rsidR="00A02BFB" w:rsidRPr="00A02BFB" w:rsidRDefault="002B5DFD" w:rsidP="00A02BFB">
            <w:pPr>
              <w:spacing w:before="40" w:after="120"/>
              <w:ind w:right="113"/>
            </w:pPr>
            <w:r>
              <w:t>–</w:t>
            </w:r>
          </w:p>
        </w:tc>
        <w:tc>
          <w:tcPr>
            <w:tcW w:w="2410" w:type="dxa"/>
            <w:tcBorders>
              <w:bottom w:val="single" w:sz="12" w:space="0" w:color="auto"/>
            </w:tcBorders>
            <w:shd w:val="clear" w:color="auto" w:fill="auto"/>
          </w:tcPr>
          <w:p w14:paraId="3113D23A" w14:textId="08A2582A" w:rsidR="00430398" w:rsidRPr="00430398" w:rsidRDefault="003B1650" w:rsidP="00430398">
            <w:pPr>
              <w:spacing w:before="40" w:after="120" w:line="220" w:lineRule="atLeast"/>
              <w:ind w:right="113"/>
            </w:pPr>
            <w:r>
              <w:t>ICERD, art. 14</w:t>
            </w:r>
          </w:p>
          <w:p w14:paraId="6074D8CE" w14:textId="1BD2E3EA" w:rsidR="00430398" w:rsidRPr="00430398" w:rsidRDefault="003B1650" w:rsidP="00430398">
            <w:pPr>
              <w:spacing w:before="40" w:after="120" w:line="220" w:lineRule="atLeast"/>
              <w:ind w:right="113"/>
              <w:rPr>
                <w:rFonts w:eastAsia="Calibri"/>
              </w:rPr>
            </w:pPr>
            <w:r>
              <w:rPr>
                <w:rFonts w:eastAsia="Calibri"/>
              </w:rPr>
              <w:t>ICCPR, art. 41</w:t>
            </w:r>
          </w:p>
          <w:p w14:paraId="7DAE3997" w14:textId="77777777" w:rsidR="00430398" w:rsidRPr="00430398" w:rsidRDefault="00430398" w:rsidP="00430398">
            <w:pPr>
              <w:spacing w:before="40" w:after="120" w:line="220" w:lineRule="atLeast"/>
              <w:ind w:right="113"/>
            </w:pPr>
            <w:r w:rsidRPr="00430398">
              <w:t>OP-ICESCR (signed, 2009)</w:t>
            </w:r>
          </w:p>
          <w:p w14:paraId="1FE43F22" w14:textId="77777777" w:rsidR="00430398" w:rsidRPr="00430398" w:rsidRDefault="00430398" w:rsidP="00430398">
            <w:pPr>
              <w:spacing w:before="40" w:after="120" w:line="220" w:lineRule="atLeast"/>
              <w:ind w:right="113"/>
            </w:pPr>
            <w:r w:rsidRPr="00430398">
              <w:t>CAT, art. 21</w:t>
            </w:r>
          </w:p>
          <w:p w14:paraId="1256B6C6" w14:textId="5359FABC" w:rsidR="00430398" w:rsidRPr="00430398" w:rsidRDefault="00587893" w:rsidP="00430398">
            <w:pPr>
              <w:spacing w:before="40" w:after="120" w:line="220" w:lineRule="atLeast"/>
              <w:ind w:right="113"/>
            </w:pPr>
            <w:r>
              <w:t>OP-CRC-IC</w:t>
            </w:r>
          </w:p>
          <w:p w14:paraId="468D28B9" w14:textId="23AE7EFB" w:rsidR="00A02BFB" w:rsidRPr="00A02BFB" w:rsidRDefault="00430398" w:rsidP="00430398">
            <w:pPr>
              <w:spacing w:before="40" w:after="120"/>
              <w:ind w:right="113"/>
            </w:pPr>
            <w:r w:rsidRPr="00430398">
              <w:t>ICRMW, art. 77</w:t>
            </w:r>
          </w:p>
        </w:tc>
      </w:tr>
    </w:tbl>
    <w:p w14:paraId="1A4FD503" w14:textId="77777777"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324EFC0" w14:textId="77777777" w:rsidTr="000121D2">
        <w:tc>
          <w:tcPr>
            <w:tcW w:w="2409" w:type="dxa"/>
            <w:tcBorders>
              <w:top w:val="single" w:sz="4" w:space="0" w:color="auto"/>
              <w:bottom w:val="single" w:sz="12" w:space="0" w:color="auto"/>
            </w:tcBorders>
          </w:tcPr>
          <w:p w14:paraId="03AB950F" w14:textId="77777777"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14:paraId="68821712"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1BBF756"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030C8A5E" w14:textId="77777777"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14:paraId="7CD0264E" w14:textId="77777777" w:rsidTr="00D57EDC">
        <w:trPr>
          <w:trHeight w:hRule="exact" w:val="113"/>
        </w:trPr>
        <w:tc>
          <w:tcPr>
            <w:tcW w:w="2409" w:type="dxa"/>
            <w:tcBorders>
              <w:top w:val="single" w:sz="12" w:space="0" w:color="auto"/>
            </w:tcBorders>
          </w:tcPr>
          <w:p w14:paraId="0B0E43B1"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14:paraId="3D47847D"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7BB2892C"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0B454E0E" w14:textId="77777777" w:rsidR="00A02BFB" w:rsidRPr="00A02BFB" w:rsidRDefault="00A02BFB" w:rsidP="00A02BFB">
            <w:pPr>
              <w:spacing w:before="80" w:after="80" w:line="200" w:lineRule="exact"/>
              <w:ind w:right="113"/>
              <w:rPr>
                <w:i/>
                <w:sz w:val="16"/>
              </w:rPr>
            </w:pPr>
          </w:p>
        </w:tc>
      </w:tr>
      <w:tr w:rsidR="00A02BFB" w:rsidRPr="00A02BFB" w14:paraId="7546C5A3" w14:textId="77777777" w:rsidTr="00D57EDC">
        <w:tc>
          <w:tcPr>
            <w:tcW w:w="2409" w:type="dxa"/>
            <w:tcBorders>
              <w:bottom w:val="single" w:sz="12" w:space="0" w:color="auto"/>
            </w:tcBorders>
          </w:tcPr>
          <w:p w14:paraId="585A7984" w14:textId="3A5BDB17" w:rsidR="00A02BFB" w:rsidRPr="00A02BFB" w:rsidRDefault="00A02BFB" w:rsidP="00A02BFB">
            <w:pPr>
              <w:spacing w:before="40" w:after="120"/>
              <w:ind w:right="113"/>
            </w:pPr>
          </w:p>
        </w:tc>
        <w:tc>
          <w:tcPr>
            <w:tcW w:w="2409" w:type="dxa"/>
            <w:tcBorders>
              <w:bottom w:val="single" w:sz="12" w:space="0" w:color="auto"/>
            </w:tcBorders>
          </w:tcPr>
          <w:p w14:paraId="447D6BD4" w14:textId="77777777" w:rsidR="00430398" w:rsidRPr="00430398" w:rsidRDefault="00430398" w:rsidP="00430398">
            <w:pPr>
              <w:suppressAutoHyphens w:val="0"/>
              <w:spacing w:before="40" w:line="220" w:lineRule="atLeast"/>
              <w:ind w:right="113"/>
              <w:rPr>
                <w:rFonts w:eastAsiaTheme="minorHAnsi"/>
              </w:rPr>
            </w:pPr>
            <w:r w:rsidRPr="00430398">
              <w:rPr>
                <w:rFonts w:eastAsiaTheme="minorHAnsi"/>
              </w:rPr>
              <w:t>ICCPR-OP-1 (General declaration, 2000)</w:t>
            </w:r>
          </w:p>
          <w:p w14:paraId="1A9E8919" w14:textId="77777777" w:rsidR="00430398" w:rsidRPr="00430398" w:rsidRDefault="00430398" w:rsidP="00430398">
            <w:pPr>
              <w:suppressAutoHyphens w:val="0"/>
              <w:spacing w:before="40" w:line="220" w:lineRule="atLeast"/>
              <w:ind w:right="113"/>
              <w:rPr>
                <w:rFonts w:eastAsiaTheme="minorHAnsi"/>
              </w:rPr>
            </w:pPr>
            <w:r w:rsidRPr="00430398">
              <w:rPr>
                <w:rFonts w:eastAsiaTheme="minorHAnsi"/>
              </w:rPr>
              <w:t>CRC (Declaration, art.1, 1990)</w:t>
            </w:r>
          </w:p>
          <w:p w14:paraId="21F4AE79" w14:textId="5B572DC8" w:rsidR="00A02BFB" w:rsidRPr="00A02BFB" w:rsidRDefault="00430398" w:rsidP="00430398">
            <w:pPr>
              <w:spacing w:before="40" w:after="120"/>
              <w:ind w:right="113"/>
            </w:pPr>
            <w:r w:rsidRPr="00430398">
              <w:rPr>
                <w:rFonts w:eastAsiaTheme="minorHAnsi"/>
              </w:rPr>
              <w:t>OP-CRC-AC (Declaration, art. 3 para. 2, minimum age of</w:t>
            </w:r>
            <w:r>
              <w:rPr>
                <w:rFonts w:eastAsiaTheme="minorHAnsi"/>
              </w:rPr>
              <w:t xml:space="preserve"> recruitment 18 years (2002)</w:t>
            </w:r>
          </w:p>
        </w:tc>
        <w:tc>
          <w:tcPr>
            <w:tcW w:w="2409" w:type="dxa"/>
            <w:tcBorders>
              <w:bottom w:val="single" w:sz="12" w:space="0" w:color="auto"/>
            </w:tcBorders>
            <w:shd w:val="clear" w:color="auto" w:fill="auto"/>
          </w:tcPr>
          <w:p w14:paraId="42D6128D" w14:textId="185614A3" w:rsidR="00A02BFB" w:rsidRPr="00A02BFB" w:rsidRDefault="00880A55" w:rsidP="00A3619D">
            <w:pPr>
              <w:spacing w:before="40" w:after="120"/>
              <w:ind w:right="113"/>
            </w:pPr>
            <w:r>
              <w:t>–</w:t>
            </w:r>
          </w:p>
        </w:tc>
        <w:tc>
          <w:tcPr>
            <w:tcW w:w="2410" w:type="dxa"/>
            <w:tcBorders>
              <w:bottom w:val="single" w:sz="12" w:space="0" w:color="auto"/>
            </w:tcBorders>
            <w:shd w:val="clear" w:color="auto" w:fill="auto"/>
          </w:tcPr>
          <w:p w14:paraId="299286B6" w14:textId="0FC685FA" w:rsidR="00A02BFB" w:rsidRPr="00A02BFB" w:rsidRDefault="00880A55" w:rsidP="00A02BFB">
            <w:pPr>
              <w:spacing w:before="40" w:after="120"/>
              <w:ind w:right="113"/>
            </w:pPr>
            <w:r>
              <w:t>–</w:t>
            </w:r>
          </w:p>
        </w:tc>
      </w:tr>
    </w:tbl>
    <w:p w14:paraId="0BFEBB66" w14:textId="77777777" w:rsidR="00A02BFB" w:rsidRPr="00A02BFB" w:rsidRDefault="00A02BFB" w:rsidP="00A02BFB">
      <w:pPr>
        <w:pStyle w:val="H1G"/>
      </w:pPr>
      <w:r>
        <w:lastRenderedPageBreak/>
        <w:tab/>
        <w:t>B</w:t>
      </w:r>
      <w:r w:rsidRPr="00A02BFB">
        <w:t>.</w:t>
      </w:r>
      <w:r w:rsidRPr="00A02BFB">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79444104" w14:textId="77777777" w:rsidTr="00B90627">
        <w:tc>
          <w:tcPr>
            <w:tcW w:w="2409" w:type="dxa"/>
            <w:tcBorders>
              <w:top w:val="single" w:sz="4" w:space="0" w:color="auto"/>
              <w:bottom w:val="single" w:sz="12" w:space="0" w:color="auto"/>
            </w:tcBorders>
            <w:shd w:val="clear" w:color="auto" w:fill="auto"/>
            <w:vAlign w:val="bottom"/>
          </w:tcPr>
          <w:p w14:paraId="4667F5F2"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1D53201B"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19036176"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31BEA171" w14:textId="77777777" w:rsidR="00A02BFB" w:rsidRPr="00A02BFB" w:rsidRDefault="00A02BFB" w:rsidP="00A02BFB">
            <w:pPr>
              <w:spacing w:before="80" w:after="80" w:line="200" w:lineRule="exact"/>
              <w:ind w:right="113"/>
              <w:rPr>
                <w:i/>
                <w:sz w:val="16"/>
              </w:rPr>
            </w:pPr>
            <w:r w:rsidRPr="00A02BFB">
              <w:rPr>
                <w:i/>
                <w:sz w:val="16"/>
              </w:rPr>
              <w:t>Not ratified</w:t>
            </w:r>
          </w:p>
        </w:tc>
      </w:tr>
      <w:tr w:rsidR="00A02BFB" w:rsidRPr="00A02BFB" w14:paraId="4B316C71" w14:textId="77777777" w:rsidTr="00B90627">
        <w:trPr>
          <w:trHeight w:hRule="exact" w:val="113"/>
        </w:trPr>
        <w:tc>
          <w:tcPr>
            <w:tcW w:w="2409" w:type="dxa"/>
            <w:shd w:val="clear" w:color="auto" w:fill="auto"/>
            <w:vAlign w:val="bottom"/>
          </w:tcPr>
          <w:p w14:paraId="4A7F35E8"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0D43DE13"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7FAB3BBE" w14:textId="77777777" w:rsidR="00A02BFB" w:rsidRPr="00A02BFB" w:rsidRDefault="00A02BFB" w:rsidP="00A02BFB">
            <w:pPr>
              <w:spacing w:before="80" w:after="80" w:line="200" w:lineRule="exact"/>
              <w:ind w:right="113"/>
              <w:rPr>
                <w:i/>
                <w:sz w:val="16"/>
              </w:rPr>
            </w:pPr>
          </w:p>
        </w:tc>
        <w:tc>
          <w:tcPr>
            <w:tcW w:w="2410" w:type="dxa"/>
            <w:shd w:val="clear" w:color="auto" w:fill="auto"/>
            <w:vAlign w:val="bottom"/>
          </w:tcPr>
          <w:p w14:paraId="671FD4BE" w14:textId="77777777" w:rsidR="00A02BFB" w:rsidRPr="00A02BFB" w:rsidRDefault="00A02BFB" w:rsidP="00A02BFB">
            <w:pPr>
              <w:spacing w:before="80" w:after="80" w:line="200" w:lineRule="exact"/>
              <w:ind w:right="113"/>
              <w:rPr>
                <w:i/>
                <w:sz w:val="16"/>
              </w:rPr>
            </w:pPr>
          </w:p>
        </w:tc>
      </w:tr>
      <w:tr w:rsidR="003467B7" w:rsidRPr="00A02BFB" w14:paraId="314FD440" w14:textId="77777777" w:rsidTr="00452E6F">
        <w:tc>
          <w:tcPr>
            <w:tcW w:w="2409" w:type="dxa"/>
            <w:tcBorders>
              <w:bottom w:val="single" w:sz="12" w:space="0" w:color="auto"/>
            </w:tcBorders>
            <w:shd w:val="clear" w:color="auto" w:fill="auto"/>
          </w:tcPr>
          <w:p w14:paraId="4E614050" w14:textId="241052F4" w:rsidR="003467B7" w:rsidRPr="00A02BFB" w:rsidRDefault="003467B7" w:rsidP="003467B7">
            <w:pPr>
              <w:spacing w:before="40" w:after="120"/>
              <w:ind w:right="113"/>
            </w:pPr>
            <w:r w:rsidRPr="004F3CFF">
              <w:rPr>
                <w:i/>
              </w:rPr>
              <w:t>Ratification, accession or succession</w:t>
            </w:r>
          </w:p>
        </w:tc>
        <w:tc>
          <w:tcPr>
            <w:tcW w:w="2409" w:type="dxa"/>
            <w:tcBorders>
              <w:bottom w:val="single" w:sz="12" w:space="0" w:color="auto"/>
            </w:tcBorders>
            <w:shd w:val="clear" w:color="auto" w:fill="auto"/>
          </w:tcPr>
          <w:p w14:paraId="093ADA36" w14:textId="77777777" w:rsidR="003467B7" w:rsidRDefault="003467B7" w:rsidP="003467B7">
            <w:pPr>
              <w:spacing w:before="40" w:after="120"/>
              <w:ind w:right="113"/>
            </w:pPr>
            <w:r w:rsidRPr="005570BB">
              <w:t>Convention on the Prevention and Punishment</w:t>
            </w:r>
            <w:r>
              <w:t xml:space="preserve"> </w:t>
            </w:r>
            <w:r w:rsidRPr="005570BB">
              <w:t>of the Crime of Genocide</w:t>
            </w:r>
            <w:r>
              <w:t xml:space="preserve"> </w:t>
            </w:r>
            <w:r w:rsidRPr="005570BB">
              <w:t>Palermo Protocol</w:t>
            </w:r>
            <w:r w:rsidRPr="004F3CFF">
              <w:rPr>
                <w:vertAlign w:val="superscript"/>
              </w:rPr>
              <w:endnoteReference w:id="6"/>
            </w:r>
          </w:p>
          <w:p w14:paraId="31D20B41" w14:textId="39889B49" w:rsidR="003467B7" w:rsidRPr="005570BB" w:rsidRDefault="003467B7" w:rsidP="003467B7">
            <w:pPr>
              <w:spacing w:before="40" w:after="120"/>
              <w:ind w:right="113"/>
            </w:pPr>
            <w:r w:rsidRPr="005570BB">
              <w:t>Conventions on</w:t>
            </w:r>
            <w:r>
              <w:t xml:space="preserve"> refugees and stateless persons</w:t>
            </w:r>
            <w:r w:rsidR="002B7883">
              <w:rPr>
                <w:rStyle w:val="EndnoteReference"/>
              </w:rPr>
              <w:endnoteReference w:id="7"/>
            </w:r>
          </w:p>
          <w:p w14:paraId="62069AF2" w14:textId="7D672B5A" w:rsidR="003467B7" w:rsidRPr="005570BB" w:rsidRDefault="003467B7" w:rsidP="003467B7">
            <w:pPr>
              <w:spacing w:before="40" w:after="120"/>
              <w:ind w:right="113"/>
            </w:pPr>
            <w:r w:rsidRPr="005570BB">
              <w:t>Geneva Conventions of 12 August 1949 and</w:t>
            </w:r>
            <w:r>
              <w:t xml:space="preserve"> </w:t>
            </w:r>
            <w:r w:rsidRPr="005570BB">
              <w:t>Additional Protocols</w:t>
            </w:r>
            <w:r>
              <w:t xml:space="preserve"> </w:t>
            </w:r>
            <w:r w:rsidRPr="005570BB">
              <w:t>thereto, except Protocol</w:t>
            </w:r>
            <w:r>
              <w:t xml:space="preserve"> </w:t>
            </w:r>
            <w:r w:rsidRPr="005570BB">
              <w:t>III</w:t>
            </w:r>
            <w:r w:rsidR="002B7883">
              <w:rPr>
                <w:rStyle w:val="EndnoteReference"/>
              </w:rPr>
              <w:endnoteReference w:id="8"/>
            </w:r>
          </w:p>
          <w:p w14:paraId="32732A0E" w14:textId="71F28F5A" w:rsidR="003467B7" w:rsidRPr="005570BB" w:rsidRDefault="003467B7" w:rsidP="003467B7">
            <w:pPr>
              <w:spacing w:before="40" w:after="120"/>
              <w:ind w:right="113"/>
            </w:pPr>
            <w:r w:rsidRPr="005570BB">
              <w:t>ILO fundamental conventions</w:t>
            </w:r>
            <w:r w:rsidR="002B7883">
              <w:rPr>
                <w:rStyle w:val="EndnoteReference"/>
              </w:rPr>
              <w:endnoteReference w:id="9"/>
            </w:r>
          </w:p>
          <w:p w14:paraId="07212365" w14:textId="143E86BC" w:rsidR="003467B7" w:rsidRPr="005570BB" w:rsidRDefault="003467B7" w:rsidP="003467B7">
            <w:pPr>
              <w:spacing w:before="40" w:after="120"/>
              <w:ind w:right="113"/>
            </w:pPr>
            <w:r w:rsidRPr="005570BB">
              <w:t>ILO Convention No. 169 concerning</w:t>
            </w:r>
            <w:r>
              <w:t xml:space="preserve"> </w:t>
            </w:r>
            <w:r w:rsidRPr="005570BB">
              <w:t>Indigenous and Tribal Peoples in Independent</w:t>
            </w:r>
            <w:r>
              <w:t xml:space="preserve"> </w:t>
            </w:r>
            <w:r w:rsidRPr="005570BB">
              <w:t>Countries</w:t>
            </w:r>
            <w:r w:rsidR="002B7883">
              <w:rPr>
                <w:rStyle w:val="EndnoteReference"/>
              </w:rPr>
              <w:endnoteReference w:id="10"/>
            </w:r>
          </w:p>
          <w:p w14:paraId="1D579809" w14:textId="77777777" w:rsidR="003467B7" w:rsidRDefault="003467B7" w:rsidP="003467B7">
            <w:pPr>
              <w:spacing w:before="40" w:after="120"/>
              <w:ind w:right="113"/>
            </w:pPr>
            <w:r w:rsidRPr="005570BB">
              <w:t>UNESCO Convention against Discrimination</w:t>
            </w:r>
            <w:r>
              <w:t xml:space="preserve"> </w:t>
            </w:r>
            <w:r w:rsidRPr="005570BB">
              <w:t>in Education</w:t>
            </w:r>
          </w:p>
          <w:p w14:paraId="03ED0A64" w14:textId="4470498A" w:rsidR="003467B7" w:rsidRPr="00A02BFB" w:rsidRDefault="003467B7" w:rsidP="003467B7">
            <w:pPr>
              <w:spacing w:before="40" w:after="120"/>
              <w:ind w:right="113"/>
            </w:pPr>
            <w:r w:rsidRPr="005570BB">
              <w:t>Rome Statute of the</w:t>
            </w:r>
            <w:r>
              <w:t xml:space="preserve"> I</w:t>
            </w:r>
            <w:r w:rsidRPr="005570BB">
              <w:t>nternational Criminal Court</w:t>
            </w:r>
          </w:p>
        </w:tc>
        <w:tc>
          <w:tcPr>
            <w:tcW w:w="2409" w:type="dxa"/>
            <w:tcBorders>
              <w:bottom w:val="single" w:sz="12" w:space="0" w:color="auto"/>
            </w:tcBorders>
            <w:shd w:val="clear" w:color="auto" w:fill="auto"/>
          </w:tcPr>
          <w:p w14:paraId="37B46330" w14:textId="6F0E2AB1" w:rsidR="003467B7" w:rsidRPr="00A02BFB" w:rsidRDefault="00B83DBF" w:rsidP="003467B7">
            <w:pPr>
              <w:spacing w:before="40" w:after="120"/>
              <w:ind w:right="113"/>
            </w:pPr>
            <w:r>
              <w:t>–</w:t>
            </w:r>
          </w:p>
        </w:tc>
        <w:tc>
          <w:tcPr>
            <w:tcW w:w="2410" w:type="dxa"/>
            <w:tcBorders>
              <w:bottom w:val="single" w:sz="12" w:space="0" w:color="auto"/>
            </w:tcBorders>
            <w:shd w:val="clear" w:color="auto" w:fill="auto"/>
          </w:tcPr>
          <w:p w14:paraId="359D282B" w14:textId="74A4CA98" w:rsidR="003467B7" w:rsidRDefault="003467B7" w:rsidP="00452E6F">
            <w:pPr>
              <w:autoSpaceDE w:val="0"/>
              <w:autoSpaceDN w:val="0"/>
              <w:adjustRightInd w:val="0"/>
              <w:spacing w:before="40" w:after="240" w:line="220" w:lineRule="atLeast"/>
              <w:ind w:right="113"/>
            </w:pPr>
            <w:r w:rsidRPr="005570BB">
              <w:t>ILO Convention No. 189</w:t>
            </w:r>
            <w:r>
              <w:t xml:space="preserve"> </w:t>
            </w:r>
            <w:r w:rsidRPr="005570BB">
              <w:t>concerning decent Work for</w:t>
            </w:r>
            <w:r>
              <w:t xml:space="preserve"> Domestic Workers</w:t>
            </w:r>
            <w:r w:rsidR="002B7883">
              <w:rPr>
                <w:rStyle w:val="EndnoteReference"/>
              </w:rPr>
              <w:endnoteReference w:id="11"/>
            </w:r>
          </w:p>
          <w:p w14:paraId="1E4DFF82" w14:textId="691AC17A" w:rsidR="003467B7" w:rsidRPr="00A02BFB" w:rsidRDefault="003467B7" w:rsidP="003467B7">
            <w:pPr>
              <w:spacing w:before="40" w:after="120"/>
              <w:ind w:right="113"/>
            </w:pPr>
            <w:r w:rsidRPr="004F3CFF">
              <w:t>Protocol III additional to the Geneva Conventions</w:t>
            </w:r>
            <w:r w:rsidRPr="00587893">
              <w:rPr>
                <w:sz w:val="18"/>
                <w:szCs w:val="18"/>
                <w:vertAlign w:val="superscript"/>
              </w:rPr>
              <w:endnoteReference w:id="12"/>
            </w:r>
          </w:p>
        </w:tc>
      </w:tr>
    </w:tbl>
    <w:p w14:paraId="6C4D0F32" w14:textId="44CEBA8D"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634CD14C" w14:textId="0579CE8A"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p>
    <w:p w14:paraId="15062C40" w14:textId="4E84735E"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14:paraId="779BA12E" w14:textId="77777777" w:rsidTr="0022777B">
        <w:tc>
          <w:tcPr>
            <w:tcW w:w="1928" w:type="dxa"/>
            <w:tcBorders>
              <w:top w:val="single" w:sz="4" w:space="0" w:color="auto"/>
              <w:bottom w:val="single" w:sz="12" w:space="0" w:color="auto"/>
            </w:tcBorders>
            <w:shd w:val="clear" w:color="auto" w:fill="auto"/>
            <w:vAlign w:val="bottom"/>
          </w:tcPr>
          <w:p w14:paraId="28DC4C59" w14:textId="77777777"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14:paraId="2669B58B" w14:textId="77777777"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40666CB7" w14:textId="77777777"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4656C71" w14:textId="77777777"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31FDFB3A" w14:textId="77777777"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14:paraId="7A62CD06" w14:textId="77777777" w:rsidTr="0022777B">
        <w:trPr>
          <w:trHeight w:hRule="exact" w:val="113"/>
        </w:trPr>
        <w:tc>
          <w:tcPr>
            <w:tcW w:w="1928" w:type="dxa"/>
            <w:shd w:val="clear" w:color="auto" w:fill="auto"/>
            <w:vAlign w:val="bottom"/>
          </w:tcPr>
          <w:p w14:paraId="28835BFF" w14:textId="77777777" w:rsidR="00A02BFB" w:rsidRPr="00A02BFB" w:rsidRDefault="00A02BFB" w:rsidP="00A02BFB">
            <w:pPr>
              <w:spacing w:before="80" w:after="80" w:line="200" w:lineRule="exact"/>
              <w:ind w:right="113"/>
              <w:rPr>
                <w:i/>
                <w:sz w:val="16"/>
              </w:rPr>
            </w:pPr>
          </w:p>
        </w:tc>
        <w:tc>
          <w:tcPr>
            <w:tcW w:w="1928" w:type="dxa"/>
            <w:shd w:val="clear" w:color="auto" w:fill="auto"/>
            <w:vAlign w:val="bottom"/>
          </w:tcPr>
          <w:p w14:paraId="526D09E5"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3C21823D"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6C8E3526"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2699EE97" w14:textId="77777777" w:rsidR="00A02BFB" w:rsidRPr="00A02BFB" w:rsidRDefault="00A02BFB" w:rsidP="00A02BFB">
            <w:pPr>
              <w:spacing w:before="80" w:after="80" w:line="200" w:lineRule="exact"/>
              <w:ind w:right="113"/>
              <w:rPr>
                <w:i/>
                <w:sz w:val="16"/>
              </w:rPr>
            </w:pPr>
          </w:p>
        </w:tc>
      </w:tr>
    </w:tbl>
    <w:tbl>
      <w:tblPr>
        <w:tblW w:w="9639" w:type="dxa"/>
        <w:tblBorders>
          <w:bottom w:val="single" w:sz="12" w:space="0" w:color="auto"/>
        </w:tblBorders>
        <w:tblLook w:val="01E0" w:firstRow="1" w:lastRow="1" w:firstColumn="1" w:lastColumn="1" w:noHBand="0" w:noVBand="0"/>
      </w:tblPr>
      <w:tblGrid>
        <w:gridCol w:w="1769"/>
        <w:gridCol w:w="1659"/>
        <w:gridCol w:w="1546"/>
        <w:gridCol w:w="1877"/>
        <w:gridCol w:w="2788"/>
      </w:tblGrid>
      <w:tr w:rsidR="008F20B3" w:rsidRPr="0064743E" w14:paraId="11C825DE" w14:textId="77777777" w:rsidTr="00EE744E">
        <w:tc>
          <w:tcPr>
            <w:tcW w:w="1769" w:type="dxa"/>
            <w:shd w:val="clear" w:color="auto" w:fill="auto"/>
          </w:tcPr>
          <w:p w14:paraId="0A0C677B" w14:textId="0D635D84" w:rsidR="008F20B3" w:rsidRPr="0064743E" w:rsidRDefault="008F20B3" w:rsidP="0012319F">
            <w:pPr>
              <w:spacing w:before="40" w:after="120" w:line="220" w:lineRule="atLeast"/>
              <w:ind w:right="113"/>
            </w:pPr>
            <w:r>
              <w:t>CERD</w:t>
            </w:r>
          </w:p>
        </w:tc>
        <w:tc>
          <w:tcPr>
            <w:tcW w:w="1659" w:type="dxa"/>
            <w:shd w:val="clear" w:color="auto" w:fill="auto"/>
          </w:tcPr>
          <w:p w14:paraId="18EA9EFF" w14:textId="77777777" w:rsidR="008F20B3" w:rsidRPr="0064743E" w:rsidRDefault="008F20B3" w:rsidP="0012319F">
            <w:pPr>
              <w:spacing w:before="40" w:after="120" w:line="220" w:lineRule="atLeast"/>
              <w:ind w:right="113"/>
            </w:pPr>
            <w:r w:rsidRPr="00597252">
              <w:t>February 2010</w:t>
            </w:r>
          </w:p>
        </w:tc>
        <w:tc>
          <w:tcPr>
            <w:tcW w:w="1546" w:type="dxa"/>
            <w:shd w:val="clear" w:color="auto" w:fill="auto"/>
          </w:tcPr>
          <w:p w14:paraId="7BE250C9" w14:textId="77777777" w:rsidR="008F20B3" w:rsidRPr="0064743E" w:rsidRDefault="008F20B3" w:rsidP="0012319F">
            <w:pPr>
              <w:spacing w:before="40" w:after="120" w:line="220" w:lineRule="atLeast"/>
              <w:ind w:right="113"/>
            </w:pPr>
            <w:r w:rsidRPr="00597252">
              <w:t>2013</w:t>
            </w:r>
          </w:p>
        </w:tc>
        <w:tc>
          <w:tcPr>
            <w:tcW w:w="1877" w:type="dxa"/>
            <w:shd w:val="clear" w:color="auto" w:fill="auto"/>
          </w:tcPr>
          <w:p w14:paraId="3442190B" w14:textId="77777777" w:rsidR="008F20B3" w:rsidRPr="0064743E" w:rsidRDefault="008F20B3" w:rsidP="0012319F">
            <w:pPr>
              <w:spacing w:before="40" w:after="120" w:line="220" w:lineRule="atLeast"/>
              <w:ind w:right="113"/>
            </w:pPr>
            <w:r w:rsidRPr="00597252">
              <w:t>May 2015</w:t>
            </w:r>
          </w:p>
        </w:tc>
        <w:tc>
          <w:tcPr>
            <w:tcW w:w="2788" w:type="dxa"/>
            <w:shd w:val="clear" w:color="auto" w:fill="auto"/>
          </w:tcPr>
          <w:p w14:paraId="66C795BB" w14:textId="5E714539" w:rsidR="008F20B3" w:rsidRPr="0064743E" w:rsidRDefault="008F20B3" w:rsidP="0012319F">
            <w:pPr>
              <w:spacing w:before="40" w:after="120" w:line="220" w:lineRule="atLeast"/>
              <w:ind w:right="113"/>
            </w:pPr>
            <w:r w:rsidRPr="00597252">
              <w:t xml:space="preserve">Combined sixteenth and seventeenth </w:t>
            </w:r>
            <w:r>
              <w:t>reports due in December 2017</w:t>
            </w:r>
          </w:p>
        </w:tc>
      </w:tr>
      <w:tr w:rsidR="008F20B3" w:rsidRPr="0064743E" w14:paraId="14F9881E" w14:textId="77777777" w:rsidTr="00EE744E">
        <w:tc>
          <w:tcPr>
            <w:tcW w:w="1769" w:type="dxa"/>
            <w:shd w:val="clear" w:color="auto" w:fill="auto"/>
          </w:tcPr>
          <w:p w14:paraId="46615D96" w14:textId="23BB138D" w:rsidR="008F20B3" w:rsidRPr="0064743E" w:rsidRDefault="008F20B3" w:rsidP="0012319F">
            <w:pPr>
              <w:spacing w:before="40" w:after="120" w:line="220" w:lineRule="atLeast"/>
              <w:ind w:right="113"/>
            </w:pPr>
            <w:r>
              <w:t>CESCR</w:t>
            </w:r>
          </w:p>
        </w:tc>
        <w:tc>
          <w:tcPr>
            <w:tcW w:w="1659" w:type="dxa"/>
            <w:shd w:val="clear" w:color="auto" w:fill="auto"/>
          </w:tcPr>
          <w:p w14:paraId="20501637" w14:textId="7A52A29E" w:rsidR="008F20B3" w:rsidRPr="0064743E" w:rsidRDefault="007A5ABE" w:rsidP="0012319F">
            <w:pPr>
              <w:spacing w:before="40" w:after="120" w:line="220" w:lineRule="atLeast"/>
              <w:ind w:right="113"/>
            </w:pPr>
            <w:r>
              <w:t>–</w:t>
            </w:r>
          </w:p>
        </w:tc>
        <w:tc>
          <w:tcPr>
            <w:tcW w:w="1546" w:type="dxa"/>
            <w:shd w:val="clear" w:color="auto" w:fill="auto"/>
          </w:tcPr>
          <w:p w14:paraId="3B7103D6" w14:textId="77777777" w:rsidR="008F20B3" w:rsidRPr="0064743E" w:rsidRDefault="008F20B3" w:rsidP="0012319F">
            <w:pPr>
              <w:spacing w:before="40" w:after="120" w:line="220" w:lineRule="atLeast"/>
              <w:ind w:right="113"/>
            </w:pPr>
            <w:r w:rsidRPr="00597252">
              <w:t>2011</w:t>
            </w:r>
          </w:p>
        </w:tc>
        <w:tc>
          <w:tcPr>
            <w:tcW w:w="1877" w:type="dxa"/>
            <w:shd w:val="clear" w:color="auto" w:fill="auto"/>
          </w:tcPr>
          <w:p w14:paraId="79AD09FF" w14:textId="77777777" w:rsidR="008F20B3" w:rsidRPr="0064743E" w:rsidRDefault="008F20B3" w:rsidP="0012319F">
            <w:pPr>
              <w:spacing w:before="40" w:after="120" w:line="220" w:lineRule="atLeast"/>
              <w:ind w:right="113"/>
            </w:pPr>
            <w:r w:rsidRPr="00597252">
              <w:t>November 2014</w:t>
            </w:r>
          </w:p>
        </w:tc>
        <w:tc>
          <w:tcPr>
            <w:tcW w:w="2788" w:type="dxa"/>
            <w:shd w:val="clear" w:color="auto" w:fill="auto"/>
          </w:tcPr>
          <w:p w14:paraId="7E6572FE" w14:textId="77777777" w:rsidR="008F20B3" w:rsidRPr="0064743E" w:rsidRDefault="008F20B3" w:rsidP="0012319F">
            <w:pPr>
              <w:spacing w:before="40" w:after="120" w:line="220" w:lineRule="atLeast"/>
              <w:ind w:right="113"/>
            </w:pPr>
            <w:r w:rsidRPr="00597252">
              <w:t>Fourth report due in 2019</w:t>
            </w:r>
          </w:p>
        </w:tc>
      </w:tr>
      <w:tr w:rsidR="008F20B3" w:rsidRPr="0064743E" w14:paraId="0E3BFD2E" w14:textId="77777777" w:rsidTr="00EE744E">
        <w:tc>
          <w:tcPr>
            <w:tcW w:w="1769" w:type="dxa"/>
            <w:tcBorders>
              <w:bottom w:val="nil"/>
            </w:tcBorders>
            <w:shd w:val="clear" w:color="auto" w:fill="auto"/>
          </w:tcPr>
          <w:p w14:paraId="43E79488" w14:textId="0230C396" w:rsidR="008F20B3" w:rsidRPr="0064743E" w:rsidRDefault="008F20B3" w:rsidP="0012319F">
            <w:pPr>
              <w:spacing w:before="40" w:after="120" w:line="220" w:lineRule="atLeast"/>
              <w:ind w:right="113"/>
            </w:pPr>
            <w:r>
              <w:t>HR</w:t>
            </w:r>
            <w:r w:rsidRPr="00597252">
              <w:t xml:space="preserve"> Committee</w:t>
            </w:r>
          </w:p>
        </w:tc>
        <w:tc>
          <w:tcPr>
            <w:tcW w:w="1659" w:type="dxa"/>
            <w:tcBorders>
              <w:bottom w:val="nil"/>
            </w:tcBorders>
            <w:shd w:val="clear" w:color="auto" w:fill="auto"/>
          </w:tcPr>
          <w:p w14:paraId="2639F0A3" w14:textId="77777777" w:rsidR="008F20B3" w:rsidRPr="0064743E" w:rsidRDefault="008F20B3" w:rsidP="0012319F">
            <w:pPr>
              <w:spacing w:before="40" w:after="120" w:line="220" w:lineRule="atLeast"/>
              <w:ind w:right="113"/>
            </w:pPr>
            <w:r w:rsidRPr="00597252">
              <w:t>March 2012</w:t>
            </w:r>
          </w:p>
        </w:tc>
        <w:tc>
          <w:tcPr>
            <w:tcW w:w="1546" w:type="dxa"/>
            <w:tcBorders>
              <w:bottom w:val="nil"/>
            </w:tcBorders>
            <w:shd w:val="clear" w:color="auto" w:fill="auto"/>
          </w:tcPr>
          <w:p w14:paraId="17D15EC8" w14:textId="77777777" w:rsidR="008F20B3" w:rsidRPr="0064743E" w:rsidRDefault="008F20B3" w:rsidP="0012319F">
            <w:pPr>
              <w:spacing w:before="40" w:after="120" w:line="220" w:lineRule="atLeast"/>
              <w:ind w:right="113"/>
            </w:pPr>
            <w:r w:rsidRPr="00597252">
              <w:t>2016</w:t>
            </w:r>
          </w:p>
        </w:tc>
        <w:tc>
          <w:tcPr>
            <w:tcW w:w="1877" w:type="dxa"/>
            <w:tcBorders>
              <w:bottom w:val="nil"/>
            </w:tcBorders>
            <w:shd w:val="clear" w:color="auto" w:fill="auto"/>
          </w:tcPr>
          <w:p w14:paraId="562DCFA9" w14:textId="60AD3F30" w:rsidR="008F20B3" w:rsidRPr="0064743E" w:rsidRDefault="007A5ABE" w:rsidP="0012319F">
            <w:pPr>
              <w:spacing w:before="40" w:after="120" w:line="220" w:lineRule="atLeast"/>
              <w:ind w:right="113"/>
            </w:pPr>
            <w:r>
              <w:t>–</w:t>
            </w:r>
          </w:p>
        </w:tc>
        <w:tc>
          <w:tcPr>
            <w:tcW w:w="2788" w:type="dxa"/>
            <w:tcBorders>
              <w:bottom w:val="nil"/>
            </w:tcBorders>
            <w:shd w:val="clear" w:color="auto" w:fill="auto"/>
          </w:tcPr>
          <w:p w14:paraId="3684584B" w14:textId="77777777" w:rsidR="008F20B3" w:rsidRPr="0064743E" w:rsidRDefault="008F20B3" w:rsidP="0012319F">
            <w:pPr>
              <w:spacing w:before="40" w:after="120" w:line="220" w:lineRule="atLeast"/>
              <w:ind w:right="113"/>
            </w:pPr>
            <w:r w:rsidRPr="00597252">
              <w:t>Fourth periodic report pending consideration in 2018</w:t>
            </w:r>
          </w:p>
        </w:tc>
      </w:tr>
      <w:tr w:rsidR="008F20B3" w:rsidRPr="0064743E" w14:paraId="5200FC7A" w14:textId="77777777" w:rsidTr="00EE744E">
        <w:tc>
          <w:tcPr>
            <w:tcW w:w="1769" w:type="dxa"/>
            <w:tcBorders>
              <w:bottom w:val="nil"/>
            </w:tcBorders>
            <w:shd w:val="clear" w:color="auto" w:fill="auto"/>
          </w:tcPr>
          <w:p w14:paraId="2E6C8F93" w14:textId="314B4871" w:rsidR="008F20B3" w:rsidRPr="0064743E" w:rsidRDefault="008F20B3" w:rsidP="0012319F">
            <w:pPr>
              <w:spacing w:before="40" w:after="120" w:line="220" w:lineRule="atLeast"/>
              <w:ind w:right="113"/>
            </w:pPr>
            <w:r>
              <w:t>CEDAW</w:t>
            </w:r>
          </w:p>
        </w:tc>
        <w:tc>
          <w:tcPr>
            <w:tcW w:w="1659" w:type="dxa"/>
            <w:tcBorders>
              <w:bottom w:val="nil"/>
            </w:tcBorders>
            <w:shd w:val="clear" w:color="auto" w:fill="auto"/>
          </w:tcPr>
          <w:p w14:paraId="15CCC748" w14:textId="77777777" w:rsidR="008F20B3" w:rsidRPr="0064743E" w:rsidRDefault="008F20B3" w:rsidP="0012319F">
            <w:pPr>
              <w:spacing w:before="40" w:after="120" w:line="220" w:lineRule="atLeast"/>
              <w:ind w:right="113"/>
            </w:pPr>
            <w:r w:rsidRPr="00597252">
              <w:t>February 2009</w:t>
            </w:r>
          </w:p>
        </w:tc>
        <w:tc>
          <w:tcPr>
            <w:tcW w:w="1546" w:type="dxa"/>
            <w:tcBorders>
              <w:bottom w:val="nil"/>
            </w:tcBorders>
            <w:shd w:val="clear" w:color="auto" w:fill="auto"/>
          </w:tcPr>
          <w:p w14:paraId="6C05D691" w14:textId="77777777" w:rsidR="008F20B3" w:rsidRPr="0064743E" w:rsidRDefault="008F20B3" w:rsidP="0012319F">
            <w:pPr>
              <w:spacing w:before="40" w:after="120" w:line="220" w:lineRule="atLeast"/>
              <w:ind w:right="113"/>
            </w:pPr>
            <w:r w:rsidRPr="00597252">
              <w:t>2015</w:t>
            </w:r>
          </w:p>
        </w:tc>
        <w:tc>
          <w:tcPr>
            <w:tcW w:w="1877" w:type="dxa"/>
            <w:tcBorders>
              <w:bottom w:val="nil"/>
            </w:tcBorders>
            <w:shd w:val="clear" w:color="auto" w:fill="auto"/>
          </w:tcPr>
          <w:p w14:paraId="37056878" w14:textId="6B0E8832" w:rsidR="008F20B3" w:rsidRPr="0064743E" w:rsidRDefault="007A5ABE" w:rsidP="0012319F">
            <w:pPr>
              <w:spacing w:before="40" w:after="120" w:line="220" w:lineRule="atLeast"/>
              <w:ind w:right="113"/>
            </w:pPr>
            <w:r>
              <w:t>–</w:t>
            </w:r>
          </w:p>
        </w:tc>
        <w:tc>
          <w:tcPr>
            <w:tcW w:w="2788" w:type="dxa"/>
            <w:tcBorders>
              <w:bottom w:val="nil"/>
            </w:tcBorders>
            <w:shd w:val="clear" w:color="auto" w:fill="auto"/>
          </w:tcPr>
          <w:p w14:paraId="65859DBB" w14:textId="77777777" w:rsidR="008F20B3" w:rsidRPr="0064743E" w:rsidRDefault="008F20B3" w:rsidP="0012319F">
            <w:pPr>
              <w:spacing w:before="40" w:after="120" w:line="220" w:lineRule="atLeast"/>
              <w:ind w:right="113"/>
            </w:pPr>
            <w:r w:rsidRPr="00597252">
              <w:t>Combined eighth and ninth reports pending consideration in November 2017</w:t>
            </w:r>
          </w:p>
        </w:tc>
      </w:tr>
      <w:tr w:rsidR="008F20B3" w:rsidRPr="0064743E" w14:paraId="143A0C35" w14:textId="77777777" w:rsidTr="00EE744E">
        <w:tc>
          <w:tcPr>
            <w:tcW w:w="1769" w:type="dxa"/>
            <w:tcBorders>
              <w:top w:val="nil"/>
            </w:tcBorders>
            <w:shd w:val="clear" w:color="auto" w:fill="auto"/>
          </w:tcPr>
          <w:p w14:paraId="0AE2C398" w14:textId="0550D8E4" w:rsidR="008F20B3" w:rsidRPr="0064743E" w:rsidRDefault="008F20B3" w:rsidP="0012319F">
            <w:pPr>
              <w:spacing w:before="40" w:after="120" w:line="220" w:lineRule="atLeast"/>
              <w:ind w:right="113"/>
            </w:pPr>
            <w:r>
              <w:lastRenderedPageBreak/>
              <w:t>CAT</w:t>
            </w:r>
          </w:p>
        </w:tc>
        <w:tc>
          <w:tcPr>
            <w:tcW w:w="1659" w:type="dxa"/>
            <w:tcBorders>
              <w:top w:val="nil"/>
            </w:tcBorders>
            <w:shd w:val="clear" w:color="auto" w:fill="auto"/>
          </w:tcPr>
          <w:p w14:paraId="38764794" w14:textId="1E790DE2" w:rsidR="008F20B3" w:rsidRPr="0064743E" w:rsidRDefault="0089383F" w:rsidP="0012319F">
            <w:pPr>
              <w:spacing w:before="40" w:after="120" w:line="220" w:lineRule="atLeast"/>
              <w:ind w:right="113"/>
            </w:pPr>
            <w:r>
              <w:t>–</w:t>
            </w:r>
          </w:p>
        </w:tc>
        <w:tc>
          <w:tcPr>
            <w:tcW w:w="1546" w:type="dxa"/>
            <w:tcBorders>
              <w:top w:val="nil"/>
            </w:tcBorders>
            <w:shd w:val="clear" w:color="auto" w:fill="auto"/>
          </w:tcPr>
          <w:p w14:paraId="2CA4DCCC" w14:textId="77777777" w:rsidR="008F20B3" w:rsidRPr="0064743E" w:rsidRDefault="008F20B3" w:rsidP="0012319F">
            <w:pPr>
              <w:spacing w:before="40" w:after="120" w:line="220" w:lineRule="atLeast"/>
              <w:ind w:right="113"/>
            </w:pPr>
            <w:r w:rsidRPr="00597252">
              <w:t>2012 and 2017</w:t>
            </w:r>
          </w:p>
        </w:tc>
        <w:tc>
          <w:tcPr>
            <w:tcW w:w="1877" w:type="dxa"/>
            <w:tcBorders>
              <w:top w:val="nil"/>
            </w:tcBorders>
            <w:shd w:val="clear" w:color="auto" w:fill="auto"/>
          </w:tcPr>
          <w:p w14:paraId="4BB74464" w14:textId="77777777" w:rsidR="008F20B3" w:rsidRPr="0064743E" w:rsidRDefault="008F20B3" w:rsidP="0012319F">
            <w:pPr>
              <w:spacing w:before="40" w:after="120" w:line="220" w:lineRule="atLeast"/>
              <w:ind w:right="113"/>
            </w:pPr>
            <w:r w:rsidRPr="00597252">
              <w:t>May 2013</w:t>
            </w:r>
          </w:p>
        </w:tc>
        <w:tc>
          <w:tcPr>
            <w:tcW w:w="2788" w:type="dxa"/>
            <w:tcBorders>
              <w:top w:val="nil"/>
            </w:tcBorders>
            <w:shd w:val="clear" w:color="auto" w:fill="auto"/>
          </w:tcPr>
          <w:p w14:paraId="50C798B4" w14:textId="31D8F858" w:rsidR="008F20B3" w:rsidRPr="0064743E" w:rsidRDefault="008F20B3" w:rsidP="0012319F">
            <w:pPr>
              <w:spacing w:before="40" w:after="120" w:line="220" w:lineRule="atLeast"/>
              <w:ind w:right="113"/>
            </w:pPr>
            <w:r w:rsidRPr="00597252">
              <w:t>Seventh period</w:t>
            </w:r>
            <w:r w:rsidR="000A7CC0">
              <w:t>ic report pending consideration</w:t>
            </w:r>
          </w:p>
        </w:tc>
      </w:tr>
      <w:tr w:rsidR="008F20B3" w:rsidRPr="0064743E" w14:paraId="6852D303" w14:textId="77777777" w:rsidTr="00EE744E">
        <w:tc>
          <w:tcPr>
            <w:tcW w:w="1769" w:type="dxa"/>
            <w:shd w:val="clear" w:color="auto" w:fill="auto"/>
          </w:tcPr>
          <w:p w14:paraId="11F3066D" w14:textId="6F26921A" w:rsidR="008F20B3" w:rsidRPr="0064743E" w:rsidRDefault="008F20B3" w:rsidP="0012319F">
            <w:pPr>
              <w:spacing w:before="40" w:after="120" w:line="220" w:lineRule="atLeast"/>
              <w:ind w:right="113"/>
            </w:pPr>
            <w:r>
              <w:t>CRC</w:t>
            </w:r>
          </w:p>
        </w:tc>
        <w:tc>
          <w:tcPr>
            <w:tcW w:w="1659" w:type="dxa"/>
            <w:shd w:val="clear" w:color="auto" w:fill="auto"/>
          </w:tcPr>
          <w:p w14:paraId="334A4DC7" w14:textId="77777777" w:rsidR="008F20B3" w:rsidRPr="0064743E" w:rsidRDefault="008F20B3" w:rsidP="0012319F">
            <w:pPr>
              <w:spacing w:before="40" w:after="120" w:line="220" w:lineRule="atLeast"/>
              <w:ind w:right="113"/>
            </w:pPr>
            <w:r w:rsidRPr="00597252">
              <w:t>October 2010</w:t>
            </w:r>
          </w:p>
        </w:tc>
        <w:tc>
          <w:tcPr>
            <w:tcW w:w="1546" w:type="dxa"/>
            <w:shd w:val="clear" w:color="auto" w:fill="auto"/>
          </w:tcPr>
          <w:p w14:paraId="44969E63" w14:textId="77777777" w:rsidR="008F20B3" w:rsidRPr="0064743E" w:rsidRDefault="008F20B3" w:rsidP="0012319F">
            <w:pPr>
              <w:spacing w:before="40" w:after="120" w:line="220" w:lineRule="atLeast"/>
              <w:ind w:right="113"/>
            </w:pPr>
            <w:r w:rsidRPr="00597252">
              <w:t>2016</w:t>
            </w:r>
          </w:p>
        </w:tc>
        <w:tc>
          <w:tcPr>
            <w:tcW w:w="1877" w:type="dxa"/>
            <w:shd w:val="clear" w:color="auto" w:fill="auto"/>
          </w:tcPr>
          <w:p w14:paraId="614726A9" w14:textId="56A74C02" w:rsidR="008F20B3" w:rsidRPr="0064743E" w:rsidRDefault="0089383F" w:rsidP="0012319F">
            <w:pPr>
              <w:spacing w:before="40" w:after="120" w:line="220" w:lineRule="atLeast"/>
              <w:ind w:right="113"/>
            </w:pPr>
            <w:r>
              <w:t>–</w:t>
            </w:r>
          </w:p>
        </w:tc>
        <w:tc>
          <w:tcPr>
            <w:tcW w:w="2788" w:type="dxa"/>
            <w:shd w:val="clear" w:color="auto" w:fill="auto"/>
          </w:tcPr>
          <w:p w14:paraId="01A3146A" w14:textId="1D321619" w:rsidR="008F20B3" w:rsidRPr="0064743E" w:rsidRDefault="000A7CC0" w:rsidP="0012319F">
            <w:pPr>
              <w:spacing w:before="40" w:after="120" w:line="220" w:lineRule="atLeast"/>
              <w:ind w:right="113"/>
            </w:pPr>
            <w:r>
              <w:t xml:space="preserve">Combined fifth to sixth </w:t>
            </w:r>
            <w:r w:rsidR="008F20B3" w:rsidRPr="00597252">
              <w:t>reports pending consideration in 2018</w:t>
            </w:r>
          </w:p>
        </w:tc>
      </w:tr>
      <w:tr w:rsidR="008F20B3" w:rsidRPr="0064743E" w14:paraId="7C89FB18" w14:textId="77777777" w:rsidTr="00EE744E">
        <w:tc>
          <w:tcPr>
            <w:tcW w:w="1769" w:type="dxa"/>
            <w:shd w:val="clear" w:color="auto" w:fill="auto"/>
          </w:tcPr>
          <w:p w14:paraId="4C76163F" w14:textId="709A6949" w:rsidR="008F20B3" w:rsidRPr="0064743E" w:rsidRDefault="008F20B3" w:rsidP="0012319F">
            <w:pPr>
              <w:spacing w:before="40" w:after="120" w:line="220" w:lineRule="atLeast"/>
              <w:ind w:right="113"/>
            </w:pPr>
            <w:r>
              <w:t>ICRMW</w:t>
            </w:r>
          </w:p>
        </w:tc>
        <w:tc>
          <w:tcPr>
            <w:tcW w:w="1659" w:type="dxa"/>
            <w:shd w:val="clear" w:color="auto" w:fill="auto"/>
          </w:tcPr>
          <w:p w14:paraId="6940535D" w14:textId="77777777" w:rsidR="008F20B3" w:rsidRPr="0064743E" w:rsidRDefault="008F20B3" w:rsidP="0012319F">
            <w:pPr>
              <w:spacing w:before="40" w:after="120" w:line="220" w:lineRule="atLeast"/>
              <w:ind w:right="113"/>
            </w:pPr>
            <w:r w:rsidRPr="00597252">
              <w:t>September 2011</w:t>
            </w:r>
          </w:p>
        </w:tc>
        <w:tc>
          <w:tcPr>
            <w:tcW w:w="1546" w:type="dxa"/>
            <w:shd w:val="clear" w:color="auto" w:fill="auto"/>
          </w:tcPr>
          <w:p w14:paraId="63CB06E0" w14:textId="286D5C74" w:rsidR="008F20B3" w:rsidRPr="0064743E" w:rsidRDefault="0089383F" w:rsidP="0012319F">
            <w:pPr>
              <w:spacing w:before="40" w:after="120" w:line="220" w:lineRule="atLeast"/>
              <w:ind w:right="113"/>
            </w:pPr>
            <w:r>
              <w:t>–</w:t>
            </w:r>
          </w:p>
        </w:tc>
        <w:tc>
          <w:tcPr>
            <w:tcW w:w="1877" w:type="dxa"/>
            <w:shd w:val="clear" w:color="auto" w:fill="auto"/>
          </w:tcPr>
          <w:p w14:paraId="7ED3B562" w14:textId="267AD4ED" w:rsidR="008F20B3" w:rsidRPr="0064743E" w:rsidRDefault="0089383F" w:rsidP="0012319F">
            <w:pPr>
              <w:spacing w:before="40" w:after="120" w:line="220" w:lineRule="atLeast"/>
              <w:ind w:right="113"/>
            </w:pPr>
            <w:r>
              <w:t>–</w:t>
            </w:r>
          </w:p>
        </w:tc>
        <w:tc>
          <w:tcPr>
            <w:tcW w:w="2788" w:type="dxa"/>
            <w:shd w:val="clear" w:color="auto" w:fill="auto"/>
          </w:tcPr>
          <w:p w14:paraId="1AE27407" w14:textId="77777777" w:rsidR="008F20B3" w:rsidRPr="0064743E" w:rsidRDefault="008F20B3" w:rsidP="0012319F">
            <w:pPr>
              <w:spacing w:before="40" w:after="120" w:line="220" w:lineRule="atLeast"/>
              <w:ind w:right="113"/>
            </w:pPr>
            <w:r w:rsidRPr="00597252">
              <w:t>Second periodic report overdue since 2016</w:t>
            </w:r>
          </w:p>
        </w:tc>
      </w:tr>
      <w:tr w:rsidR="008F20B3" w:rsidRPr="0064743E" w14:paraId="3F9718BF" w14:textId="77777777" w:rsidTr="00EE744E">
        <w:tc>
          <w:tcPr>
            <w:tcW w:w="1769" w:type="dxa"/>
            <w:shd w:val="clear" w:color="auto" w:fill="auto"/>
          </w:tcPr>
          <w:p w14:paraId="4DC5FEF2" w14:textId="484BF929" w:rsidR="008F20B3" w:rsidRPr="0064743E" w:rsidRDefault="00EE744E" w:rsidP="0012319F">
            <w:pPr>
              <w:spacing w:before="40" w:after="120" w:line="220" w:lineRule="atLeast"/>
              <w:ind w:right="113"/>
            </w:pPr>
            <w:r>
              <w:t>CRPD</w:t>
            </w:r>
          </w:p>
        </w:tc>
        <w:tc>
          <w:tcPr>
            <w:tcW w:w="1659" w:type="dxa"/>
            <w:shd w:val="clear" w:color="auto" w:fill="auto"/>
          </w:tcPr>
          <w:p w14:paraId="3FD25DC2" w14:textId="2DBF3D10" w:rsidR="008F20B3" w:rsidRPr="0064743E" w:rsidRDefault="0089383F" w:rsidP="0012319F">
            <w:pPr>
              <w:spacing w:before="40" w:after="120" w:line="220" w:lineRule="atLeast"/>
              <w:ind w:right="113"/>
            </w:pPr>
            <w:r>
              <w:t>–</w:t>
            </w:r>
          </w:p>
        </w:tc>
        <w:tc>
          <w:tcPr>
            <w:tcW w:w="1546" w:type="dxa"/>
            <w:shd w:val="clear" w:color="auto" w:fill="auto"/>
          </w:tcPr>
          <w:p w14:paraId="0463BF23" w14:textId="77777777" w:rsidR="008F20B3" w:rsidRPr="0064743E" w:rsidRDefault="008F20B3" w:rsidP="0012319F">
            <w:pPr>
              <w:spacing w:before="40" w:after="120" w:line="220" w:lineRule="atLeast"/>
              <w:ind w:right="113"/>
            </w:pPr>
            <w:r w:rsidRPr="00597252">
              <w:t>2013</w:t>
            </w:r>
          </w:p>
        </w:tc>
        <w:tc>
          <w:tcPr>
            <w:tcW w:w="1877" w:type="dxa"/>
            <w:shd w:val="clear" w:color="auto" w:fill="auto"/>
          </w:tcPr>
          <w:p w14:paraId="01A84529" w14:textId="77777777" w:rsidR="008F20B3" w:rsidRPr="0064743E" w:rsidRDefault="008F20B3" w:rsidP="0012319F">
            <w:pPr>
              <w:spacing w:before="40" w:after="120" w:line="220" w:lineRule="atLeast"/>
              <w:ind w:right="113"/>
            </w:pPr>
            <w:r w:rsidRPr="00597252">
              <w:t>August 2016</w:t>
            </w:r>
          </w:p>
        </w:tc>
        <w:tc>
          <w:tcPr>
            <w:tcW w:w="2788" w:type="dxa"/>
            <w:shd w:val="clear" w:color="auto" w:fill="auto"/>
          </w:tcPr>
          <w:p w14:paraId="2F71E626" w14:textId="77777777" w:rsidR="008F20B3" w:rsidRPr="0064743E" w:rsidRDefault="008F20B3" w:rsidP="0012319F">
            <w:pPr>
              <w:spacing w:before="40" w:after="120" w:line="220" w:lineRule="atLeast"/>
              <w:ind w:right="113"/>
            </w:pPr>
            <w:r w:rsidRPr="00597252">
              <w:t xml:space="preserve">Combined second to fourth </w:t>
            </w:r>
            <w:r w:rsidRPr="00E57E70">
              <w:rPr>
                <w:vertAlign w:val="superscript"/>
              </w:rPr>
              <w:t>h</w:t>
            </w:r>
            <w:r w:rsidRPr="00597252">
              <w:t xml:space="preserve"> reports due in 2023</w:t>
            </w:r>
          </w:p>
        </w:tc>
      </w:tr>
    </w:tbl>
    <w:p w14:paraId="397876FE" w14:textId="67FEF152" w:rsidR="00A02BFB" w:rsidRPr="002E646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Style w:val="TableGrid"/>
        <w:tblW w:w="9637" w:type="dxa"/>
        <w:tblBorders>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13F38EA" w14:textId="77777777" w:rsidTr="00A02BFB">
        <w:tc>
          <w:tcPr>
            <w:tcW w:w="2409" w:type="dxa"/>
            <w:tcBorders>
              <w:top w:val="single" w:sz="4" w:space="0" w:color="auto"/>
              <w:bottom w:val="single" w:sz="12" w:space="0" w:color="auto"/>
            </w:tcBorders>
            <w:shd w:val="clear" w:color="auto" w:fill="auto"/>
            <w:vAlign w:val="bottom"/>
          </w:tcPr>
          <w:p w14:paraId="68BC287D" w14:textId="77777777" w:rsidR="00A02BFB" w:rsidRPr="00A02BFB" w:rsidRDefault="00A02BFB" w:rsidP="00A02BFB">
            <w:pPr>
              <w:spacing w:before="80" w:after="80" w:line="200" w:lineRule="exact"/>
              <w:ind w:right="113"/>
              <w:rPr>
                <w:i/>
                <w:sz w:val="16"/>
                <w:szCs w:val="16"/>
              </w:rPr>
            </w:pPr>
            <w:r w:rsidRPr="00A02BFB">
              <w:rPr>
                <w:i/>
                <w:sz w:val="16"/>
                <w:szCs w:val="16"/>
              </w:rPr>
              <w:t>Treaty body</w:t>
            </w:r>
          </w:p>
        </w:tc>
        <w:tc>
          <w:tcPr>
            <w:tcW w:w="2409" w:type="dxa"/>
            <w:tcBorders>
              <w:top w:val="single" w:sz="4" w:space="0" w:color="auto"/>
              <w:bottom w:val="single" w:sz="12" w:space="0" w:color="auto"/>
            </w:tcBorders>
            <w:shd w:val="clear" w:color="auto" w:fill="auto"/>
            <w:vAlign w:val="bottom"/>
          </w:tcPr>
          <w:p w14:paraId="156A44D0" w14:textId="77777777" w:rsidR="00A02BFB" w:rsidRPr="00A02BFB" w:rsidRDefault="00A02BFB" w:rsidP="00A02BFB">
            <w:pPr>
              <w:spacing w:before="80" w:after="80" w:line="200" w:lineRule="exact"/>
              <w:ind w:right="113"/>
              <w:rPr>
                <w:i/>
                <w:sz w:val="16"/>
              </w:rPr>
            </w:pPr>
            <w:r w:rsidRPr="00A02BFB">
              <w:rPr>
                <w:i/>
                <w:sz w:val="16"/>
              </w:rPr>
              <w:t>Due in</w:t>
            </w:r>
          </w:p>
        </w:tc>
        <w:tc>
          <w:tcPr>
            <w:tcW w:w="2409" w:type="dxa"/>
            <w:tcBorders>
              <w:top w:val="single" w:sz="4" w:space="0" w:color="auto"/>
              <w:bottom w:val="single" w:sz="12" w:space="0" w:color="auto"/>
            </w:tcBorders>
            <w:shd w:val="clear" w:color="auto" w:fill="auto"/>
            <w:vAlign w:val="bottom"/>
          </w:tcPr>
          <w:p w14:paraId="28DEADA4" w14:textId="77777777" w:rsidR="00A02BFB" w:rsidRPr="00A02BFB" w:rsidRDefault="00A02BFB" w:rsidP="00A02BFB">
            <w:pPr>
              <w:spacing w:before="80" w:after="80" w:line="200" w:lineRule="exact"/>
              <w:ind w:right="113"/>
              <w:rPr>
                <w:i/>
                <w:sz w:val="16"/>
              </w:rPr>
            </w:pPr>
            <w:r w:rsidRPr="00A02BFB">
              <w:rPr>
                <w:i/>
                <w:sz w:val="16"/>
              </w:rPr>
              <w:t>Subject matter</w:t>
            </w:r>
          </w:p>
        </w:tc>
        <w:tc>
          <w:tcPr>
            <w:tcW w:w="2410" w:type="dxa"/>
            <w:tcBorders>
              <w:top w:val="single" w:sz="4" w:space="0" w:color="auto"/>
              <w:bottom w:val="single" w:sz="12" w:space="0" w:color="auto"/>
            </w:tcBorders>
            <w:shd w:val="clear" w:color="auto" w:fill="auto"/>
            <w:vAlign w:val="bottom"/>
          </w:tcPr>
          <w:p w14:paraId="01B82A66" w14:textId="77777777" w:rsidR="00A02BFB" w:rsidRPr="00A02BFB" w:rsidRDefault="00A02BFB" w:rsidP="00A02BFB">
            <w:pPr>
              <w:spacing w:before="80" w:after="80" w:line="200" w:lineRule="exact"/>
              <w:ind w:right="113"/>
              <w:rPr>
                <w:i/>
                <w:sz w:val="16"/>
              </w:rPr>
            </w:pPr>
            <w:r w:rsidRPr="00A02BFB">
              <w:rPr>
                <w:i/>
                <w:sz w:val="16"/>
              </w:rPr>
              <w:t>Submitted in</w:t>
            </w:r>
          </w:p>
        </w:tc>
      </w:tr>
      <w:tr w:rsidR="001D159C" w:rsidRPr="00A02BFB" w14:paraId="0C0B8918" w14:textId="77777777" w:rsidTr="00AC390C">
        <w:tc>
          <w:tcPr>
            <w:tcW w:w="2409" w:type="dxa"/>
            <w:tcBorders>
              <w:top w:val="nil"/>
              <w:bottom w:val="nil"/>
            </w:tcBorders>
            <w:shd w:val="clear" w:color="auto" w:fill="auto"/>
          </w:tcPr>
          <w:p w14:paraId="7E449E39" w14:textId="0EF4AA24" w:rsidR="001D159C" w:rsidRPr="00A02BFB" w:rsidRDefault="0048016B" w:rsidP="0048016B">
            <w:pPr>
              <w:spacing w:before="40" w:after="120"/>
              <w:ind w:right="113"/>
            </w:pPr>
            <w:r>
              <w:t>CERD</w:t>
            </w:r>
          </w:p>
        </w:tc>
        <w:tc>
          <w:tcPr>
            <w:tcW w:w="2409" w:type="dxa"/>
            <w:tcBorders>
              <w:top w:val="nil"/>
              <w:bottom w:val="nil"/>
            </w:tcBorders>
            <w:shd w:val="clear" w:color="auto" w:fill="auto"/>
          </w:tcPr>
          <w:p w14:paraId="2976D99C" w14:textId="3AFA100F" w:rsidR="001D159C" w:rsidRPr="00A02BFB" w:rsidRDefault="001D159C" w:rsidP="001D159C">
            <w:pPr>
              <w:spacing w:before="80" w:after="80" w:line="200" w:lineRule="exact"/>
              <w:ind w:right="113"/>
              <w:rPr>
                <w:i/>
                <w:sz w:val="16"/>
              </w:rPr>
            </w:pPr>
            <w:r w:rsidRPr="00977923">
              <w:t>2016</w:t>
            </w:r>
          </w:p>
        </w:tc>
        <w:tc>
          <w:tcPr>
            <w:tcW w:w="2409" w:type="dxa"/>
            <w:tcBorders>
              <w:top w:val="nil"/>
              <w:bottom w:val="nil"/>
            </w:tcBorders>
            <w:shd w:val="clear" w:color="auto" w:fill="auto"/>
          </w:tcPr>
          <w:p w14:paraId="4F86F489" w14:textId="5ABEC0B7" w:rsidR="001D159C" w:rsidRPr="00A02BFB" w:rsidRDefault="001D159C" w:rsidP="002B7883">
            <w:pPr>
              <w:spacing w:before="80" w:after="80" w:line="200" w:lineRule="exact"/>
              <w:ind w:right="113"/>
              <w:rPr>
                <w:i/>
                <w:sz w:val="16"/>
              </w:rPr>
            </w:pPr>
            <w:r w:rsidRPr="00977923">
              <w:rPr>
                <w:bCs/>
              </w:rPr>
              <w:t>To give priority to the gender-based approach and take fully into account the principle of self-identification when conducting the census and compile statistical data on the population of African descent; Participation of indigenous and Afro-descendent persons in political life.</w:t>
            </w:r>
            <w:r w:rsidR="002B7883">
              <w:rPr>
                <w:rStyle w:val="EndnoteReference"/>
                <w:bCs/>
              </w:rPr>
              <w:endnoteReference w:id="13"/>
            </w:r>
          </w:p>
        </w:tc>
        <w:tc>
          <w:tcPr>
            <w:tcW w:w="2410" w:type="dxa"/>
            <w:tcBorders>
              <w:top w:val="nil"/>
              <w:bottom w:val="nil"/>
            </w:tcBorders>
            <w:shd w:val="clear" w:color="auto" w:fill="auto"/>
          </w:tcPr>
          <w:p w14:paraId="076014D3" w14:textId="787ED6E8" w:rsidR="001D159C" w:rsidRPr="00A02BFB" w:rsidRDefault="001D159C" w:rsidP="007C5B22">
            <w:pPr>
              <w:spacing w:before="80" w:after="80" w:line="200" w:lineRule="exact"/>
              <w:ind w:right="113"/>
              <w:rPr>
                <w:i/>
                <w:sz w:val="16"/>
              </w:rPr>
            </w:pPr>
            <w:r w:rsidRPr="00977923">
              <w:t>2016.</w:t>
            </w:r>
            <w:r w:rsidR="007C1466">
              <w:rPr>
                <w:rStyle w:val="EndnoteReference"/>
              </w:rPr>
              <w:endnoteReference w:id="14"/>
            </w:r>
            <w:r w:rsidRPr="00977923">
              <w:t xml:space="preserve"> Ongoing dialogue.</w:t>
            </w:r>
            <w:r w:rsidR="00CE7C13">
              <w:rPr>
                <w:rStyle w:val="EndnoteReference"/>
              </w:rPr>
              <w:endnoteReference w:id="15"/>
            </w:r>
          </w:p>
        </w:tc>
      </w:tr>
      <w:tr w:rsidR="001D159C" w:rsidRPr="00A02BFB" w14:paraId="3C42B3D6" w14:textId="77777777" w:rsidTr="00AC390C">
        <w:tc>
          <w:tcPr>
            <w:tcW w:w="2409" w:type="dxa"/>
            <w:tcBorders>
              <w:top w:val="nil"/>
              <w:bottom w:val="nil"/>
            </w:tcBorders>
            <w:shd w:val="clear" w:color="auto" w:fill="auto"/>
          </w:tcPr>
          <w:p w14:paraId="3197182A" w14:textId="132ABBDB" w:rsidR="001D159C" w:rsidRPr="00A02BFB" w:rsidRDefault="0048016B" w:rsidP="0048016B">
            <w:pPr>
              <w:spacing w:before="40" w:after="120"/>
              <w:ind w:right="113"/>
            </w:pPr>
            <w:r>
              <w:t>HR</w:t>
            </w:r>
            <w:r w:rsidR="001D159C" w:rsidRPr="00977923">
              <w:t xml:space="preserve"> Committee</w:t>
            </w:r>
          </w:p>
        </w:tc>
        <w:tc>
          <w:tcPr>
            <w:tcW w:w="2409" w:type="dxa"/>
            <w:tcBorders>
              <w:top w:val="nil"/>
              <w:bottom w:val="nil"/>
            </w:tcBorders>
            <w:shd w:val="clear" w:color="auto" w:fill="auto"/>
          </w:tcPr>
          <w:p w14:paraId="0C86D0D0" w14:textId="05AFEE8E" w:rsidR="001D159C" w:rsidRPr="0048016B" w:rsidRDefault="001D159C" w:rsidP="0048016B">
            <w:pPr>
              <w:spacing w:before="40" w:after="120"/>
              <w:ind w:right="113"/>
            </w:pPr>
            <w:r w:rsidRPr="00977923">
              <w:t>2013</w:t>
            </w:r>
          </w:p>
        </w:tc>
        <w:tc>
          <w:tcPr>
            <w:tcW w:w="2409" w:type="dxa"/>
            <w:tcBorders>
              <w:top w:val="nil"/>
              <w:bottom w:val="nil"/>
            </w:tcBorders>
            <w:shd w:val="clear" w:color="auto" w:fill="auto"/>
          </w:tcPr>
          <w:p w14:paraId="2B056EF7" w14:textId="1413B7B4" w:rsidR="001D159C" w:rsidRPr="0048016B" w:rsidRDefault="001D159C" w:rsidP="00CE7C13">
            <w:pPr>
              <w:spacing w:before="40" w:after="120"/>
              <w:ind w:right="113"/>
              <w:rPr>
                <w:b/>
                <w:bCs/>
              </w:rPr>
            </w:pPr>
            <w:r w:rsidRPr="00977923">
              <w:rPr>
                <w:bCs/>
              </w:rPr>
              <w:t>To ensure that the reparations measures adopted under the National Reparations Programme systematically include comprehensive care with cultural and linguistic relevance, with a focus on psychosocial support, restoration of dignity and recovery of historical memory; to investigate the whereabouts of disappeared persons and facilitate the mechanisms for truth and reparation for victims of forced disappearances; to provide effective protection for human</w:t>
            </w:r>
            <w:r w:rsidRPr="00977923">
              <w:rPr>
                <w:b/>
                <w:bCs/>
              </w:rPr>
              <w:t xml:space="preserve"> </w:t>
            </w:r>
            <w:r w:rsidRPr="00977923">
              <w:rPr>
                <w:bCs/>
              </w:rPr>
              <w:t>rights defenders</w:t>
            </w:r>
            <w:r w:rsidR="00CE7C13">
              <w:rPr>
                <w:rStyle w:val="EndnoteReference"/>
                <w:bCs/>
              </w:rPr>
              <w:endnoteReference w:id="16"/>
            </w:r>
          </w:p>
        </w:tc>
        <w:tc>
          <w:tcPr>
            <w:tcW w:w="2410" w:type="dxa"/>
            <w:tcBorders>
              <w:top w:val="nil"/>
              <w:bottom w:val="nil"/>
            </w:tcBorders>
            <w:shd w:val="clear" w:color="auto" w:fill="auto"/>
          </w:tcPr>
          <w:p w14:paraId="0A7EC470" w14:textId="1C02DD1C" w:rsidR="001D159C" w:rsidRPr="0048016B" w:rsidRDefault="001D159C" w:rsidP="007C5B22">
            <w:pPr>
              <w:spacing w:before="40" w:after="120"/>
              <w:ind w:right="113"/>
            </w:pPr>
            <w:r w:rsidRPr="00977923">
              <w:t>2013 and 2014.</w:t>
            </w:r>
            <w:r w:rsidR="00CE7C13">
              <w:rPr>
                <w:rStyle w:val="EndnoteReference"/>
              </w:rPr>
              <w:endnoteReference w:id="17"/>
            </w:r>
            <w:r w:rsidRPr="00977923">
              <w:t xml:space="preserve"> Further information requested.</w:t>
            </w:r>
            <w:r w:rsidR="007C5B22">
              <w:rPr>
                <w:rStyle w:val="EndnoteReference"/>
              </w:rPr>
              <w:endnoteReference w:id="18"/>
            </w:r>
          </w:p>
        </w:tc>
      </w:tr>
      <w:tr w:rsidR="001D159C" w:rsidRPr="00A02BFB" w14:paraId="6296B24D" w14:textId="77777777" w:rsidTr="00AC390C">
        <w:tc>
          <w:tcPr>
            <w:tcW w:w="2409" w:type="dxa"/>
            <w:tcBorders>
              <w:top w:val="nil"/>
              <w:bottom w:val="nil"/>
            </w:tcBorders>
            <w:shd w:val="clear" w:color="auto" w:fill="auto"/>
          </w:tcPr>
          <w:p w14:paraId="65F9E697" w14:textId="69A1A977" w:rsidR="001D159C" w:rsidRPr="00A02BFB" w:rsidRDefault="0048016B" w:rsidP="0048016B">
            <w:pPr>
              <w:spacing w:before="40" w:after="120"/>
              <w:ind w:right="113"/>
            </w:pPr>
            <w:r>
              <w:t>CEDAW</w:t>
            </w:r>
          </w:p>
        </w:tc>
        <w:tc>
          <w:tcPr>
            <w:tcW w:w="2409" w:type="dxa"/>
            <w:tcBorders>
              <w:top w:val="nil"/>
              <w:bottom w:val="nil"/>
            </w:tcBorders>
            <w:shd w:val="clear" w:color="auto" w:fill="auto"/>
          </w:tcPr>
          <w:p w14:paraId="3F10247E" w14:textId="0A92DCF2" w:rsidR="001D159C" w:rsidRPr="0048016B" w:rsidRDefault="001D159C" w:rsidP="0048016B">
            <w:r w:rsidRPr="00977923">
              <w:t>2010</w:t>
            </w:r>
          </w:p>
        </w:tc>
        <w:tc>
          <w:tcPr>
            <w:tcW w:w="2409" w:type="dxa"/>
            <w:tcBorders>
              <w:top w:val="nil"/>
              <w:bottom w:val="nil"/>
            </w:tcBorders>
            <w:shd w:val="clear" w:color="auto" w:fill="auto"/>
          </w:tcPr>
          <w:p w14:paraId="6954D65B" w14:textId="36BC494E" w:rsidR="001D159C" w:rsidRPr="0048016B" w:rsidRDefault="001D159C" w:rsidP="00CE7C13">
            <w:pPr>
              <w:spacing w:before="40" w:after="120"/>
              <w:ind w:right="113"/>
              <w:rPr>
                <w:bCs/>
              </w:rPr>
            </w:pPr>
            <w:r w:rsidRPr="00977923">
              <w:rPr>
                <w:bCs/>
              </w:rPr>
              <w:t xml:space="preserve">To ensure the provision of financial resources for the implementation of the Act on </w:t>
            </w:r>
            <w:proofErr w:type="spellStart"/>
            <w:r w:rsidRPr="00977923">
              <w:rPr>
                <w:bCs/>
              </w:rPr>
              <w:t>Femicide</w:t>
            </w:r>
            <w:proofErr w:type="spellEnd"/>
            <w:r w:rsidRPr="00977923">
              <w:rPr>
                <w:bCs/>
              </w:rPr>
              <w:t xml:space="preserve"> and Other Forms of Violence against Women; to implement gender-sensitive training on </w:t>
            </w:r>
            <w:r w:rsidRPr="00977923">
              <w:rPr>
                <w:bCs/>
              </w:rPr>
              <w:lastRenderedPageBreak/>
              <w:t>violence against women for public officials, particularly law enforcement personnel, the judiciary and health-service providers; to modify social and cultural attitudes which are the root causes of most forms of violence targeting women</w:t>
            </w:r>
            <w:r w:rsidR="00CE7C13">
              <w:rPr>
                <w:rStyle w:val="EndnoteReference"/>
                <w:bCs/>
              </w:rPr>
              <w:endnoteReference w:id="19"/>
            </w:r>
          </w:p>
        </w:tc>
        <w:tc>
          <w:tcPr>
            <w:tcW w:w="2410" w:type="dxa"/>
            <w:tcBorders>
              <w:top w:val="nil"/>
              <w:bottom w:val="nil"/>
            </w:tcBorders>
            <w:shd w:val="clear" w:color="auto" w:fill="auto"/>
          </w:tcPr>
          <w:p w14:paraId="76B04011" w14:textId="0D736D86" w:rsidR="001D159C" w:rsidRPr="0048016B" w:rsidRDefault="001D159C" w:rsidP="00CE7C13">
            <w:r w:rsidRPr="00977923">
              <w:lastRenderedPageBreak/>
              <w:t>Further information requested.</w:t>
            </w:r>
            <w:r w:rsidR="00CE7C13">
              <w:rPr>
                <w:rStyle w:val="EndnoteReference"/>
              </w:rPr>
              <w:endnoteReference w:id="20"/>
            </w:r>
          </w:p>
        </w:tc>
      </w:tr>
      <w:tr w:rsidR="001D159C" w:rsidRPr="00A02BFB" w14:paraId="079A4ABD" w14:textId="77777777" w:rsidTr="006F3BB2">
        <w:tc>
          <w:tcPr>
            <w:tcW w:w="2409" w:type="dxa"/>
            <w:tcBorders>
              <w:top w:val="nil"/>
              <w:bottom w:val="nil"/>
            </w:tcBorders>
            <w:shd w:val="clear" w:color="auto" w:fill="auto"/>
          </w:tcPr>
          <w:p w14:paraId="4A4323FD" w14:textId="27CE4E41" w:rsidR="0048016B" w:rsidRPr="00A02BFB" w:rsidRDefault="0048016B" w:rsidP="0048016B">
            <w:pPr>
              <w:spacing w:before="40" w:after="240"/>
              <w:ind w:right="113"/>
            </w:pPr>
            <w:r>
              <w:t>CAT</w:t>
            </w:r>
          </w:p>
        </w:tc>
        <w:tc>
          <w:tcPr>
            <w:tcW w:w="2409" w:type="dxa"/>
            <w:tcBorders>
              <w:top w:val="nil"/>
              <w:bottom w:val="nil"/>
            </w:tcBorders>
            <w:shd w:val="clear" w:color="auto" w:fill="auto"/>
          </w:tcPr>
          <w:p w14:paraId="0CC88FF5" w14:textId="29942544" w:rsidR="001D159C" w:rsidRPr="0048016B" w:rsidRDefault="001D159C" w:rsidP="0048016B">
            <w:r w:rsidRPr="00977923">
              <w:t>2014</w:t>
            </w:r>
          </w:p>
        </w:tc>
        <w:tc>
          <w:tcPr>
            <w:tcW w:w="2409" w:type="dxa"/>
            <w:tcBorders>
              <w:top w:val="nil"/>
              <w:bottom w:val="nil"/>
            </w:tcBorders>
            <w:shd w:val="clear" w:color="auto" w:fill="auto"/>
          </w:tcPr>
          <w:p w14:paraId="054764D4" w14:textId="15DC7F1C" w:rsidR="001D159C" w:rsidRPr="0048016B" w:rsidRDefault="001D159C" w:rsidP="00CE7C13">
            <w:pPr>
              <w:spacing w:before="40" w:after="120"/>
              <w:ind w:right="113"/>
            </w:pPr>
            <w:r w:rsidRPr="00977923">
              <w:t>To ensure or strengthen fundamental legal safeguards for detainees; conduct prompt, impartial and effective investigations; prosecute suspects and sanctioning perpetrators of torture or ill-treatment</w:t>
            </w:r>
            <w:r w:rsidR="00CE7C13">
              <w:rPr>
                <w:rStyle w:val="EndnoteReference"/>
              </w:rPr>
              <w:endnoteReference w:id="21"/>
            </w:r>
          </w:p>
        </w:tc>
        <w:tc>
          <w:tcPr>
            <w:tcW w:w="2410" w:type="dxa"/>
            <w:tcBorders>
              <w:top w:val="nil"/>
              <w:bottom w:val="nil"/>
            </w:tcBorders>
            <w:shd w:val="clear" w:color="auto" w:fill="auto"/>
          </w:tcPr>
          <w:p w14:paraId="1EF3BCAF" w14:textId="1186A699" w:rsidR="001D159C" w:rsidRPr="0048016B" w:rsidRDefault="001D159C" w:rsidP="00547144">
            <w:r w:rsidRPr="00977923">
              <w:t>2014.</w:t>
            </w:r>
            <w:r w:rsidR="00547144">
              <w:rPr>
                <w:rStyle w:val="EndnoteReference"/>
              </w:rPr>
              <w:endnoteReference w:id="22"/>
            </w:r>
            <w:r w:rsidRPr="00977923">
              <w:t xml:space="preserve"> Further information requested.</w:t>
            </w:r>
            <w:r w:rsidR="00CE7C13">
              <w:rPr>
                <w:rStyle w:val="EndnoteReference"/>
              </w:rPr>
              <w:endnoteReference w:id="23"/>
            </w:r>
          </w:p>
        </w:tc>
      </w:tr>
      <w:tr w:rsidR="001D159C" w:rsidRPr="00A02BFB" w14:paraId="7B23FFF5" w14:textId="77777777" w:rsidTr="006F3BB2">
        <w:tc>
          <w:tcPr>
            <w:tcW w:w="2409" w:type="dxa"/>
            <w:tcBorders>
              <w:top w:val="nil"/>
              <w:bottom w:val="single" w:sz="12" w:space="0" w:color="auto"/>
            </w:tcBorders>
            <w:shd w:val="clear" w:color="auto" w:fill="auto"/>
          </w:tcPr>
          <w:p w14:paraId="4531DAE0" w14:textId="1CA2DF73" w:rsidR="001D159C" w:rsidRPr="00A02BFB" w:rsidRDefault="0048016B" w:rsidP="001D159C">
            <w:pPr>
              <w:spacing w:before="80" w:after="80" w:line="200" w:lineRule="exact"/>
              <w:ind w:right="113"/>
            </w:pPr>
            <w:r>
              <w:t>CRPD</w:t>
            </w:r>
          </w:p>
        </w:tc>
        <w:tc>
          <w:tcPr>
            <w:tcW w:w="2409" w:type="dxa"/>
            <w:tcBorders>
              <w:top w:val="nil"/>
              <w:bottom w:val="single" w:sz="12" w:space="0" w:color="auto"/>
            </w:tcBorders>
            <w:shd w:val="clear" w:color="auto" w:fill="auto"/>
          </w:tcPr>
          <w:p w14:paraId="24A68F48" w14:textId="290FEB07" w:rsidR="001D159C" w:rsidRPr="0048016B" w:rsidRDefault="001D159C" w:rsidP="0048016B">
            <w:r w:rsidRPr="00977923">
              <w:t>2017</w:t>
            </w:r>
          </w:p>
        </w:tc>
        <w:tc>
          <w:tcPr>
            <w:tcW w:w="2409" w:type="dxa"/>
            <w:tcBorders>
              <w:top w:val="nil"/>
              <w:bottom w:val="single" w:sz="12" w:space="0" w:color="auto"/>
            </w:tcBorders>
            <w:shd w:val="clear" w:color="auto" w:fill="auto"/>
          </w:tcPr>
          <w:p w14:paraId="24D370B5" w14:textId="77759D51" w:rsidR="001D159C" w:rsidRPr="00A02BFB" w:rsidRDefault="001D159C" w:rsidP="00CE7C13">
            <w:pPr>
              <w:spacing w:before="80" w:after="80" w:line="200" w:lineRule="exact"/>
              <w:ind w:right="113"/>
              <w:rPr>
                <w:i/>
                <w:sz w:val="16"/>
              </w:rPr>
            </w:pPr>
            <w:r w:rsidRPr="00977923">
              <w:t xml:space="preserve">To </w:t>
            </w:r>
            <w:r w:rsidRPr="00977923">
              <w:rPr>
                <w:bCs/>
              </w:rPr>
              <w:t>expedite the process of approval of Framework Bill No. 5125 on disability; draw up a strategy for the deinstitutionalization of persons with disabilities and allocate sufficient resources to the development of local community support services, including personal assistance, to enable all persons with disabilities, regardless of disability, gender or age, to choose freely with whom, where and in what living arrangement they wish to live</w:t>
            </w:r>
            <w:r w:rsidR="00CE7C13">
              <w:rPr>
                <w:rStyle w:val="EndnoteReference"/>
                <w:bCs/>
              </w:rPr>
              <w:endnoteReference w:id="24"/>
            </w:r>
          </w:p>
        </w:tc>
        <w:tc>
          <w:tcPr>
            <w:tcW w:w="2410" w:type="dxa"/>
            <w:tcBorders>
              <w:top w:val="nil"/>
              <w:bottom w:val="single" w:sz="12" w:space="0" w:color="auto"/>
            </w:tcBorders>
            <w:shd w:val="clear" w:color="auto" w:fill="auto"/>
          </w:tcPr>
          <w:p w14:paraId="5E97A864" w14:textId="2EFB4376" w:rsidR="001D159C" w:rsidRPr="00A02BFB" w:rsidRDefault="00283647" w:rsidP="001D159C">
            <w:pPr>
              <w:spacing w:before="80" w:after="80" w:line="200" w:lineRule="exact"/>
              <w:ind w:right="113"/>
              <w:rPr>
                <w:i/>
                <w:sz w:val="16"/>
              </w:rPr>
            </w:pPr>
            <w:r>
              <w:t>–</w:t>
            </w:r>
          </w:p>
        </w:tc>
      </w:tr>
    </w:tbl>
    <w:p w14:paraId="0DE8B188" w14:textId="42C58F2F" w:rsidR="00A02BFB" w:rsidRDefault="00A02BFB" w:rsidP="00676C10">
      <w:pPr>
        <w:pStyle w:val="H1G"/>
      </w:pPr>
      <w:r w:rsidRPr="00A02BFB">
        <w:tab/>
        <w:t>B.</w:t>
      </w:r>
      <w:r w:rsidRPr="00A02BFB">
        <w:tab/>
        <w:t>Cooperation with special procedures</w:t>
      </w:r>
      <w:r w:rsidRPr="00AA643E">
        <w:rPr>
          <w:b w:val="0"/>
          <w:sz w:val="18"/>
          <w:szCs w:val="18"/>
          <w:vertAlign w:val="superscript"/>
        </w:rPr>
        <w:endnoteReference w:id="25"/>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1607"/>
        <w:gridCol w:w="1606"/>
        <w:gridCol w:w="3213"/>
      </w:tblGrid>
      <w:tr w:rsidR="009E78E3" w:rsidRPr="009E78E3" w14:paraId="202F1670" w14:textId="77777777" w:rsidTr="009D3FA1">
        <w:tc>
          <w:tcPr>
            <w:tcW w:w="3211" w:type="dxa"/>
            <w:tcBorders>
              <w:top w:val="single" w:sz="4" w:space="0" w:color="auto"/>
              <w:bottom w:val="single" w:sz="12" w:space="0" w:color="auto"/>
            </w:tcBorders>
            <w:shd w:val="clear" w:color="auto" w:fill="auto"/>
            <w:vAlign w:val="bottom"/>
          </w:tcPr>
          <w:p w14:paraId="796D1794" w14:textId="77777777" w:rsidR="009E78E3" w:rsidRPr="009E78E3" w:rsidRDefault="009E78E3" w:rsidP="009E78E3">
            <w:pPr>
              <w:spacing w:before="80" w:after="80" w:line="200" w:lineRule="exact"/>
              <w:ind w:right="113"/>
              <w:rPr>
                <w:i/>
                <w:sz w:val="16"/>
              </w:rPr>
            </w:pPr>
          </w:p>
        </w:tc>
        <w:tc>
          <w:tcPr>
            <w:tcW w:w="3213" w:type="dxa"/>
            <w:gridSpan w:val="2"/>
            <w:tcBorders>
              <w:top w:val="single" w:sz="4" w:space="0" w:color="auto"/>
              <w:bottom w:val="single" w:sz="12" w:space="0" w:color="auto"/>
            </w:tcBorders>
            <w:shd w:val="clear" w:color="auto" w:fill="auto"/>
            <w:vAlign w:val="bottom"/>
          </w:tcPr>
          <w:p w14:paraId="692E8C6A" w14:textId="386F4E04" w:rsidR="009E78E3" w:rsidRPr="009E78E3" w:rsidRDefault="009E78E3" w:rsidP="009E78E3">
            <w:pPr>
              <w:spacing w:before="80" w:after="80" w:line="200" w:lineRule="exact"/>
              <w:ind w:right="113"/>
              <w:rPr>
                <w:i/>
                <w:sz w:val="16"/>
              </w:rPr>
            </w:pPr>
            <w:r>
              <w:rPr>
                <w:i/>
                <w:sz w:val="16"/>
              </w:rPr>
              <w:t>Status during previous cycle</w:t>
            </w:r>
          </w:p>
        </w:tc>
        <w:tc>
          <w:tcPr>
            <w:tcW w:w="3213" w:type="dxa"/>
            <w:tcBorders>
              <w:top w:val="single" w:sz="4" w:space="0" w:color="auto"/>
              <w:bottom w:val="single" w:sz="12" w:space="0" w:color="auto"/>
            </w:tcBorders>
            <w:shd w:val="clear" w:color="auto" w:fill="auto"/>
            <w:vAlign w:val="bottom"/>
          </w:tcPr>
          <w:p w14:paraId="39CD9DE4" w14:textId="4788204C" w:rsidR="009E78E3" w:rsidRPr="009E78E3" w:rsidRDefault="009E78E3" w:rsidP="009E78E3">
            <w:pPr>
              <w:spacing w:before="80" w:after="80" w:line="200" w:lineRule="exact"/>
              <w:ind w:right="113"/>
              <w:rPr>
                <w:i/>
                <w:sz w:val="16"/>
              </w:rPr>
            </w:pPr>
            <w:r>
              <w:rPr>
                <w:i/>
                <w:sz w:val="16"/>
              </w:rPr>
              <w:t>Current status</w:t>
            </w:r>
          </w:p>
        </w:tc>
      </w:tr>
      <w:tr w:rsidR="009E78E3" w:rsidRPr="009E78E3" w14:paraId="624CE123" w14:textId="77777777" w:rsidTr="009D3FA1">
        <w:trPr>
          <w:trHeight w:hRule="exact" w:val="113"/>
        </w:trPr>
        <w:tc>
          <w:tcPr>
            <w:tcW w:w="3211" w:type="dxa"/>
            <w:tcBorders>
              <w:top w:val="single" w:sz="12" w:space="0" w:color="auto"/>
            </w:tcBorders>
            <w:shd w:val="clear" w:color="auto" w:fill="auto"/>
            <w:vAlign w:val="bottom"/>
          </w:tcPr>
          <w:p w14:paraId="2332F77A" w14:textId="77777777" w:rsidR="009E78E3" w:rsidRPr="009E78E3" w:rsidRDefault="009E78E3" w:rsidP="009E78E3">
            <w:pPr>
              <w:spacing w:before="80" w:after="80" w:line="200" w:lineRule="exact"/>
              <w:ind w:right="113"/>
              <w:rPr>
                <w:i/>
                <w:sz w:val="16"/>
              </w:rPr>
            </w:pPr>
          </w:p>
        </w:tc>
        <w:tc>
          <w:tcPr>
            <w:tcW w:w="3213" w:type="dxa"/>
            <w:gridSpan w:val="2"/>
            <w:tcBorders>
              <w:top w:val="single" w:sz="12" w:space="0" w:color="auto"/>
            </w:tcBorders>
            <w:shd w:val="clear" w:color="auto" w:fill="auto"/>
            <w:vAlign w:val="bottom"/>
          </w:tcPr>
          <w:p w14:paraId="754CBC43"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1BDF5858" w14:textId="77777777" w:rsidR="009E78E3" w:rsidRPr="009E78E3" w:rsidRDefault="009E78E3" w:rsidP="009E78E3">
            <w:pPr>
              <w:spacing w:before="80" w:after="80" w:line="200" w:lineRule="exact"/>
              <w:ind w:right="113"/>
              <w:rPr>
                <w:i/>
                <w:sz w:val="16"/>
              </w:rPr>
            </w:pPr>
          </w:p>
        </w:tc>
      </w:tr>
      <w:tr w:rsidR="003E33AE" w:rsidRPr="009E78E3" w14:paraId="548ACFEB" w14:textId="77777777" w:rsidTr="009D3FA1">
        <w:tc>
          <w:tcPr>
            <w:tcW w:w="3211" w:type="dxa"/>
            <w:shd w:val="clear" w:color="auto" w:fill="auto"/>
          </w:tcPr>
          <w:p w14:paraId="406A210C" w14:textId="0C33ED31" w:rsidR="003E33AE" w:rsidRPr="003E6998" w:rsidRDefault="003E33AE" w:rsidP="009E78E3">
            <w:pPr>
              <w:spacing w:before="40" w:after="120"/>
              <w:ind w:right="113"/>
              <w:rPr>
                <w:i/>
              </w:rPr>
            </w:pPr>
            <w:r w:rsidRPr="003E6998">
              <w:rPr>
                <w:i/>
              </w:rPr>
              <w:t>Standing invitations</w:t>
            </w:r>
          </w:p>
        </w:tc>
        <w:tc>
          <w:tcPr>
            <w:tcW w:w="3213" w:type="dxa"/>
            <w:gridSpan w:val="2"/>
            <w:shd w:val="clear" w:color="auto" w:fill="auto"/>
          </w:tcPr>
          <w:p w14:paraId="4282A7FE" w14:textId="1B021860" w:rsidR="003E33AE" w:rsidRPr="001C650E" w:rsidRDefault="001C650E" w:rsidP="009E78E3">
            <w:pPr>
              <w:spacing w:before="40" w:after="120"/>
              <w:ind w:right="113"/>
            </w:pPr>
            <w:r>
              <w:t>Yes</w:t>
            </w:r>
          </w:p>
        </w:tc>
        <w:tc>
          <w:tcPr>
            <w:tcW w:w="3213" w:type="dxa"/>
            <w:shd w:val="clear" w:color="auto" w:fill="auto"/>
          </w:tcPr>
          <w:p w14:paraId="2973A4ED" w14:textId="6D9458F7" w:rsidR="003E33AE" w:rsidRPr="001C650E" w:rsidRDefault="003E33AE" w:rsidP="009E78E3">
            <w:pPr>
              <w:spacing w:before="40" w:after="120"/>
              <w:ind w:right="113"/>
            </w:pPr>
            <w:r w:rsidRPr="001C650E">
              <w:t>Yes</w:t>
            </w:r>
          </w:p>
        </w:tc>
      </w:tr>
      <w:tr w:rsidR="009E78E3" w:rsidRPr="009E78E3" w14:paraId="6FA0B279" w14:textId="77777777" w:rsidTr="009D3FA1">
        <w:tc>
          <w:tcPr>
            <w:tcW w:w="3211" w:type="dxa"/>
            <w:shd w:val="clear" w:color="auto" w:fill="auto"/>
          </w:tcPr>
          <w:p w14:paraId="497C7BA9" w14:textId="76AB555D" w:rsidR="003E33AE" w:rsidRPr="003E6998" w:rsidRDefault="003E33AE" w:rsidP="009E78E3">
            <w:pPr>
              <w:spacing w:before="40" w:after="120"/>
              <w:ind w:right="113"/>
              <w:rPr>
                <w:i/>
              </w:rPr>
            </w:pPr>
            <w:r>
              <w:rPr>
                <w:i/>
              </w:rPr>
              <w:t>Visits undertaken</w:t>
            </w:r>
          </w:p>
        </w:tc>
        <w:tc>
          <w:tcPr>
            <w:tcW w:w="3213" w:type="dxa"/>
            <w:gridSpan w:val="2"/>
            <w:shd w:val="clear" w:color="auto" w:fill="auto"/>
          </w:tcPr>
          <w:p w14:paraId="3AA453A9" w14:textId="7125F5AD" w:rsidR="001C650E" w:rsidRPr="00386239" w:rsidRDefault="001C650E" w:rsidP="001C650E">
            <w:pPr>
              <w:spacing w:before="40" w:after="120" w:line="220" w:lineRule="atLeast"/>
              <w:ind w:right="113"/>
              <w:rPr>
                <w:rFonts w:eastAsiaTheme="minorHAnsi"/>
              </w:rPr>
            </w:pPr>
            <w:r w:rsidRPr="00386239">
              <w:rPr>
                <w:rFonts w:eastAsiaTheme="minorHAnsi"/>
              </w:rPr>
              <w:t xml:space="preserve">Special Rapporteur on the human rights of migrants </w:t>
            </w:r>
            <w:r w:rsidRPr="00386239">
              <w:rPr>
                <w:rFonts w:eastAsiaTheme="minorHAnsi"/>
              </w:rPr>
              <w:br/>
              <w:t>(24-28 March 2008)</w:t>
            </w:r>
          </w:p>
          <w:p w14:paraId="4D2A4AF1" w14:textId="77777777" w:rsidR="001C650E" w:rsidRPr="00386239" w:rsidRDefault="001C650E" w:rsidP="001C650E">
            <w:pPr>
              <w:spacing w:before="40" w:after="120" w:line="220" w:lineRule="atLeast"/>
              <w:ind w:right="113"/>
              <w:rPr>
                <w:rFonts w:eastAsiaTheme="minorHAnsi"/>
              </w:rPr>
            </w:pPr>
            <w:r w:rsidRPr="00386239">
              <w:rPr>
                <w:rFonts w:eastAsiaTheme="minorHAnsi"/>
              </w:rPr>
              <w:t>Special Rapporteur on education (21-28 July 2008)</w:t>
            </w:r>
          </w:p>
          <w:p w14:paraId="6A89E381" w14:textId="77777777" w:rsidR="001C650E" w:rsidRPr="00386239" w:rsidRDefault="001C650E" w:rsidP="001C650E">
            <w:pPr>
              <w:spacing w:before="40" w:after="120" w:line="220" w:lineRule="atLeast"/>
              <w:ind w:right="113"/>
              <w:rPr>
                <w:rFonts w:eastAsiaTheme="minorHAnsi"/>
              </w:rPr>
            </w:pPr>
            <w:r w:rsidRPr="00386239">
              <w:rPr>
                <w:rFonts w:eastAsiaTheme="minorHAnsi"/>
              </w:rPr>
              <w:t>Special Rapporteur on the independence of judges and lawyers (8-13 May)</w:t>
            </w:r>
          </w:p>
          <w:p w14:paraId="46E9B18A" w14:textId="77777777" w:rsidR="001C650E" w:rsidRPr="00386239" w:rsidRDefault="001C650E" w:rsidP="001C650E">
            <w:pPr>
              <w:spacing w:before="40" w:after="120" w:line="220" w:lineRule="atLeast"/>
              <w:ind w:right="113"/>
              <w:rPr>
                <w:rFonts w:eastAsiaTheme="minorHAnsi"/>
              </w:rPr>
            </w:pPr>
            <w:r w:rsidRPr="00386239">
              <w:rPr>
                <w:rFonts w:eastAsiaTheme="minorHAnsi"/>
              </w:rPr>
              <w:t>Follow up, Special Rapporteur on the right to food (3-5 September 2009)</w:t>
            </w:r>
          </w:p>
          <w:p w14:paraId="0E4CE7A2" w14:textId="77777777" w:rsidR="001C650E" w:rsidRPr="00386239" w:rsidRDefault="001C650E" w:rsidP="001C650E">
            <w:pPr>
              <w:spacing w:before="40" w:after="120" w:line="220" w:lineRule="atLeast"/>
              <w:ind w:right="113"/>
              <w:rPr>
                <w:rFonts w:eastAsiaTheme="minorHAnsi"/>
              </w:rPr>
            </w:pPr>
            <w:r w:rsidRPr="00386239">
              <w:rPr>
                <w:rFonts w:eastAsiaTheme="minorHAnsi"/>
              </w:rPr>
              <w:lastRenderedPageBreak/>
              <w:t>Special Rapporteur on the right to health (12-17 May 2010)</w:t>
            </w:r>
          </w:p>
          <w:p w14:paraId="47A0EC58" w14:textId="375EE5ED" w:rsidR="003E6998" w:rsidRPr="009E78E3" w:rsidRDefault="001C650E" w:rsidP="001C650E">
            <w:pPr>
              <w:spacing w:before="40" w:after="120"/>
              <w:ind w:right="113"/>
            </w:pPr>
            <w:r w:rsidRPr="00386239">
              <w:rPr>
                <w:rFonts w:eastAsiaTheme="minorHAnsi"/>
              </w:rPr>
              <w:t>Special Rapporteur on indigenous people (14-18 June 2010)</w:t>
            </w:r>
          </w:p>
        </w:tc>
        <w:tc>
          <w:tcPr>
            <w:tcW w:w="3213" w:type="dxa"/>
            <w:shd w:val="clear" w:color="auto" w:fill="auto"/>
          </w:tcPr>
          <w:p w14:paraId="0397BFAB" w14:textId="41A0DEB0" w:rsidR="003E6998" w:rsidRPr="001C650E" w:rsidRDefault="001C650E" w:rsidP="009E78E3">
            <w:pPr>
              <w:spacing w:before="40" w:after="120"/>
              <w:ind w:right="113"/>
            </w:pPr>
            <w:r w:rsidRPr="001C650E">
              <w:rPr>
                <w:lang w:eastAsia="en-GB"/>
              </w:rPr>
              <w:lastRenderedPageBreak/>
              <w:t>Special Rapporteur on the sale of children, child prostitution and child pornography (20-29 August 2012)</w:t>
            </w:r>
          </w:p>
        </w:tc>
      </w:tr>
      <w:tr w:rsidR="009E78E3" w:rsidRPr="009E78E3" w14:paraId="65592C34" w14:textId="77777777" w:rsidTr="009D3FA1">
        <w:tc>
          <w:tcPr>
            <w:tcW w:w="3211" w:type="dxa"/>
            <w:shd w:val="clear" w:color="auto" w:fill="auto"/>
          </w:tcPr>
          <w:p w14:paraId="02EBC45F" w14:textId="62A2D5D7" w:rsidR="009E78E3" w:rsidRPr="003E6998" w:rsidRDefault="003E6998" w:rsidP="009E78E3">
            <w:pPr>
              <w:spacing w:before="40" w:after="120"/>
              <w:ind w:right="113"/>
              <w:rPr>
                <w:i/>
              </w:rPr>
            </w:pPr>
            <w:r w:rsidRPr="003E6998">
              <w:rPr>
                <w:i/>
              </w:rPr>
              <w:t>Visits agreed to in principle</w:t>
            </w:r>
          </w:p>
        </w:tc>
        <w:tc>
          <w:tcPr>
            <w:tcW w:w="3213" w:type="dxa"/>
            <w:gridSpan w:val="2"/>
            <w:shd w:val="clear" w:color="auto" w:fill="auto"/>
          </w:tcPr>
          <w:p w14:paraId="16351438" w14:textId="77777777" w:rsidR="00D7670F" w:rsidRPr="00D7670F" w:rsidRDefault="00D7670F" w:rsidP="00450377">
            <w:pPr>
              <w:suppressAutoHyphens w:val="0"/>
              <w:spacing w:after="360" w:line="240" w:lineRule="auto"/>
              <w:rPr>
                <w:i/>
              </w:rPr>
            </w:pPr>
            <w:r w:rsidRPr="00D7670F">
              <w:rPr>
                <w:i/>
              </w:rPr>
              <w:t>Special Rapporteur on freedom of peaceful assembly and of association</w:t>
            </w:r>
          </w:p>
          <w:p w14:paraId="20D28064" w14:textId="2AEC26D7" w:rsidR="00D7670F" w:rsidRPr="00D7670F" w:rsidRDefault="00D7670F" w:rsidP="00D7670F">
            <w:pPr>
              <w:suppressAutoHyphens w:val="0"/>
              <w:spacing w:after="120" w:line="240" w:lineRule="auto"/>
              <w:rPr>
                <w:i/>
              </w:rPr>
            </w:pPr>
            <w:r w:rsidRPr="00D7670F">
              <w:rPr>
                <w:i/>
              </w:rPr>
              <w:t>Special Rapporteur on torture and other cruel, inhuman or de</w:t>
            </w:r>
            <w:r>
              <w:rPr>
                <w:i/>
              </w:rPr>
              <w:t>grading treatment or punishment</w:t>
            </w:r>
          </w:p>
          <w:p w14:paraId="29D92018" w14:textId="414D9D3A" w:rsidR="009E78E3" w:rsidRPr="009E78E3" w:rsidRDefault="00D7670F" w:rsidP="00D7670F">
            <w:pPr>
              <w:spacing w:before="40" w:after="120"/>
              <w:ind w:right="113"/>
            </w:pPr>
            <w:r w:rsidRPr="00D7670F">
              <w:rPr>
                <w:i/>
              </w:rPr>
              <w:t>Special Rapporteur on the sale of children, child prostitution and child pornography</w:t>
            </w:r>
          </w:p>
        </w:tc>
        <w:tc>
          <w:tcPr>
            <w:tcW w:w="3213" w:type="dxa"/>
            <w:shd w:val="clear" w:color="auto" w:fill="auto"/>
          </w:tcPr>
          <w:p w14:paraId="28AECC04" w14:textId="77777777" w:rsidR="00D7670F" w:rsidRPr="00D7670F" w:rsidRDefault="00D7670F" w:rsidP="00450377">
            <w:pPr>
              <w:suppressAutoHyphens w:val="0"/>
              <w:spacing w:after="120" w:line="240" w:lineRule="auto"/>
              <w:rPr>
                <w:i/>
              </w:rPr>
            </w:pPr>
            <w:r w:rsidRPr="00D7670F">
              <w:rPr>
                <w:i/>
              </w:rPr>
              <w:t xml:space="preserve">Special Rapporteur on the promotion of truth, justice, reparation and guarantees of </w:t>
            </w:r>
            <w:proofErr w:type="spellStart"/>
            <w:r w:rsidRPr="00D7670F">
              <w:rPr>
                <w:i/>
              </w:rPr>
              <w:t>non recurrence</w:t>
            </w:r>
            <w:proofErr w:type="spellEnd"/>
          </w:p>
          <w:p w14:paraId="1E0417A6" w14:textId="77777777" w:rsidR="00D7670F" w:rsidRPr="00D7670F" w:rsidRDefault="00D7670F" w:rsidP="00450377">
            <w:pPr>
              <w:suppressAutoHyphens w:val="0"/>
              <w:spacing w:after="120" w:line="240" w:lineRule="auto"/>
              <w:rPr>
                <w:i/>
              </w:rPr>
            </w:pPr>
            <w:r w:rsidRPr="00D7670F">
              <w:rPr>
                <w:i/>
              </w:rPr>
              <w:t>Special Rapporteur on the rights to freedom of peaceful assembly and association</w:t>
            </w:r>
          </w:p>
          <w:p w14:paraId="09B0F950" w14:textId="4B07FE00" w:rsidR="009E78E3" w:rsidRPr="009E78E3" w:rsidRDefault="00D7670F" w:rsidP="00D7670F">
            <w:pPr>
              <w:spacing w:before="40" w:after="120"/>
              <w:ind w:right="113"/>
            </w:pPr>
            <w:r w:rsidRPr="00D7670F">
              <w:rPr>
                <w:i/>
              </w:rPr>
              <w:t>Special Rapporteur on torture and other cruel, inhuman or degrading treatment or punishment</w:t>
            </w:r>
          </w:p>
        </w:tc>
      </w:tr>
      <w:tr w:rsidR="009E78E3" w:rsidRPr="009E78E3" w14:paraId="70615A33" w14:textId="77777777" w:rsidTr="009D3FA1">
        <w:tc>
          <w:tcPr>
            <w:tcW w:w="3211" w:type="dxa"/>
            <w:shd w:val="clear" w:color="auto" w:fill="auto"/>
          </w:tcPr>
          <w:p w14:paraId="2901C54C" w14:textId="08DAF1AF" w:rsidR="009E78E3" w:rsidRPr="003E6998" w:rsidRDefault="003E6998" w:rsidP="009E78E3">
            <w:pPr>
              <w:spacing w:before="40" w:after="120"/>
              <w:ind w:right="113"/>
              <w:rPr>
                <w:i/>
              </w:rPr>
            </w:pPr>
            <w:r w:rsidRPr="003E6998">
              <w:rPr>
                <w:i/>
              </w:rPr>
              <w:t>Visits requested</w:t>
            </w:r>
          </w:p>
        </w:tc>
        <w:tc>
          <w:tcPr>
            <w:tcW w:w="3213" w:type="dxa"/>
            <w:gridSpan w:val="2"/>
            <w:shd w:val="clear" w:color="auto" w:fill="auto"/>
          </w:tcPr>
          <w:p w14:paraId="43FAB87F" w14:textId="665EC9EB" w:rsidR="004D580A" w:rsidRPr="009F3359" w:rsidRDefault="004D580A" w:rsidP="009F3359">
            <w:pPr>
              <w:spacing w:after="120"/>
              <w:ind w:right="113"/>
              <w:rPr>
                <w:i/>
                <w:lang w:eastAsia="en-GB"/>
              </w:rPr>
            </w:pPr>
            <w:r>
              <w:rPr>
                <w:i/>
                <w:lang w:eastAsia="en-GB"/>
              </w:rPr>
              <w:t>Independent Expert on foreign debt (Requested 2008)</w:t>
            </w:r>
          </w:p>
        </w:tc>
        <w:tc>
          <w:tcPr>
            <w:tcW w:w="3213" w:type="dxa"/>
            <w:shd w:val="clear" w:color="auto" w:fill="auto"/>
          </w:tcPr>
          <w:p w14:paraId="33561F6C" w14:textId="77777777" w:rsidR="004D580A" w:rsidRPr="004D580A" w:rsidRDefault="004D580A" w:rsidP="004D580A">
            <w:pPr>
              <w:spacing w:before="40" w:after="120" w:line="220" w:lineRule="atLeast"/>
              <w:ind w:right="113"/>
              <w:rPr>
                <w:i/>
              </w:rPr>
            </w:pPr>
            <w:r w:rsidRPr="004D580A">
              <w:rPr>
                <w:i/>
              </w:rPr>
              <w:t>Independent Expert on foreign debt (Requested 2008)</w:t>
            </w:r>
          </w:p>
          <w:p w14:paraId="0A004CAD" w14:textId="77777777" w:rsidR="004D580A" w:rsidRPr="004D580A" w:rsidRDefault="004D580A" w:rsidP="004D580A">
            <w:pPr>
              <w:spacing w:before="40" w:after="120" w:line="220" w:lineRule="atLeast"/>
              <w:ind w:right="113"/>
              <w:rPr>
                <w:i/>
              </w:rPr>
            </w:pPr>
            <w:r w:rsidRPr="004D580A">
              <w:rPr>
                <w:i/>
              </w:rPr>
              <w:t>Special Rapporteur on the rights of indigenous peoples</w:t>
            </w:r>
          </w:p>
          <w:p w14:paraId="488A458A" w14:textId="77777777" w:rsidR="004D580A" w:rsidRPr="004D580A" w:rsidRDefault="004D580A" w:rsidP="004D580A">
            <w:pPr>
              <w:spacing w:before="40" w:after="120" w:line="220" w:lineRule="atLeast"/>
              <w:ind w:right="113"/>
              <w:rPr>
                <w:i/>
              </w:rPr>
            </w:pPr>
            <w:r w:rsidRPr="004D580A">
              <w:rPr>
                <w:i/>
              </w:rPr>
              <w:t>Working Group on discrimination against women in law and in practice</w:t>
            </w:r>
          </w:p>
          <w:p w14:paraId="7B9A9DEA" w14:textId="77777777" w:rsidR="004D580A" w:rsidRPr="004D580A" w:rsidRDefault="004D580A" w:rsidP="004D580A">
            <w:pPr>
              <w:spacing w:before="40" w:after="120" w:line="220" w:lineRule="atLeast"/>
              <w:ind w:right="113"/>
              <w:rPr>
                <w:i/>
              </w:rPr>
            </w:pPr>
            <w:r w:rsidRPr="004D580A">
              <w:rPr>
                <w:i/>
              </w:rPr>
              <w:t>Working Group on the issue of human rights and transnational corporations and other business enterprises</w:t>
            </w:r>
          </w:p>
          <w:p w14:paraId="0484A958" w14:textId="75A91197" w:rsidR="003E6998" w:rsidRPr="009D3FA1" w:rsidRDefault="004D580A" w:rsidP="004D580A">
            <w:pPr>
              <w:ind w:right="113"/>
              <w:rPr>
                <w:i/>
                <w:highlight w:val="yellow"/>
              </w:rPr>
            </w:pPr>
            <w:r w:rsidRPr="004D580A">
              <w:rPr>
                <w:i/>
              </w:rPr>
              <w:t>Working Group on the use of mercenaries as a means of violating human rights and impeding the exercise of the right of peoples to self-determination</w:t>
            </w:r>
          </w:p>
        </w:tc>
      </w:tr>
      <w:tr w:rsidR="009D3FA1" w:rsidRPr="009D3FA1" w14:paraId="31B3C578" w14:textId="77777777" w:rsidTr="00F515F9">
        <w:trPr>
          <w:trHeight w:hRule="exact" w:val="113"/>
        </w:trPr>
        <w:tc>
          <w:tcPr>
            <w:tcW w:w="3211" w:type="dxa"/>
            <w:tcBorders>
              <w:top w:val="single" w:sz="12" w:space="0" w:color="auto"/>
            </w:tcBorders>
            <w:shd w:val="clear" w:color="auto" w:fill="auto"/>
            <w:vAlign w:val="bottom"/>
          </w:tcPr>
          <w:p w14:paraId="6934F5D6" w14:textId="77777777" w:rsidR="009D3FA1" w:rsidRPr="009D3FA1" w:rsidRDefault="009D3FA1" w:rsidP="009D3FA1">
            <w:pPr>
              <w:spacing w:before="80" w:after="80" w:line="200" w:lineRule="exact"/>
              <w:ind w:right="113"/>
              <w:rPr>
                <w:i/>
                <w:sz w:val="16"/>
              </w:rPr>
            </w:pPr>
          </w:p>
        </w:tc>
        <w:tc>
          <w:tcPr>
            <w:tcW w:w="3213" w:type="dxa"/>
            <w:gridSpan w:val="2"/>
            <w:tcBorders>
              <w:top w:val="single" w:sz="12" w:space="0" w:color="auto"/>
            </w:tcBorders>
            <w:shd w:val="clear" w:color="auto" w:fill="auto"/>
            <w:vAlign w:val="bottom"/>
          </w:tcPr>
          <w:p w14:paraId="2FC80635"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27A2F593" w14:textId="77777777" w:rsidR="009D3FA1" w:rsidRPr="009D3FA1" w:rsidRDefault="009D3FA1" w:rsidP="009D3FA1">
            <w:pPr>
              <w:spacing w:before="80" w:after="80" w:line="200" w:lineRule="exact"/>
              <w:ind w:right="113"/>
              <w:rPr>
                <w:i/>
                <w:sz w:val="16"/>
              </w:rPr>
            </w:pPr>
          </w:p>
        </w:tc>
      </w:tr>
      <w:tr w:rsidR="00A57B68" w:rsidRPr="00A57B68" w14:paraId="57D9E1FB" w14:textId="77777777" w:rsidTr="00A57B68">
        <w:tblPrEx>
          <w:tblBorders>
            <w:top w:val="single" w:sz="4" w:space="0" w:color="auto"/>
            <w:bottom w:val="single" w:sz="12" w:space="0" w:color="auto"/>
          </w:tblBorders>
        </w:tblPrEx>
        <w:tc>
          <w:tcPr>
            <w:tcW w:w="4818" w:type="dxa"/>
            <w:gridSpan w:val="2"/>
            <w:shd w:val="clear" w:color="auto" w:fill="auto"/>
            <w:vAlign w:val="bottom"/>
          </w:tcPr>
          <w:p w14:paraId="6CA986CA" w14:textId="66BE87FA" w:rsidR="00A57B68" w:rsidRPr="00A57B68" w:rsidRDefault="00A57B68" w:rsidP="00A57B68">
            <w:pPr>
              <w:spacing w:before="80" w:after="80" w:line="200" w:lineRule="exact"/>
              <w:ind w:right="113"/>
              <w:rPr>
                <w:i/>
              </w:rPr>
            </w:pPr>
            <w:r w:rsidRPr="00A57B68">
              <w:rPr>
                <w:i/>
              </w:rPr>
              <w:t>Responses to letters</w:t>
            </w:r>
            <w:r w:rsidRPr="00A57B68">
              <w:rPr>
                <w:i/>
              </w:rPr>
              <w:br/>
              <w:t>of allegation and urgent appeals</w:t>
            </w:r>
          </w:p>
        </w:tc>
        <w:tc>
          <w:tcPr>
            <w:tcW w:w="4819" w:type="dxa"/>
            <w:gridSpan w:val="2"/>
            <w:shd w:val="clear" w:color="auto" w:fill="auto"/>
            <w:vAlign w:val="bottom"/>
          </w:tcPr>
          <w:p w14:paraId="3EA4EB0B" w14:textId="0620B77E" w:rsidR="00A57B68" w:rsidRPr="00A57B68" w:rsidRDefault="00A57B68" w:rsidP="00A57B68">
            <w:pPr>
              <w:spacing w:before="80" w:after="80" w:line="200" w:lineRule="exact"/>
              <w:ind w:right="113"/>
            </w:pPr>
            <w:r w:rsidRPr="00A57B68">
              <w:t>During the period under review, 13 communications were sent. The Government replied to all communications</w:t>
            </w:r>
            <w:r>
              <w:t>.</w:t>
            </w:r>
          </w:p>
        </w:tc>
      </w:tr>
    </w:tbl>
    <w:p w14:paraId="732A903A" w14:textId="5DEC9DAD" w:rsidR="00A02BFB" w:rsidRPr="009D3FA1" w:rsidRDefault="00A02BFB" w:rsidP="009D3FA1">
      <w:pPr>
        <w:pStyle w:val="H1G"/>
      </w:pPr>
      <w:r w:rsidRPr="009D3FA1">
        <w:tab/>
        <w:t>C.</w:t>
      </w:r>
      <w:r w:rsidRPr="009D3FA1">
        <w:tab/>
        <w:t>Status of national human rights institutions</w:t>
      </w:r>
      <w:r w:rsidRPr="007E2C3B">
        <w:rPr>
          <w:b w:val="0"/>
          <w:sz w:val="18"/>
          <w:szCs w:val="18"/>
          <w:vertAlign w:val="superscript"/>
        </w:rPr>
        <w:endnoteReference w:id="26"/>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14:paraId="73003695" w14:textId="77777777" w:rsidTr="000121D2">
        <w:tc>
          <w:tcPr>
            <w:tcW w:w="2456" w:type="dxa"/>
            <w:tcBorders>
              <w:top w:val="single" w:sz="4" w:space="0" w:color="auto"/>
              <w:bottom w:val="single" w:sz="12" w:space="0" w:color="auto"/>
            </w:tcBorders>
            <w:shd w:val="clear" w:color="auto" w:fill="auto"/>
            <w:vAlign w:val="bottom"/>
          </w:tcPr>
          <w:p w14:paraId="42EBFF53" w14:textId="77777777" w:rsidR="00A02BFB" w:rsidRPr="000212A6" w:rsidRDefault="00A02BFB" w:rsidP="009D3FA1">
            <w:pPr>
              <w:spacing w:before="40" w:after="120"/>
              <w:ind w:right="113"/>
              <w:rPr>
                <w:i/>
                <w:sz w:val="16"/>
                <w:szCs w:val="16"/>
              </w:rPr>
            </w:pPr>
            <w:r w:rsidRPr="000212A6">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72AEEF89" w14:textId="77777777" w:rsidR="00A02BFB" w:rsidRPr="000212A6" w:rsidRDefault="00A02BFB" w:rsidP="009D3FA1">
            <w:pPr>
              <w:spacing w:before="40" w:after="120"/>
              <w:ind w:right="113"/>
              <w:rPr>
                <w:i/>
                <w:sz w:val="16"/>
                <w:szCs w:val="16"/>
              </w:rPr>
            </w:pPr>
            <w:r w:rsidRPr="000212A6">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3C28598C" w14:textId="63181EA4" w:rsidR="00A02BFB" w:rsidRPr="000212A6" w:rsidRDefault="00687FE7" w:rsidP="009D3FA1">
            <w:pPr>
              <w:spacing w:before="40" w:after="120"/>
              <w:ind w:right="113"/>
              <w:rPr>
                <w:i/>
                <w:sz w:val="16"/>
                <w:szCs w:val="16"/>
              </w:rPr>
            </w:pPr>
            <w:r w:rsidRPr="00687FE7">
              <w:rPr>
                <w:i/>
                <w:sz w:val="16"/>
                <w:szCs w:val="16"/>
              </w:rPr>
              <w:t>Status during pre</w:t>
            </w:r>
            <w:bookmarkStart w:id="4" w:name="_GoBack"/>
            <w:bookmarkEnd w:id="4"/>
            <w:r w:rsidRPr="00687FE7">
              <w:rPr>
                <w:i/>
                <w:sz w:val="16"/>
                <w:szCs w:val="16"/>
              </w:rPr>
              <w:t>sent cycle</w:t>
            </w:r>
            <w:r w:rsidRPr="00687FE7">
              <w:rPr>
                <w:iCs/>
                <w:sz w:val="18"/>
                <w:szCs w:val="18"/>
                <w:vertAlign w:val="superscript"/>
              </w:rPr>
              <w:endnoteReference w:id="27"/>
            </w:r>
          </w:p>
        </w:tc>
      </w:tr>
      <w:tr w:rsidR="00A02BFB" w:rsidRPr="00A02BFB" w14:paraId="3CBAE63C" w14:textId="77777777" w:rsidTr="000121D2">
        <w:trPr>
          <w:trHeight w:hRule="exact" w:val="113"/>
        </w:trPr>
        <w:tc>
          <w:tcPr>
            <w:tcW w:w="2456" w:type="dxa"/>
            <w:tcBorders>
              <w:top w:val="single" w:sz="12" w:space="0" w:color="auto"/>
            </w:tcBorders>
            <w:shd w:val="clear" w:color="auto" w:fill="auto"/>
            <w:vAlign w:val="bottom"/>
          </w:tcPr>
          <w:p w14:paraId="6A3AF374"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729A96C2"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2F9686B7" w14:textId="77777777" w:rsidR="00A02BFB" w:rsidRPr="00A02BFB" w:rsidRDefault="00A02BFB" w:rsidP="00A02BFB">
            <w:pPr>
              <w:spacing w:before="80" w:after="80" w:line="200" w:lineRule="exact"/>
              <w:ind w:right="113"/>
              <w:rPr>
                <w:i/>
                <w:sz w:val="16"/>
              </w:rPr>
            </w:pPr>
          </w:p>
        </w:tc>
      </w:tr>
      <w:tr w:rsidR="00A02BFB" w:rsidRPr="00A02BFB" w14:paraId="72649A45" w14:textId="77777777" w:rsidTr="000121D2">
        <w:tc>
          <w:tcPr>
            <w:tcW w:w="2456" w:type="dxa"/>
            <w:tcBorders>
              <w:bottom w:val="single" w:sz="4" w:space="0" w:color="auto"/>
            </w:tcBorders>
            <w:shd w:val="clear" w:color="auto" w:fill="auto"/>
          </w:tcPr>
          <w:p w14:paraId="691F57C6" w14:textId="77777777" w:rsidR="00A02BFB" w:rsidRPr="00A02BFB" w:rsidRDefault="00A02BFB" w:rsidP="00A02BFB">
            <w:pPr>
              <w:spacing w:before="40" w:after="120"/>
              <w:ind w:right="113"/>
            </w:pPr>
          </w:p>
        </w:tc>
        <w:tc>
          <w:tcPr>
            <w:tcW w:w="2457" w:type="dxa"/>
            <w:tcBorders>
              <w:bottom w:val="single" w:sz="4" w:space="0" w:color="auto"/>
            </w:tcBorders>
            <w:shd w:val="clear" w:color="auto" w:fill="auto"/>
          </w:tcPr>
          <w:p w14:paraId="727727CF" w14:textId="77777777" w:rsidR="00A02BFB" w:rsidRPr="00A02BFB" w:rsidRDefault="00A02BFB" w:rsidP="00A02BFB">
            <w:pPr>
              <w:spacing w:before="40" w:after="120"/>
              <w:ind w:right="113"/>
            </w:pPr>
          </w:p>
        </w:tc>
        <w:tc>
          <w:tcPr>
            <w:tcW w:w="2457" w:type="dxa"/>
            <w:tcBorders>
              <w:bottom w:val="single" w:sz="4" w:space="0" w:color="auto"/>
            </w:tcBorders>
            <w:shd w:val="clear" w:color="auto" w:fill="auto"/>
          </w:tcPr>
          <w:p w14:paraId="603F2B14" w14:textId="77777777" w:rsidR="00A02BFB" w:rsidRPr="00A02BFB" w:rsidRDefault="00A02BFB" w:rsidP="00A02BFB">
            <w:pPr>
              <w:spacing w:before="40" w:after="120"/>
              <w:ind w:right="113"/>
            </w:pPr>
          </w:p>
        </w:tc>
      </w:tr>
    </w:tbl>
    <w:p w14:paraId="187F3A83" w14:textId="77777777" w:rsidR="00CF586F" w:rsidRPr="00A02BFB" w:rsidRDefault="00CF586F" w:rsidP="004E25CB"/>
    <w:sectPr w:rsidR="00CF586F" w:rsidRPr="00A02BFB" w:rsidSect="000403D1">
      <w:footerReference w:type="default" r:id="rId7"/>
      <w:footerReference w:type="firs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0E99F" w14:textId="77777777" w:rsidR="00F7525A" w:rsidRDefault="00F7525A"/>
  </w:endnote>
  <w:endnote w:type="continuationSeparator" w:id="0">
    <w:p w14:paraId="2B5FBD03" w14:textId="77777777" w:rsidR="00F7525A" w:rsidRDefault="00F7525A"/>
  </w:endnote>
  <w:endnote w:type="continuationNotice" w:id="1">
    <w:p w14:paraId="263E4871" w14:textId="77777777" w:rsidR="00F7525A" w:rsidRDefault="00F7525A"/>
  </w:endnote>
  <w:endnote w:id="2">
    <w:p w14:paraId="1597EF3B" w14:textId="45A19100" w:rsidR="00240E34" w:rsidRDefault="00240E34" w:rsidP="00240E34">
      <w:pPr>
        <w:pStyle w:val="H4G"/>
      </w:pPr>
      <w:r>
        <w:t>Notes</w:t>
      </w:r>
    </w:p>
    <w:p w14:paraId="222E0B1C" w14:textId="1A55B0E5" w:rsidR="001A4F86" w:rsidRPr="00174744" w:rsidRDefault="001A4F86" w:rsidP="001A4F86">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770B1D">
        <w:rPr>
          <w:szCs w:val="18"/>
        </w:rPr>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w:t>
      </w:r>
      <w:r>
        <w:rPr>
          <w:szCs w:val="18"/>
        </w:rPr>
        <w:t xml:space="preserve">ted Nations compilation on Guatemala </w:t>
      </w:r>
      <w:r w:rsidRPr="00770B1D">
        <w:rPr>
          <w:szCs w:val="18"/>
        </w:rPr>
        <w:t>from the p</w:t>
      </w:r>
      <w:r>
        <w:rPr>
          <w:szCs w:val="18"/>
        </w:rPr>
        <w:t>revious cycle (A/HRC/WG.6/</w:t>
      </w:r>
      <w:r w:rsidR="000103FF">
        <w:rPr>
          <w:szCs w:val="18"/>
        </w:rPr>
        <w:t>14</w:t>
      </w:r>
      <w:r w:rsidR="00895484">
        <w:rPr>
          <w:szCs w:val="18"/>
        </w:rPr>
        <w:t>/GTM</w:t>
      </w:r>
      <w:r w:rsidRPr="00770B1D">
        <w:rPr>
          <w:szCs w:val="18"/>
        </w:rPr>
        <w:t>/2).</w:t>
      </w:r>
    </w:p>
  </w:endnote>
  <w:endnote w:id="3">
    <w:p w14:paraId="55C66982" w14:textId="77777777" w:rsidR="001A4F86" w:rsidRPr="00174744" w:rsidRDefault="001A4F86" w:rsidP="001A4F86">
      <w:pPr>
        <w:pStyle w:val="EndnoteText"/>
        <w:widowControl w:val="0"/>
        <w:rPr>
          <w:szCs w:val="18"/>
        </w:rPr>
      </w:pPr>
      <w:r w:rsidRPr="00174744">
        <w:rPr>
          <w:szCs w:val="18"/>
        </w:rPr>
        <w:tab/>
      </w:r>
      <w:r w:rsidRPr="00174744">
        <w:rPr>
          <w:rStyle w:val="EndnoteReference"/>
          <w:szCs w:val="18"/>
        </w:rPr>
        <w:endnoteRef/>
      </w:r>
      <w:r w:rsidRPr="00174744">
        <w:rPr>
          <w:szCs w:val="18"/>
        </w:rPr>
        <w:tab/>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37CA77BE" w14:textId="77777777" w:rsidR="001A4F86" w:rsidRPr="00174744" w:rsidRDefault="001A4F86" w:rsidP="00B96F00">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14:paraId="6D6093DB" w14:textId="77777777" w:rsidR="001A4F86" w:rsidRPr="00174744" w:rsidRDefault="001A4F86" w:rsidP="00B96F00">
      <w:pPr>
        <w:pStyle w:val="EndnoteText"/>
        <w:widowControl w:val="0"/>
        <w:ind w:left="3969" w:hanging="2269"/>
        <w:rPr>
          <w:szCs w:val="18"/>
        </w:rPr>
      </w:pPr>
      <w:r w:rsidRPr="00174744">
        <w:rPr>
          <w:szCs w:val="18"/>
        </w:rPr>
        <w:t xml:space="preserve">ICESCR </w:t>
      </w:r>
      <w:r w:rsidRPr="00174744">
        <w:rPr>
          <w:szCs w:val="18"/>
        </w:rPr>
        <w:tab/>
        <w:t>International Covenant on Economic, Social and Cultural Rights</w:t>
      </w:r>
    </w:p>
    <w:p w14:paraId="2D151E9D" w14:textId="77777777" w:rsidR="001A4F86" w:rsidRPr="00174744" w:rsidRDefault="001A4F86" w:rsidP="00B96F00">
      <w:pPr>
        <w:pStyle w:val="EndnoteText"/>
        <w:widowControl w:val="0"/>
        <w:ind w:left="3969" w:hanging="2269"/>
        <w:rPr>
          <w:szCs w:val="18"/>
        </w:rPr>
      </w:pPr>
      <w:r w:rsidRPr="00174744">
        <w:rPr>
          <w:szCs w:val="18"/>
        </w:rPr>
        <w:t>OP-ICESCR</w:t>
      </w:r>
      <w:r w:rsidRPr="00174744">
        <w:rPr>
          <w:szCs w:val="18"/>
        </w:rPr>
        <w:tab/>
        <w:t>Optional Protocol to ICESCR</w:t>
      </w:r>
    </w:p>
    <w:p w14:paraId="1E442FCC" w14:textId="77777777" w:rsidR="001A4F86" w:rsidRPr="00174744" w:rsidRDefault="001A4F86" w:rsidP="00B96F00">
      <w:pPr>
        <w:pStyle w:val="EndnoteText"/>
        <w:widowControl w:val="0"/>
        <w:ind w:left="3969" w:hanging="2269"/>
        <w:rPr>
          <w:szCs w:val="18"/>
        </w:rPr>
      </w:pPr>
      <w:r w:rsidRPr="00174744">
        <w:rPr>
          <w:szCs w:val="18"/>
        </w:rPr>
        <w:t>ICCPR</w:t>
      </w:r>
      <w:r w:rsidRPr="00174744">
        <w:rPr>
          <w:szCs w:val="18"/>
        </w:rPr>
        <w:tab/>
        <w:t>International Covenant on Civil and Political Rights</w:t>
      </w:r>
    </w:p>
    <w:p w14:paraId="38EA78E1" w14:textId="77777777" w:rsidR="001A4F86" w:rsidRPr="00174744" w:rsidRDefault="001A4F86" w:rsidP="00B96F00">
      <w:pPr>
        <w:pStyle w:val="EndnoteText"/>
        <w:widowControl w:val="0"/>
        <w:ind w:left="3969" w:hanging="2269"/>
        <w:rPr>
          <w:szCs w:val="18"/>
        </w:rPr>
      </w:pPr>
      <w:r w:rsidRPr="00174744">
        <w:rPr>
          <w:szCs w:val="18"/>
        </w:rPr>
        <w:t>ICCPR-OP 1</w:t>
      </w:r>
      <w:r w:rsidRPr="00174744">
        <w:rPr>
          <w:szCs w:val="18"/>
        </w:rPr>
        <w:tab/>
        <w:t>Optional Protocol to ICCPR</w:t>
      </w:r>
    </w:p>
    <w:p w14:paraId="162C2C6D" w14:textId="77777777" w:rsidR="001A4F86" w:rsidRPr="00174744" w:rsidRDefault="001A4F86" w:rsidP="00B96F00">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p>
    <w:p w14:paraId="37B11F86" w14:textId="77777777" w:rsidR="001A4F86" w:rsidRPr="00174744" w:rsidRDefault="001A4F86" w:rsidP="00B96F00">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p>
    <w:p w14:paraId="21132DED" w14:textId="77777777" w:rsidR="001A4F86" w:rsidRPr="00174744" w:rsidRDefault="001A4F86" w:rsidP="00B96F00">
      <w:pPr>
        <w:pStyle w:val="EndnoteText"/>
        <w:widowControl w:val="0"/>
        <w:ind w:left="3969" w:hanging="2269"/>
        <w:rPr>
          <w:szCs w:val="18"/>
        </w:rPr>
      </w:pPr>
      <w:r w:rsidRPr="00174744">
        <w:rPr>
          <w:szCs w:val="18"/>
        </w:rPr>
        <w:t>OP-CEDAW</w:t>
      </w:r>
      <w:r w:rsidRPr="00174744">
        <w:rPr>
          <w:szCs w:val="18"/>
        </w:rPr>
        <w:tab/>
        <w:t>Optional Protocol to CEDAW</w:t>
      </w:r>
    </w:p>
    <w:p w14:paraId="77D59331" w14:textId="77777777" w:rsidR="001A4F86" w:rsidRPr="00174744" w:rsidRDefault="001A4F86" w:rsidP="00B96F00">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p>
    <w:p w14:paraId="577CC48C" w14:textId="77777777" w:rsidR="001A4F86" w:rsidRPr="00174744" w:rsidRDefault="001A4F86" w:rsidP="00B96F00">
      <w:pPr>
        <w:pStyle w:val="EndnoteText"/>
        <w:widowControl w:val="0"/>
        <w:ind w:left="3969" w:hanging="2269"/>
        <w:rPr>
          <w:szCs w:val="18"/>
        </w:rPr>
      </w:pPr>
      <w:r w:rsidRPr="00174744">
        <w:rPr>
          <w:szCs w:val="18"/>
        </w:rPr>
        <w:t>OP-CAT</w:t>
      </w:r>
      <w:r w:rsidRPr="00174744">
        <w:rPr>
          <w:szCs w:val="18"/>
        </w:rPr>
        <w:tab/>
        <w:t>Optional Protocol to CAT</w:t>
      </w:r>
    </w:p>
    <w:p w14:paraId="688D118A" w14:textId="77777777" w:rsidR="001A4F86" w:rsidRPr="00174744" w:rsidRDefault="001A4F86" w:rsidP="00B96F00">
      <w:pPr>
        <w:pStyle w:val="EndnoteText"/>
        <w:widowControl w:val="0"/>
        <w:ind w:left="3969" w:hanging="2269"/>
        <w:rPr>
          <w:szCs w:val="18"/>
        </w:rPr>
      </w:pPr>
      <w:r w:rsidRPr="00174744">
        <w:rPr>
          <w:szCs w:val="18"/>
        </w:rPr>
        <w:t>CRC</w:t>
      </w:r>
      <w:r w:rsidRPr="00174744">
        <w:rPr>
          <w:szCs w:val="18"/>
        </w:rPr>
        <w:tab/>
        <w:t>Convention on the Rights of the Child</w:t>
      </w:r>
    </w:p>
    <w:p w14:paraId="06E6BD71" w14:textId="77777777" w:rsidR="001A4F86" w:rsidRPr="00174744" w:rsidRDefault="001A4F86" w:rsidP="00B96F00">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14:paraId="5CFE5783" w14:textId="77777777" w:rsidR="001A4F86" w:rsidRPr="00174744" w:rsidRDefault="001A4F86" w:rsidP="00B96F00">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14:paraId="24703706" w14:textId="77777777" w:rsidR="001A4F86" w:rsidRPr="00174744" w:rsidRDefault="001A4F86" w:rsidP="00B96F00">
      <w:pPr>
        <w:pStyle w:val="EndnoteText"/>
        <w:widowControl w:val="0"/>
        <w:ind w:left="3969" w:hanging="2268"/>
        <w:rPr>
          <w:szCs w:val="18"/>
        </w:rPr>
      </w:pPr>
      <w:r w:rsidRPr="00174744">
        <w:rPr>
          <w:szCs w:val="18"/>
        </w:rPr>
        <w:t>OP-CRC-IC</w:t>
      </w:r>
      <w:r w:rsidRPr="00174744">
        <w:rPr>
          <w:szCs w:val="18"/>
        </w:rPr>
        <w:tab/>
        <w:t>Optional Protocol to CRC on a communications procedure</w:t>
      </w:r>
    </w:p>
    <w:p w14:paraId="7FFBB35F" w14:textId="77777777" w:rsidR="001A4F86" w:rsidRPr="00174744" w:rsidRDefault="001A4F86" w:rsidP="00B96F00">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14:paraId="761D4DAD" w14:textId="77777777" w:rsidR="001A4F86" w:rsidRPr="00174744" w:rsidRDefault="001A4F86" w:rsidP="00B96F00">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14:paraId="5D39E3F3" w14:textId="77777777" w:rsidR="001A4F86" w:rsidRPr="00174744" w:rsidRDefault="001A4F86" w:rsidP="00B96F00">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14:paraId="10EAD618" w14:textId="77777777" w:rsidR="001A4F86" w:rsidRPr="00174744" w:rsidRDefault="001A4F86" w:rsidP="00B96F00">
      <w:pPr>
        <w:pStyle w:val="EndnoteText"/>
        <w:widowControl w:val="0"/>
        <w:ind w:left="3969" w:right="1179" w:hanging="2269"/>
        <w:rPr>
          <w:szCs w:val="18"/>
        </w:rPr>
      </w:pPr>
      <w:r w:rsidRPr="00174744">
        <w:rPr>
          <w:szCs w:val="18"/>
        </w:rPr>
        <w:t>ICPPED</w:t>
      </w:r>
      <w:r w:rsidRPr="00174744">
        <w:rPr>
          <w:szCs w:val="18"/>
        </w:rPr>
        <w:tab/>
        <w:t>International Convention for the Protection of All Persons from Enforced Disappearance</w:t>
      </w:r>
    </w:p>
  </w:endnote>
  <w:endnote w:id="4">
    <w:p w14:paraId="4245336A" w14:textId="77777777" w:rsidR="001A4F86" w:rsidRPr="00174744" w:rsidRDefault="001A4F86" w:rsidP="001A4F86">
      <w:pPr>
        <w:pStyle w:val="EndnoteText"/>
        <w:widowControl w:val="0"/>
        <w:rPr>
          <w:szCs w:val="18"/>
        </w:rPr>
      </w:pPr>
      <w:r w:rsidRPr="00174744">
        <w:rPr>
          <w:szCs w:val="18"/>
        </w:rPr>
        <w:tab/>
      </w:r>
      <w:r w:rsidRPr="00174744">
        <w:rPr>
          <w:rStyle w:val="EndnoteReference"/>
          <w:szCs w:val="18"/>
        </w:rPr>
        <w:endnoteRef/>
      </w:r>
      <w:r w:rsidRPr="00174744">
        <w:rPr>
          <w:szCs w:val="18"/>
        </w:rPr>
        <w:tab/>
        <w:t xml:space="preserve">The following abbreviations </w:t>
      </w:r>
      <w:r w:rsidRPr="00174744">
        <w:rPr>
          <w:color w:val="000000"/>
          <w:szCs w:val="18"/>
        </w:rPr>
        <w:t>have been used in the present document</w:t>
      </w:r>
      <w:r w:rsidRPr="00174744">
        <w:rPr>
          <w:szCs w:val="18"/>
        </w:rPr>
        <w:t>:</w:t>
      </w:r>
    </w:p>
    <w:p w14:paraId="73D24704" w14:textId="77777777" w:rsidR="001A4F86" w:rsidRPr="00174744" w:rsidRDefault="001A4F86" w:rsidP="00B96F00">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14:paraId="64FB58AA" w14:textId="77777777" w:rsidR="001A4F86" w:rsidRPr="00174744" w:rsidRDefault="001A4F86" w:rsidP="00B96F00">
      <w:pPr>
        <w:pStyle w:val="EndnoteText"/>
        <w:widowControl w:val="0"/>
        <w:ind w:left="3969" w:hanging="2269"/>
        <w:rPr>
          <w:szCs w:val="18"/>
        </w:rPr>
      </w:pPr>
      <w:r w:rsidRPr="00174744">
        <w:rPr>
          <w:szCs w:val="18"/>
        </w:rPr>
        <w:t xml:space="preserve">ICESCR </w:t>
      </w:r>
      <w:r w:rsidRPr="00174744">
        <w:rPr>
          <w:szCs w:val="18"/>
        </w:rPr>
        <w:tab/>
        <w:t>International Covenant on Economic, Social and Cultural Rights</w:t>
      </w:r>
    </w:p>
    <w:p w14:paraId="19856779" w14:textId="77777777" w:rsidR="001A4F86" w:rsidRPr="00174744" w:rsidRDefault="001A4F86" w:rsidP="00B96F00">
      <w:pPr>
        <w:pStyle w:val="EndnoteText"/>
        <w:widowControl w:val="0"/>
        <w:ind w:left="3969" w:hanging="2269"/>
        <w:rPr>
          <w:szCs w:val="18"/>
        </w:rPr>
      </w:pPr>
      <w:r w:rsidRPr="00174744">
        <w:rPr>
          <w:szCs w:val="18"/>
        </w:rPr>
        <w:t>OP-ICESCR</w:t>
      </w:r>
      <w:r w:rsidRPr="00174744">
        <w:rPr>
          <w:szCs w:val="18"/>
        </w:rPr>
        <w:tab/>
        <w:t>Optional Protocol to ICESCR</w:t>
      </w:r>
    </w:p>
    <w:p w14:paraId="2DDF4E25" w14:textId="77777777" w:rsidR="001A4F86" w:rsidRPr="00174744" w:rsidRDefault="001A4F86" w:rsidP="00B96F00">
      <w:pPr>
        <w:pStyle w:val="EndnoteText"/>
        <w:widowControl w:val="0"/>
        <w:ind w:left="3969" w:hanging="2269"/>
        <w:rPr>
          <w:szCs w:val="18"/>
        </w:rPr>
      </w:pPr>
      <w:r w:rsidRPr="00174744">
        <w:rPr>
          <w:szCs w:val="18"/>
        </w:rPr>
        <w:t>ICCPR</w:t>
      </w:r>
      <w:r w:rsidRPr="00174744">
        <w:rPr>
          <w:szCs w:val="18"/>
        </w:rPr>
        <w:tab/>
        <w:t>International Covenant on Civil and Political Rights</w:t>
      </w:r>
    </w:p>
    <w:p w14:paraId="6AC5BC54" w14:textId="77777777" w:rsidR="001A4F86" w:rsidRPr="00174744" w:rsidRDefault="001A4F86" w:rsidP="00B96F00">
      <w:pPr>
        <w:pStyle w:val="EndnoteText"/>
        <w:widowControl w:val="0"/>
        <w:ind w:left="3969" w:hanging="2269"/>
        <w:rPr>
          <w:szCs w:val="18"/>
        </w:rPr>
      </w:pPr>
      <w:r w:rsidRPr="00174744">
        <w:rPr>
          <w:szCs w:val="18"/>
        </w:rPr>
        <w:t>ICCPR-OP 1</w:t>
      </w:r>
      <w:r w:rsidRPr="00174744">
        <w:rPr>
          <w:szCs w:val="18"/>
        </w:rPr>
        <w:tab/>
        <w:t>Optional Protocol to ICCPR</w:t>
      </w:r>
    </w:p>
    <w:p w14:paraId="3ED6C905" w14:textId="77777777" w:rsidR="001A4F86" w:rsidRPr="00174744" w:rsidRDefault="001A4F86" w:rsidP="00B96F00">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p>
    <w:p w14:paraId="50EA8AE0" w14:textId="77777777" w:rsidR="001A4F86" w:rsidRPr="00174744" w:rsidRDefault="001A4F86" w:rsidP="00B96F00">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p>
    <w:p w14:paraId="50DE86D8" w14:textId="77777777" w:rsidR="001A4F86" w:rsidRPr="00174744" w:rsidRDefault="001A4F86" w:rsidP="00B96F00">
      <w:pPr>
        <w:pStyle w:val="EndnoteText"/>
        <w:widowControl w:val="0"/>
        <w:ind w:left="3969" w:hanging="2269"/>
        <w:rPr>
          <w:szCs w:val="18"/>
        </w:rPr>
      </w:pPr>
      <w:r w:rsidRPr="00174744">
        <w:rPr>
          <w:szCs w:val="18"/>
        </w:rPr>
        <w:t>OP-CEDAW</w:t>
      </w:r>
      <w:r w:rsidRPr="00174744">
        <w:rPr>
          <w:szCs w:val="18"/>
        </w:rPr>
        <w:tab/>
        <w:t>Optional Protocol to CEDAW</w:t>
      </w:r>
    </w:p>
    <w:p w14:paraId="03E7F3A6" w14:textId="77777777" w:rsidR="001A4F86" w:rsidRPr="00174744" w:rsidRDefault="001A4F86" w:rsidP="00B96F00">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p>
    <w:p w14:paraId="747ADF59" w14:textId="77777777" w:rsidR="001A4F86" w:rsidRPr="00174744" w:rsidRDefault="001A4F86" w:rsidP="00B96F00">
      <w:pPr>
        <w:pStyle w:val="EndnoteText"/>
        <w:widowControl w:val="0"/>
        <w:ind w:left="3969" w:hanging="2269"/>
        <w:rPr>
          <w:szCs w:val="18"/>
        </w:rPr>
      </w:pPr>
      <w:r w:rsidRPr="00174744">
        <w:rPr>
          <w:szCs w:val="18"/>
        </w:rPr>
        <w:t>OP-CAT</w:t>
      </w:r>
      <w:r w:rsidRPr="00174744">
        <w:rPr>
          <w:szCs w:val="18"/>
        </w:rPr>
        <w:tab/>
        <w:t>Optional Protocol to CAT</w:t>
      </w:r>
    </w:p>
    <w:p w14:paraId="28D75471" w14:textId="77777777" w:rsidR="001A4F86" w:rsidRPr="00174744" w:rsidRDefault="001A4F86" w:rsidP="00B96F00">
      <w:pPr>
        <w:pStyle w:val="EndnoteText"/>
        <w:widowControl w:val="0"/>
        <w:ind w:left="3969" w:hanging="2269"/>
        <w:rPr>
          <w:szCs w:val="18"/>
        </w:rPr>
      </w:pPr>
      <w:r w:rsidRPr="00174744">
        <w:rPr>
          <w:szCs w:val="18"/>
        </w:rPr>
        <w:t>CRC</w:t>
      </w:r>
      <w:r w:rsidRPr="00174744">
        <w:rPr>
          <w:szCs w:val="18"/>
        </w:rPr>
        <w:tab/>
        <w:t>Convention on the Rights of the Child</w:t>
      </w:r>
    </w:p>
    <w:p w14:paraId="67CF374F" w14:textId="77777777" w:rsidR="001A4F86" w:rsidRPr="00174744" w:rsidRDefault="001A4F86" w:rsidP="00B96F00">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14:paraId="1389BDC0" w14:textId="77777777" w:rsidR="001A4F86" w:rsidRPr="00174744" w:rsidRDefault="001A4F86" w:rsidP="00B96F00">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14:paraId="26411F61" w14:textId="77777777" w:rsidR="001A4F86" w:rsidRPr="00174744" w:rsidRDefault="001A4F86" w:rsidP="00B96F00">
      <w:pPr>
        <w:pStyle w:val="EndnoteText"/>
        <w:widowControl w:val="0"/>
        <w:ind w:left="3969" w:hanging="2269"/>
        <w:rPr>
          <w:szCs w:val="18"/>
        </w:rPr>
      </w:pPr>
      <w:r w:rsidRPr="00174744">
        <w:rPr>
          <w:szCs w:val="18"/>
        </w:rPr>
        <w:t>OP-CRC-IC</w:t>
      </w:r>
      <w:r w:rsidRPr="00174744">
        <w:rPr>
          <w:szCs w:val="18"/>
        </w:rPr>
        <w:tab/>
        <w:t>Optional Protocol to CRC on a communications procedure</w:t>
      </w:r>
    </w:p>
    <w:p w14:paraId="2B5DA1A8" w14:textId="77777777" w:rsidR="001A4F86" w:rsidRPr="00174744" w:rsidRDefault="001A4F86" w:rsidP="00B96F00">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14:paraId="420F8691" w14:textId="77777777" w:rsidR="001A4F86" w:rsidRPr="00174744" w:rsidRDefault="001A4F86" w:rsidP="00B96F00">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14:paraId="68AA4F07" w14:textId="77777777" w:rsidR="001A4F86" w:rsidRPr="00174744" w:rsidRDefault="001A4F86" w:rsidP="00B96F00">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14:paraId="68A69E06" w14:textId="24ED1F47" w:rsidR="001A4F86" w:rsidRPr="00174744" w:rsidRDefault="001A4F86" w:rsidP="00B96F00">
      <w:pPr>
        <w:pStyle w:val="EndnoteText"/>
        <w:widowControl w:val="0"/>
        <w:ind w:left="3969" w:right="1179" w:hanging="2268"/>
        <w:rPr>
          <w:szCs w:val="18"/>
        </w:rPr>
      </w:pPr>
      <w:r w:rsidRPr="00174744">
        <w:rPr>
          <w:szCs w:val="18"/>
        </w:rPr>
        <w:t>ICPPED</w:t>
      </w:r>
      <w:r w:rsidRPr="00174744">
        <w:rPr>
          <w:szCs w:val="18"/>
        </w:rPr>
        <w:tab/>
        <w:t>International Convention for the Protection of All Persons from Enforced Disappearance</w:t>
      </w:r>
      <w:r w:rsidR="00B96F00">
        <w:rPr>
          <w:szCs w:val="18"/>
        </w:rPr>
        <w:t>.</w:t>
      </w:r>
    </w:p>
  </w:endnote>
  <w:endnote w:id="5">
    <w:p w14:paraId="17132911" w14:textId="77777777"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6">
    <w:p w14:paraId="22C21CC9" w14:textId="77777777" w:rsidR="003467B7" w:rsidRPr="00AC3610" w:rsidRDefault="003467B7" w:rsidP="005570BB">
      <w:pPr>
        <w:pStyle w:val="EndnoteText"/>
        <w:widowControl w:val="0"/>
        <w:tabs>
          <w:tab w:val="clear" w:pos="1021"/>
          <w:tab w:val="right" w:pos="1020"/>
        </w:tabs>
        <w:rPr>
          <w:szCs w:val="18"/>
          <w:lang w:val="en-US"/>
        </w:rPr>
      </w:pPr>
      <w:r w:rsidRPr="00174744">
        <w:rPr>
          <w:szCs w:val="18"/>
        </w:rPr>
        <w:tab/>
      </w:r>
      <w:r w:rsidRPr="00174744">
        <w:rPr>
          <w:rStyle w:val="EndnoteReference"/>
          <w:szCs w:val="18"/>
        </w:rPr>
        <w:endnoteRef/>
      </w:r>
      <w:r w:rsidRPr="00174744">
        <w:rPr>
          <w:szCs w:val="18"/>
        </w:rPr>
        <w:tab/>
      </w:r>
      <w:r w:rsidRPr="00AC3610">
        <w:rPr>
          <w:szCs w:val="18"/>
          <w:lang w:val="en-US"/>
        </w:rPr>
        <w:t>Protocol to Prevent, Suppress and Punish Trafficking in Persons, Especially Women and Children, supplementing the United Nations Convention against Transnational Organized Crime.</w:t>
      </w:r>
    </w:p>
  </w:endnote>
  <w:endnote w:id="7">
    <w:p w14:paraId="48B9FF5C" w14:textId="3F427A56" w:rsidR="002B7883" w:rsidRDefault="002B7883" w:rsidP="00167047">
      <w:pPr>
        <w:pStyle w:val="EndnoteText"/>
        <w:tabs>
          <w:tab w:val="clear" w:pos="1021"/>
          <w:tab w:val="right" w:pos="1020"/>
        </w:tabs>
      </w:pPr>
      <w:r>
        <w:tab/>
      </w:r>
      <w:r>
        <w:rPr>
          <w:rStyle w:val="EndnoteReference"/>
        </w:rPr>
        <w:endnoteRef/>
      </w:r>
      <w:r>
        <w:tab/>
        <w:t>1951 Convention relating to the Status of Refugees and its 1967 Protocol, 1954 Convention relating</w:t>
      </w:r>
      <w:r w:rsidR="00167047">
        <w:t xml:space="preserve"> to the Status of Stateless Persons and 1961 Convention on the Reduction of Statelessness.</w:t>
      </w:r>
    </w:p>
  </w:endnote>
  <w:endnote w:id="8">
    <w:p w14:paraId="79F71959" w14:textId="46E35E72" w:rsidR="002B7883" w:rsidRDefault="002B7883" w:rsidP="00B571F8">
      <w:pPr>
        <w:pStyle w:val="EndnoteText"/>
        <w:tabs>
          <w:tab w:val="clear" w:pos="1021"/>
          <w:tab w:val="right" w:pos="1020"/>
        </w:tabs>
      </w:pPr>
      <w:r>
        <w:tab/>
      </w:r>
      <w:r>
        <w:rPr>
          <w:rStyle w:val="EndnoteReference"/>
        </w:rPr>
        <w:endnoteRef/>
      </w:r>
      <w:r>
        <w:tab/>
        <w:t>Geneva Convention for the Amelioration of the Condition of the Wounded and Sick in Armed Forces</w:t>
      </w:r>
      <w:r w:rsidR="005F0848">
        <w:t xml:space="preserve">  in the Field (First Convention); Geneva Convention for the Amelioration of the Condition of Wounded, Sick and Shipwrecked Members of Armed Forces at Sea (Second Convention); Geneva Convention relative to the Treatment of Prisoners of War </w:t>
      </w:r>
      <w:r w:rsidR="00B571F8">
        <w:t xml:space="preserve">(Third Convention); Geneva Convention relative to the Protection of Civilians Persons in Time of War </w:t>
      </w:r>
      <w:r w:rsidR="005F0848">
        <w:t xml:space="preserve">(Fourth Convention); Protocol Additional to the Geneva Conventions of 12 August 1949, and relating to the Protection of Victims of International Armed Conflicts (Protocol I); Protocol Additional to the Geneva Conventions of 12 August 1949, and relating to the Protection of Victims of Non- International Armed Conflicts (Protocol II). For the official status of ratifications, se Federal Department of Foreign Affairs of </w:t>
      </w:r>
      <w:r w:rsidR="00B571F8">
        <w:t>Switzerland, at www.eda.admin.ch/eda/fr/home/topics/intla/intrea/chdep/warvic.html.</w:t>
      </w:r>
    </w:p>
  </w:endnote>
  <w:endnote w:id="9">
    <w:p w14:paraId="017259B9" w14:textId="2FE2AF6B" w:rsidR="002B7883" w:rsidRDefault="002B7883" w:rsidP="00B571F8">
      <w:pPr>
        <w:pStyle w:val="EndnoteText"/>
        <w:tabs>
          <w:tab w:val="clear" w:pos="1021"/>
          <w:tab w:val="right" w:pos="1020"/>
        </w:tabs>
      </w:pPr>
      <w:r>
        <w:tab/>
      </w:r>
      <w:r>
        <w:rPr>
          <w:rStyle w:val="EndnoteReference"/>
        </w:rPr>
        <w:endnoteRef/>
      </w:r>
      <w:r>
        <w:tab/>
        <w:t>International Labour Organization Convention No. 29 concerning Forced or Compulsory Labour;</w:t>
      </w:r>
      <w:r w:rsidR="00B571F8">
        <w:t xml:space="preserve">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10">
    <w:p w14:paraId="3DC38F6C" w14:textId="1A248BE3" w:rsidR="002B7883" w:rsidRDefault="002B7883" w:rsidP="00B571F8">
      <w:pPr>
        <w:pStyle w:val="EndnoteText"/>
        <w:tabs>
          <w:tab w:val="clear" w:pos="1021"/>
          <w:tab w:val="right" w:pos="1020"/>
        </w:tabs>
      </w:pPr>
      <w:r>
        <w:tab/>
      </w:r>
      <w:r>
        <w:rPr>
          <w:rStyle w:val="EndnoteReference"/>
        </w:rPr>
        <w:endnoteRef/>
      </w:r>
      <w:r>
        <w:tab/>
        <w:t>International Labour Organization Convention No.169, concerning Indigenous and Tribal Peoples in</w:t>
      </w:r>
      <w:r w:rsidR="00B571F8">
        <w:t xml:space="preserve"> Independent Countries.</w:t>
      </w:r>
    </w:p>
  </w:endnote>
  <w:endnote w:id="11">
    <w:p w14:paraId="70FD19C2" w14:textId="33779260" w:rsidR="002B7883" w:rsidRDefault="002B7883" w:rsidP="002B7883">
      <w:pPr>
        <w:pStyle w:val="EndnoteText"/>
        <w:tabs>
          <w:tab w:val="clear" w:pos="1021"/>
          <w:tab w:val="right" w:pos="1020"/>
        </w:tabs>
      </w:pPr>
      <w:r>
        <w:tab/>
      </w:r>
      <w:r>
        <w:rPr>
          <w:rStyle w:val="EndnoteReference"/>
        </w:rPr>
        <w:endnoteRef/>
      </w:r>
      <w:r>
        <w:tab/>
        <w:t>International Labour Organization Convention No.189 concerning Decent Work for Domestic Workers.</w:t>
      </w:r>
    </w:p>
  </w:endnote>
  <w:endnote w:id="12">
    <w:p w14:paraId="139E5C3E" w14:textId="6A3A2F28" w:rsidR="003467B7" w:rsidRPr="005F7FAA" w:rsidRDefault="003467B7" w:rsidP="00B474E6">
      <w:pPr>
        <w:pStyle w:val="EndnoteText"/>
        <w:widowControl w:val="0"/>
        <w:tabs>
          <w:tab w:val="clear" w:pos="1021"/>
          <w:tab w:val="right" w:pos="1020"/>
        </w:tabs>
        <w:rPr>
          <w:color w:val="000000"/>
          <w:szCs w:val="18"/>
          <w:lang w:val="en-US"/>
        </w:rPr>
      </w:pPr>
      <w:r w:rsidRPr="00174744">
        <w:rPr>
          <w:szCs w:val="18"/>
        </w:rPr>
        <w:tab/>
      </w:r>
      <w:r w:rsidRPr="00174744">
        <w:rPr>
          <w:rStyle w:val="EndnoteReference"/>
          <w:szCs w:val="18"/>
        </w:rPr>
        <w:endnoteRef/>
      </w:r>
      <w:r w:rsidRPr="00174744">
        <w:rPr>
          <w:szCs w:val="18"/>
        </w:rPr>
        <w:tab/>
      </w:r>
      <w:r w:rsidRPr="00B474E6">
        <w:rPr>
          <w:color w:val="000000" w:themeColor="text1"/>
          <w:szCs w:val="18"/>
        </w:rPr>
        <w:t xml:space="preserve">Protocol Additional to the Geneva Conventions of 12 August 1949, and relating to the Adoption of an Additional Distinctive Emblem (Protocol III). </w:t>
      </w:r>
      <w:r w:rsidRPr="00174744">
        <w:rPr>
          <w:szCs w:val="18"/>
        </w:rPr>
        <w:t>For the official status of ratifications</w:t>
      </w:r>
      <w:r w:rsidRPr="00174744">
        <w:rPr>
          <w:color w:val="000000"/>
          <w:szCs w:val="18"/>
        </w:rPr>
        <w:t>, see</w:t>
      </w:r>
      <w:r>
        <w:rPr>
          <w:szCs w:val="18"/>
          <w:lang w:eastAsia="zh-CN"/>
        </w:rPr>
        <w:t xml:space="preserve"> </w:t>
      </w:r>
      <w:r w:rsidRPr="002F47C5">
        <w:rPr>
          <w:szCs w:val="18"/>
          <w:lang w:eastAsia="zh-CN"/>
        </w:rPr>
        <w:t xml:space="preserve">at </w:t>
      </w:r>
      <w:hyperlink r:id="rId1" w:history="1">
        <w:r w:rsidRPr="002F47C5">
          <w:rPr>
            <w:szCs w:val="18"/>
          </w:rPr>
          <w:t>https://ihl-databases.icrc.org/applic/ihl/ihl.nsf/vwTreaties1949.xsp</w:t>
        </w:r>
      </w:hyperlink>
    </w:p>
  </w:endnote>
  <w:endnote w:id="13">
    <w:p w14:paraId="62F40352" w14:textId="6F1225E2" w:rsidR="002B7883" w:rsidRDefault="002B7883" w:rsidP="002B7883">
      <w:pPr>
        <w:pStyle w:val="EndnoteText"/>
        <w:widowControl w:val="0"/>
        <w:tabs>
          <w:tab w:val="clear" w:pos="1021"/>
          <w:tab w:val="right" w:pos="1020"/>
        </w:tabs>
      </w:pPr>
      <w:r>
        <w:tab/>
      </w:r>
      <w:r>
        <w:rPr>
          <w:rStyle w:val="EndnoteReference"/>
        </w:rPr>
        <w:endnoteRef/>
      </w:r>
      <w:r>
        <w:tab/>
      </w:r>
      <w:r w:rsidRPr="00977923">
        <w:t xml:space="preserve">CERD/C/GTM/CO/14-15, para. </w:t>
      </w:r>
      <w:r w:rsidRPr="00E4280E">
        <w:t>34. S</w:t>
      </w:r>
      <w:r>
        <w:t xml:space="preserve">ee the </w:t>
      </w:r>
      <w:r w:rsidRPr="00E4280E">
        <w:t>CERD/C/GTM/CO/14-15</w:t>
      </w:r>
      <w:r>
        <w:t>/Corr.1.</w:t>
      </w:r>
    </w:p>
  </w:endnote>
  <w:endnote w:id="14">
    <w:p w14:paraId="6F9E3540" w14:textId="405C940B" w:rsidR="007C1466" w:rsidRDefault="007C1466" w:rsidP="007C1466">
      <w:pPr>
        <w:pStyle w:val="EndnoteText"/>
        <w:widowControl w:val="0"/>
        <w:tabs>
          <w:tab w:val="clear" w:pos="1021"/>
          <w:tab w:val="right" w:pos="1020"/>
        </w:tabs>
      </w:pPr>
      <w:r>
        <w:tab/>
      </w:r>
      <w:r>
        <w:rPr>
          <w:rStyle w:val="EndnoteReference"/>
        </w:rPr>
        <w:endnoteRef/>
      </w:r>
      <w:r>
        <w:tab/>
      </w:r>
      <w:r w:rsidRPr="007C1466">
        <w:t>CERD/C/GTM/CO/14-15/Add.1.</w:t>
      </w:r>
    </w:p>
  </w:endnote>
  <w:endnote w:id="15">
    <w:p w14:paraId="3336A3DD" w14:textId="1E96D65D" w:rsidR="00CE7C13" w:rsidRDefault="00CE7C13" w:rsidP="00CE7C13">
      <w:pPr>
        <w:pStyle w:val="EndnoteText"/>
        <w:widowControl w:val="0"/>
        <w:tabs>
          <w:tab w:val="clear" w:pos="1021"/>
          <w:tab w:val="right" w:pos="1020"/>
        </w:tabs>
      </w:pPr>
      <w:r>
        <w:tab/>
      </w:r>
      <w:r>
        <w:rPr>
          <w:rStyle w:val="EndnoteReference"/>
        </w:rPr>
        <w:endnoteRef/>
      </w:r>
      <w:r>
        <w:tab/>
      </w:r>
      <w:r>
        <w:rPr>
          <w:szCs w:val="18"/>
        </w:rPr>
        <w:t>L</w:t>
      </w:r>
      <w:r w:rsidRPr="00F23213">
        <w:rPr>
          <w:szCs w:val="18"/>
        </w:rPr>
        <w:t xml:space="preserve">etter </w:t>
      </w:r>
      <w:r>
        <w:rPr>
          <w:szCs w:val="18"/>
        </w:rPr>
        <w:t xml:space="preserve">from CERD to the Permanent Mission of Guatemala to the United Nations Office and other international organizations in Geneva, dated 22 December 2016, available from: </w:t>
      </w:r>
      <w:r w:rsidRPr="00952F81">
        <w:rPr>
          <w:szCs w:val="18"/>
        </w:rPr>
        <w:t>http://tbinternet.ohchr.org/Treaties/CERD/Shared%20Documents/GTM/INT_CERD_FUL_GTM_26203_E.pdf</w:t>
      </w:r>
      <w:r>
        <w:rPr>
          <w:szCs w:val="18"/>
        </w:rPr>
        <w:t>.</w:t>
      </w:r>
    </w:p>
  </w:endnote>
  <w:endnote w:id="16">
    <w:p w14:paraId="537B2312" w14:textId="1BDDB43A" w:rsidR="00CE7C13" w:rsidRDefault="00CE7C13" w:rsidP="00CE7C13">
      <w:pPr>
        <w:pStyle w:val="EndnoteText"/>
        <w:widowControl w:val="0"/>
        <w:tabs>
          <w:tab w:val="clear" w:pos="1021"/>
          <w:tab w:val="right" w:pos="1020"/>
        </w:tabs>
      </w:pPr>
      <w:r>
        <w:tab/>
      </w:r>
      <w:r>
        <w:rPr>
          <w:rStyle w:val="EndnoteReference"/>
        </w:rPr>
        <w:endnoteRef/>
      </w:r>
      <w:r>
        <w:tab/>
      </w:r>
      <w:r w:rsidRPr="00C45CA6">
        <w:rPr>
          <w:szCs w:val="18"/>
        </w:rPr>
        <w:t>CCPR/C/GTM/CO/3, para. 29</w:t>
      </w:r>
      <w:r>
        <w:rPr>
          <w:szCs w:val="18"/>
        </w:rPr>
        <w:t>.</w:t>
      </w:r>
    </w:p>
  </w:endnote>
  <w:endnote w:id="17">
    <w:p w14:paraId="34005C1B" w14:textId="7A6C71B4" w:rsidR="00CE7C13" w:rsidRDefault="00CE7C13" w:rsidP="00CE7C13">
      <w:pPr>
        <w:pStyle w:val="EndnoteText"/>
        <w:widowControl w:val="0"/>
        <w:tabs>
          <w:tab w:val="clear" w:pos="1021"/>
          <w:tab w:val="right" w:pos="1020"/>
        </w:tabs>
      </w:pPr>
      <w:r>
        <w:tab/>
      </w:r>
      <w:r>
        <w:rPr>
          <w:rStyle w:val="EndnoteReference"/>
        </w:rPr>
        <w:endnoteRef/>
      </w:r>
      <w:r>
        <w:tab/>
        <w:t xml:space="preserve">Available from </w:t>
      </w:r>
      <w:hyperlink r:id="rId2" w:history="1">
        <w:r w:rsidRPr="00D9607D">
          <w:rPr>
            <w:rStyle w:val="Hyperlink"/>
          </w:rPr>
          <w:t>http://tbinternet.ohchr.org/_layouts/TreatyBodyExternal/Countries.aspx?CountryCode=GTM&amp;Lang=EN</w:t>
        </w:r>
      </w:hyperlink>
      <w:r>
        <w:rPr>
          <w:rStyle w:val="Hyperlink"/>
        </w:rPr>
        <w:t>.</w:t>
      </w:r>
    </w:p>
  </w:endnote>
  <w:endnote w:id="18">
    <w:p w14:paraId="220044AB" w14:textId="5F06DBEB" w:rsidR="007C5B22" w:rsidRDefault="007C5B22" w:rsidP="007C5B22">
      <w:pPr>
        <w:pStyle w:val="EndnoteText"/>
        <w:widowControl w:val="0"/>
        <w:tabs>
          <w:tab w:val="clear" w:pos="1021"/>
          <w:tab w:val="right" w:pos="1020"/>
        </w:tabs>
      </w:pPr>
      <w:r>
        <w:tab/>
      </w:r>
      <w:r>
        <w:rPr>
          <w:rStyle w:val="EndnoteReference"/>
        </w:rPr>
        <w:endnoteRef/>
      </w:r>
      <w:r>
        <w:tab/>
      </w:r>
      <w:r w:rsidRPr="007C5B22">
        <w:t>Letter from HR Committee to the Permanent Mission of Guatemala to the United Nations Office and other international organizations in Geneva, dated 9 June 2015, available from http://tbinternet.ohchr.org/Treaties/CCPR/Shared%20Documents/GTM/INT_CCPR_FUL_GTM_20915_S.pdf.</w:t>
      </w:r>
    </w:p>
  </w:endnote>
  <w:endnote w:id="19">
    <w:p w14:paraId="70550894" w14:textId="143F7FB0" w:rsidR="00CE7C13" w:rsidRDefault="00CE7C13" w:rsidP="00CE7C13">
      <w:pPr>
        <w:pStyle w:val="EndnoteText"/>
        <w:widowControl w:val="0"/>
        <w:tabs>
          <w:tab w:val="clear" w:pos="1021"/>
          <w:tab w:val="right" w:pos="1020"/>
        </w:tabs>
      </w:pPr>
      <w:r>
        <w:tab/>
      </w:r>
      <w:r>
        <w:rPr>
          <w:rStyle w:val="EndnoteReference"/>
        </w:rPr>
        <w:endnoteRef/>
      </w:r>
      <w:r>
        <w:tab/>
      </w:r>
      <w:r w:rsidRPr="00F1440A">
        <w:rPr>
          <w:szCs w:val="18"/>
          <w:lang w:val="es-ES"/>
        </w:rPr>
        <w:t xml:space="preserve">CEDAW/C/GUA/CO/7, para. </w:t>
      </w:r>
      <w:r w:rsidRPr="009305B8">
        <w:rPr>
          <w:szCs w:val="18"/>
        </w:rPr>
        <w:t>47.</w:t>
      </w:r>
    </w:p>
  </w:endnote>
  <w:endnote w:id="20">
    <w:p w14:paraId="203D6069" w14:textId="7B8D5517" w:rsidR="00CE7C13" w:rsidRDefault="00CE7C13" w:rsidP="00CE7C13">
      <w:pPr>
        <w:pStyle w:val="EndnoteText"/>
        <w:widowControl w:val="0"/>
        <w:tabs>
          <w:tab w:val="clear" w:pos="1021"/>
          <w:tab w:val="right" w:pos="1020"/>
        </w:tabs>
      </w:pPr>
      <w:r>
        <w:tab/>
      </w:r>
      <w:r>
        <w:rPr>
          <w:rStyle w:val="EndnoteReference"/>
        </w:rPr>
        <w:endnoteRef/>
      </w:r>
      <w:r>
        <w:tab/>
      </w:r>
      <w:r>
        <w:rPr>
          <w:szCs w:val="18"/>
        </w:rPr>
        <w:t>L</w:t>
      </w:r>
      <w:r w:rsidRPr="00F23213">
        <w:rPr>
          <w:szCs w:val="18"/>
        </w:rPr>
        <w:t xml:space="preserve">etter </w:t>
      </w:r>
      <w:r>
        <w:rPr>
          <w:szCs w:val="18"/>
        </w:rPr>
        <w:t>from CEDAW to the Permanent Mission of Guatemala to the United Nations Office and other international organizations in Geneva, dated 3 September 2013, available from</w:t>
      </w:r>
      <w:r w:rsidRPr="008D01A8">
        <w:rPr>
          <w:szCs w:val="18"/>
        </w:rPr>
        <w:t xml:space="preserve"> http://tbinternet.ohchr.org/Treaties/CEDAW/Shared%20Documents/GTM/INT_CEDAW_FUL_GTM_15069_E.pdf</w:t>
      </w:r>
      <w:r>
        <w:rPr>
          <w:szCs w:val="18"/>
        </w:rPr>
        <w:t>.</w:t>
      </w:r>
    </w:p>
  </w:endnote>
  <w:endnote w:id="21">
    <w:p w14:paraId="47052439" w14:textId="0AAA2ABF" w:rsidR="00CE7C13" w:rsidRDefault="00CE7C13" w:rsidP="00CE7C13">
      <w:pPr>
        <w:pStyle w:val="EndnoteText"/>
        <w:widowControl w:val="0"/>
        <w:tabs>
          <w:tab w:val="clear" w:pos="1021"/>
          <w:tab w:val="right" w:pos="1020"/>
        </w:tabs>
      </w:pPr>
      <w:r>
        <w:tab/>
      </w:r>
      <w:r>
        <w:rPr>
          <w:rStyle w:val="EndnoteReference"/>
        </w:rPr>
        <w:endnoteRef/>
      </w:r>
      <w:r>
        <w:tab/>
      </w:r>
      <w:r w:rsidRPr="00977923">
        <w:rPr>
          <w:szCs w:val="18"/>
          <w:lang w:val="es-ES"/>
        </w:rPr>
        <w:t>CAT/C/GTM/CO/5-6, para. 28.</w:t>
      </w:r>
    </w:p>
  </w:endnote>
  <w:endnote w:id="22">
    <w:p w14:paraId="0FE5D3D1" w14:textId="002CB526" w:rsidR="00547144" w:rsidRDefault="00547144" w:rsidP="00547144">
      <w:pPr>
        <w:pStyle w:val="EndnoteText"/>
        <w:widowControl w:val="0"/>
        <w:tabs>
          <w:tab w:val="clear" w:pos="1021"/>
          <w:tab w:val="right" w:pos="1020"/>
        </w:tabs>
      </w:pPr>
      <w:r>
        <w:tab/>
      </w:r>
      <w:r>
        <w:rPr>
          <w:rStyle w:val="EndnoteReference"/>
        </w:rPr>
        <w:endnoteRef/>
      </w:r>
      <w:r>
        <w:tab/>
      </w:r>
      <w:r w:rsidRPr="00547144">
        <w:t>CAT/C/GTM/CO/5-6/Add.1</w:t>
      </w:r>
      <w:r>
        <w:t>.</w:t>
      </w:r>
    </w:p>
  </w:endnote>
  <w:endnote w:id="23">
    <w:p w14:paraId="752377A4" w14:textId="0CBE78A1" w:rsidR="00CE7C13" w:rsidRDefault="00CE7C13" w:rsidP="00CE7C13">
      <w:pPr>
        <w:pStyle w:val="EndnoteText"/>
        <w:widowControl w:val="0"/>
        <w:tabs>
          <w:tab w:val="clear" w:pos="1021"/>
          <w:tab w:val="right" w:pos="1020"/>
        </w:tabs>
      </w:pPr>
      <w:r>
        <w:tab/>
      </w:r>
      <w:r>
        <w:rPr>
          <w:rStyle w:val="EndnoteReference"/>
        </w:rPr>
        <w:endnoteRef/>
      </w:r>
      <w:r>
        <w:tab/>
      </w:r>
      <w:r>
        <w:rPr>
          <w:szCs w:val="18"/>
        </w:rPr>
        <w:t>L</w:t>
      </w:r>
      <w:r w:rsidRPr="00F23213">
        <w:rPr>
          <w:szCs w:val="18"/>
        </w:rPr>
        <w:t xml:space="preserve">etter </w:t>
      </w:r>
      <w:r>
        <w:rPr>
          <w:szCs w:val="18"/>
        </w:rPr>
        <w:t>from CAT to the Permanent Mission of Guatemala to the United Nations Office and other international organizations in Geneva, dated 29 August 2016, available from</w:t>
      </w:r>
      <w:r w:rsidRPr="008D01A8">
        <w:rPr>
          <w:szCs w:val="18"/>
        </w:rPr>
        <w:t xml:space="preserve"> http://tbinternet.ohchr.org/Treaties/CAT/Shared%20Documents/GTM/INT_CAT_FUL_GTM_25012_E.pdf</w:t>
      </w:r>
      <w:r>
        <w:rPr>
          <w:szCs w:val="18"/>
        </w:rPr>
        <w:t>.</w:t>
      </w:r>
    </w:p>
  </w:endnote>
  <w:endnote w:id="24">
    <w:p w14:paraId="762113D3" w14:textId="67551504" w:rsidR="00CE7C13" w:rsidRDefault="00CE7C13" w:rsidP="00CE7C13">
      <w:pPr>
        <w:pStyle w:val="EndnoteText"/>
        <w:widowControl w:val="0"/>
        <w:tabs>
          <w:tab w:val="clear" w:pos="1021"/>
          <w:tab w:val="right" w:pos="1020"/>
        </w:tabs>
      </w:pPr>
      <w:r>
        <w:tab/>
      </w:r>
      <w:r>
        <w:rPr>
          <w:rStyle w:val="EndnoteReference"/>
        </w:rPr>
        <w:endnoteRef/>
      </w:r>
      <w:r>
        <w:tab/>
      </w:r>
      <w:r w:rsidRPr="00F1440A">
        <w:rPr>
          <w:szCs w:val="18"/>
          <w:lang w:val="es-ES"/>
        </w:rPr>
        <w:t>CRPD/C/GTM/CO/1, para. 79.</w:t>
      </w:r>
    </w:p>
  </w:endnote>
  <w:endnote w:id="25">
    <w:p w14:paraId="45381FC2" w14:textId="77777777"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26">
    <w:p w14:paraId="15274173"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7">
    <w:p w14:paraId="2F5C6D92" w14:textId="77777777" w:rsidR="00687FE7" w:rsidRDefault="00687FE7" w:rsidP="00687FE7">
      <w:pPr>
        <w:pStyle w:val="EndnoteText"/>
        <w:widowControl w:val="0"/>
        <w:tabs>
          <w:tab w:val="clear" w:pos="1021"/>
          <w:tab w:val="right" w:pos="1020"/>
        </w:tabs>
        <w:rPr>
          <w:bCs/>
          <w:szCs w:val="18"/>
        </w:rPr>
      </w:pPr>
      <w:r w:rsidRPr="009B529A">
        <w:tab/>
      </w:r>
      <w:r w:rsidRPr="009B529A">
        <w:rPr>
          <w:rStyle w:val="EndnoteReference"/>
        </w:rPr>
        <w:endnoteRef/>
      </w:r>
      <w:r w:rsidRPr="009B529A">
        <w:tab/>
      </w:r>
      <w:r w:rsidRPr="009B529A">
        <w:rPr>
          <w:szCs w:val="18"/>
        </w:rPr>
        <w:t>The list of national human rights institutions with accreditation status granted by the Global Alliance of National Human Rights Institutions (GANHRI), accessed at:</w:t>
      </w:r>
      <w:r>
        <w:rPr>
          <w:szCs w:val="18"/>
        </w:rPr>
        <w:t xml:space="preserve"> </w:t>
      </w:r>
      <w:r w:rsidRPr="00247843">
        <w:rPr>
          <w:rStyle w:val="Hyperlink"/>
          <w:bCs/>
          <w:szCs w:val="18"/>
        </w:rPr>
        <w:t>http://www.ohchr.org/Documents/Countries/NHRI/Chart_Status_NIs.pdf</w:t>
      </w:r>
      <w:r>
        <w:rPr>
          <w:bCs/>
          <w:szCs w:val="18"/>
        </w:rPr>
        <w:t>.</w:t>
      </w:r>
    </w:p>
    <w:p w14:paraId="07E43469" w14:textId="77777777" w:rsidR="00687FE7" w:rsidRPr="000138D7" w:rsidRDefault="00687FE7" w:rsidP="00687FE7">
      <w:pPr>
        <w:pStyle w:val="EndnoteText"/>
        <w:tabs>
          <w:tab w:val="clear" w:pos="1021"/>
          <w:tab w:val="right" w:pos="1020"/>
        </w:tabs>
        <w:spacing w:before="240" w:line="240" w:lineRule="atLeast"/>
        <w:ind w:firstLine="0"/>
        <w:jc w:val="center"/>
        <w:rPr>
          <w:szCs w:val="18"/>
          <w:u w:val="single"/>
        </w:rPr>
      </w:pPr>
      <w:r>
        <w:rPr>
          <w:bCs/>
          <w:szCs w:val="18"/>
          <w:u w:val="single"/>
        </w:rPr>
        <w:tab/>
      </w:r>
      <w:r>
        <w:rPr>
          <w:bCs/>
          <w:szCs w:val="18"/>
          <w:u w:val="single"/>
        </w:rPr>
        <w:tab/>
      </w:r>
      <w:r>
        <w:rPr>
          <w:bCs/>
          <w:szCs w:val="18"/>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14:paraId="1A4A57FF" w14:textId="02FD3A5A" w:rsidR="00674A7D" w:rsidRDefault="00674A7D">
        <w:pPr>
          <w:pStyle w:val="Footer"/>
          <w:jc w:val="right"/>
        </w:pPr>
        <w:r>
          <w:fldChar w:fldCharType="begin"/>
        </w:r>
        <w:r>
          <w:instrText xml:space="preserve"> PAGE   \* MERGEFORMAT </w:instrText>
        </w:r>
        <w:r>
          <w:fldChar w:fldCharType="separate"/>
        </w:r>
        <w:r w:rsidR="00687FE7">
          <w:rPr>
            <w:noProof/>
          </w:rPr>
          <w:t>8</w:t>
        </w:r>
        <w:r>
          <w:rPr>
            <w:noProof/>
          </w:rPr>
          <w:fldChar w:fldCharType="end"/>
        </w:r>
      </w:p>
    </w:sdtContent>
  </w:sdt>
  <w:p w14:paraId="5A1414AB"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CA044" w14:textId="77777777" w:rsidR="004D1140" w:rsidRDefault="0013136E" w:rsidP="00542574">
    <w:r>
      <w:rPr>
        <w:noProof/>
        <w:lang w:eastAsia="en-GB"/>
      </w:rPr>
      <w:drawing>
        <wp:anchor distT="0" distB="0" distL="114300" distR="114300" simplePos="0" relativeHeight="251657728" behindDoc="0" locked="1" layoutInCell="1" allowOverlap="1" wp14:anchorId="45F14FDE" wp14:editId="5591C965">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86905" w14:textId="77777777" w:rsidR="00F7525A" w:rsidRPr="000B175B" w:rsidRDefault="00F7525A" w:rsidP="000B175B">
      <w:pPr>
        <w:tabs>
          <w:tab w:val="right" w:pos="2155"/>
        </w:tabs>
        <w:spacing w:after="80"/>
        <w:ind w:left="680"/>
        <w:rPr>
          <w:u w:val="single"/>
        </w:rPr>
      </w:pPr>
      <w:r>
        <w:rPr>
          <w:u w:val="single"/>
        </w:rPr>
        <w:tab/>
      </w:r>
    </w:p>
  </w:footnote>
  <w:footnote w:type="continuationSeparator" w:id="0">
    <w:p w14:paraId="6C1A5DFA" w14:textId="77777777" w:rsidR="00F7525A" w:rsidRPr="00FC68B7" w:rsidRDefault="00F7525A" w:rsidP="00FC68B7">
      <w:pPr>
        <w:tabs>
          <w:tab w:val="left" w:pos="2155"/>
        </w:tabs>
        <w:spacing w:after="80"/>
        <w:ind w:left="680"/>
        <w:rPr>
          <w:u w:val="single"/>
        </w:rPr>
      </w:pPr>
      <w:r>
        <w:rPr>
          <w:u w:val="single"/>
        </w:rPr>
        <w:tab/>
      </w:r>
    </w:p>
  </w:footnote>
  <w:footnote w:type="continuationNotice" w:id="1">
    <w:p w14:paraId="34159BC1" w14:textId="77777777" w:rsidR="00F7525A" w:rsidRDefault="00F7525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7F7F"/>
    <w:rsid w:val="000103FF"/>
    <w:rsid w:val="000212A6"/>
    <w:rsid w:val="00022DB5"/>
    <w:rsid w:val="0002432F"/>
    <w:rsid w:val="000403D1"/>
    <w:rsid w:val="000449AA"/>
    <w:rsid w:val="00050F6B"/>
    <w:rsid w:val="00072C8C"/>
    <w:rsid w:val="00073E70"/>
    <w:rsid w:val="00075368"/>
    <w:rsid w:val="000876EB"/>
    <w:rsid w:val="00091419"/>
    <w:rsid w:val="000931C0"/>
    <w:rsid w:val="000A7CC0"/>
    <w:rsid w:val="000B175B"/>
    <w:rsid w:val="000B3A0F"/>
    <w:rsid w:val="000B4A3B"/>
    <w:rsid w:val="000D0709"/>
    <w:rsid w:val="000D1851"/>
    <w:rsid w:val="000E0415"/>
    <w:rsid w:val="0013065A"/>
    <w:rsid w:val="0013136E"/>
    <w:rsid w:val="00132BC7"/>
    <w:rsid w:val="00146D32"/>
    <w:rsid w:val="001509BA"/>
    <w:rsid w:val="001614E7"/>
    <w:rsid w:val="00167047"/>
    <w:rsid w:val="001A4F86"/>
    <w:rsid w:val="001B4B04"/>
    <w:rsid w:val="001C650E"/>
    <w:rsid w:val="001C6663"/>
    <w:rsid w:val="001C7895"/>
    <w:rsid w:val="001D159C"/>
    <w:rsid w:val="001D26DF"/>
    <w:rsid w:val="001D59EA"/>
    <w:rsid w:val="001E2790"/>
    <w:rsid w:val="001E5256"/>
    <w:rsid w:val="0021130C"/>
    <w:rsid w:val="00211E0B"/>
    <w:rsid w:val="00211E72"/>
    <w:rsid w:val="00214047"/>
    <w:rsid w:val="0022130F"/>
    <w:rsid w:val="0022777B"/>
    <w:rsid w:val="00237785"/>
    <w:rsid w:val="00240E34"/>
    <w:rsid w:val="002410DD"/>
    <w:rsid w:val="00241466"/>
    <w:rsid w:val="00253D58"/>
    <w:rsid w:val="00254654"/>
    <w:rsid w:val="002639F3"/>
    <w:rsid w:val="00264FA3"/>
    <w:rsid w:val="0027725F"/>
    <w:rsid w:val="00283647"/>
    <w:rsid w:val="00296EB7"/>
    <w:rsid w:val="00297B85"/>
    <w:rsid w:val="002B4713"/>
    <w:rsid w:val="002B5DFD"/>
    <w:rsid w:val="002B7883"/>
    <w:rsid w:val="002C21F0"/>
    <w:rsid w:val="002E646B"/>
    <w:rsid w:val="003107FA"/>
    <w:rsid w:val="00317977"/>
    <w:rsid w:val="003229D8"/>
    <w:rsid w:val="00324383"/>
    <w:rsid w:val="003314D1"/>
    <w:rsid w:val="00335A2F"/>
    <w:rsid w:val="00341937"/>
    <w:rsid w:val="003467B7"/>
    <w:rsid w:val="0037215F"/>
    <w:rsid w:val="00380822"/>
    <w:rsid w:val="00386239"/>
    <w:rsid w:val="0039277A"/>
    <w:rsid w:val="003972E0"/>
    <w:rsid w:val="003975ED"/>
    <w:rsid w:val="003A4E25"/>
    <w:rsid w:val="003B1650"/>
    <w:rsid w:val="003C2CC4"/>
    <w:rsid w:val="003D4B23"/>
    <w:rsid w:val="003E065C"/>
    <w:rsid w:val="003E33AE"/>
    <w:rsid w:val="003E6998"/>
    <w:rsid w:val="00400E06"/>
    <w:rsid w:val="00402E7F"/>
    <w:rsid w:val="00420021"/>
    <w:rsid w:val="00420F8B"/>
    <w:rsid w:val="00424C80"/>
    <w:rsid w:val="00430398"/>
    <w:rsid w:val="00431A65"/>
    <w:rsid w:val="004325CB"/>
    <w:rsid w:val="0044503A"/>
    <w:rsid w:val="00446DE4"/>
    <w:rsid w:val="00447761"/>
    <w:rsid w:val="00450377"/>
    <w:rsid w:val="00451EC3"/>
    <w:rsid w:val="00452E6F"/>
    <w:rsid w:val="004721B1"/>
    <w:rsid w:val="004766F2"/>
    <w:rsid w:val="0048016B"/>
    <w:rsid w:val="004859EC"/>
    <w:rsid w:val="00496A15"/>
    <w:rsid w:val="004A76BD"/>
    <w:rsid w:val="004B75D2"/>
    <w:rsid w:val="004D1140"/>
    <w:rsid w:val="004D580A"/>
    <w:rsid w:val="004E01CE"/>
    <w:rsid w:val="004E25CB"/>
    <w:rsid w:val="004F55ED"/>
    <w:rsid w:val="00504CA4"/>
    <w:rsid w:val="0052176C"/>
    <w:rsid w:val="005261E5"/>
    <w:rsid w:val="00541611"/>
    <w:rsid w:val="005420F2"/>
    <w:rsid w:val="00542574"/>
    <w:rsid w:val="005436AB"/>
    <w:rsid w:val="005457B9"/>
    <w:rsid w:val="00546DBF"/>
    <w:rsid w:val="00547144"/>
    <w:rsid w:val="005512BA"/>
    <w:rsid w:val="00553D76"/>
    <w:rsid w:val="005552B5"/>
    <w:rsid w:val="0056117B"/>
    <w:rsid w:val="005620C3"/>
    <w:rsid w:val="00571365"/>
    <w:rsid w:val="00587893"/>
    <w:rsid w:val="005A22DB"/>
    <w:rsid w:val="005A472D"/>
    <w:rsid w:val="005B1228"/>
    <w:rsid w:val="005B3DB3"/>
    <w:rsid w:val="005B6E48"/>
    <w:rsid w:val="005D0C28"/>
    <w:rsid w:val="005E1712"/>
    <w:rsid w:val="005F0848"/>
    <w:rsid w:val="00611FC4"/>
    <w:rsid w:val="006176FB"/>
    <w:rsid w:val="00626E6C"/>
    <w:rsid w:val="00640B26"/>
    <w:rsid w:val="00670741"/>
    <w:rsid w:val="00674A7D"/>
    <w:rsid w:val="00676C10"/>
    <w:rsid w:val="006808A9"/>
    <w:rsid w:val="00687FE7"/>
    <w:rsid w:val="00696BD6"/>
    <w:rsid w:val="006A6B9D"/>
    <w:rsid w:val="006A7392"/>
    <w:rsid w:val="006B3189"/>
    <w:rsid w:val="006B7D65"/>
    <w:rsid w:val="006D6DA6"/>
    <w:rsid w:val="006E564B"/>
    <w:rsid w:val="006F13F0"/>
    <w:rsid w:val="006F3BB2"/>
    <w:rsid w:val="006F5035"/>
    <w:rsid w:val="007065EB"/>
    <w:rsid w:val="00720183"/>
    <w:rsid w:val="0072632A"/>
    <w:rsid w:val="00741A0B"/>
    <w:rsid w:val="0074200B"/>
    <w:rsid w:val="00757201"/>
    <w:rsid w:val="007971B3"/>
    <w:rsid w:val="007A5ABE"/>
    <w:rsid w:val="007A6296"/>
    <w:rsid w:val="007B6BA5"/>
    <w:rsid w:val="007C1466"/>
    <w:rsid w:val="007C1B62"/>
    <w:rsid w:val="007C3390"/>
    <w:rsid w:val="007C4F4B"/>
    <w:rsid w:val="007C5B22"/>
    <w:rsid w:val="007D2CDC"/>
    <w:rsid w:val="007D5213"/>
    <w:rsid w:val="007D5327"/>
    <w:rsid w:val="007E2C3B"/>
    <w:rsid w:val="007E75F7"/>
    <w:rsid w:val="007F085C"/>
    <w:rsid w:val="007F6611"/>
    <w:rsid w:val="008155C3"/>
    <w:rsid w:val="008175E9"/>
    <w:rsid w:val="0082243E"/>
    <w:rsid w:val="008242D7"/>
    <w:rsid w:val="0084657B"/>
    <w:rsid w:val="00856CD2"/>
    <w:rsid w:val="00861BC6"/>
    <w:rsid w:val="00871FD5"/>
    <w:rsid w:val="00875FCF"/>
    <w:rsid w:val="00880A55"/>
    <w:rsid w:val="0089383F"/>
    <w:rsid w:val="00895484"/>
    <w:rsid w:val="008979B1"/>
    <w:rsid w:val="008A6B25"/>
    <w:rsid w:val="008A6C4F"/>
    <w:rsid w:val="008C1E4D"/>
    <w:rsid w:val="008E0E46"/>
    <w:rsid w:val="008F20B3"/>
    <w:rsid w:val="0090452C"/>
    <w:rsid w:val="009045C9"/>
    <w:rsid w:val="00907C3F"/>
    <w:rsid w:val="0092237C"/>
    <w:rsid w:val="0092622D"/>
    <w:rsid w:val="00927565"/>
    <w:rsid w:val="0093707B"/>
    <w:rsid w:val="009400EB"/>
    <w:rsid w:val="009427E3"/>
    <w:rsid w:val="0094563C"/>
    <w:rsid w:val="00956D9B"/>
    <w:rsid w:val="0096139A"/>
    <w:rsid w:val="00963CBA"/>
    <w:rsid w:val="009654B7"/>
    <w:rsid w:val="00967FA4"/>
    <w:rsid w:val="00975459"/>
    <w:rsid w:val="009822C1"/>
    <w:rsid w:val="00991261"/>
    <w:rsid w:val="009A0B83"/>
    <w:rsid w:val="009A703E"/>
    <w:rsid w:val="009B3800"/>
    <w:rsid w:val="009D22AC"/>
    <w:rsid w:val="009D3FA1"/>
    <w:rsid w:val="009D50DB"/>
    <w:rsid w:val="009E1C4E"/>
    <w:rsid w:val="009E78E3"/>
    <w:rsid w:val="009F3359"/>
    <w:rsid w:val="00A02BFB"/>
    <w:rsid w:val="00A02F74"/>
    <w:rsid w:val="00A05E0B"/>
    <w:rsid w:val="00A074DD"/>
    <w:rsid w:val="00A1427D"/>
    <w:rsid w:val="00A3619D"/>
    <w:rsid w:val="00A4634F"/>
    <w:rsid w:val="00A51CF3"/>
    <w:rsid w:val="00A57B68"/>
    <w:rsid w:val="00A72F22"/>
    <w:rsid w:val="00A748A6"/>
    <w:rsid w:val="00A879A4"/>
    <w:rsid w:val="00A87E95"/>
    <w:rsid w:val="00A92E29"/>
    <w:rsid w:val="00AA643E"/>
    <w:rsid w:val="00AD09E9"/>
    <w:rsid w:val="00AF0576"/>
    <w:rsid w:val="00AF143D"/>
    <w:rsid w:val="00AF3829"/>
    <w:rsid w:val="00B037F0"/>
    <w:rsid w:val="00B14190"/>
    <w:rsid w:val="00B2327D"/>
    <w:rsid w:val="00B2718F"/>
    <w:rsid w:val="00B30179"/>
    <w:rsid w:val="00B3317B"/>
    <w:rsid w:val="00B334DC"/>
    <w:rsid w:val="00B3631A"/>
    <w:rsid w:val="00B53013"/>
    <w:rsid w:val="00B571F8"/>
    <w:rsid w:val="00B67F5E"/>
    <w:rsid w:val="00B73E65"/>
    <w:rsid w:val="00B81E12"/>
    <w:rsid w:val="00B83DBF"/>
    <w:rsid w:val="00B87110"/>
    <w:rsid w:val="00B87FB0"/>
    <w:rsid w:val="00B90627"/>
    <w:rsid w:val="00B96F00"/>
    <w:rsid w:val="00B97FA8"/>
    <w:rsid w:val="00BB2720"/>
    <w:rsid w:val="00BC1385"/>
    <w:rsid w:val="00BC74E9"/>
    <w:rsid w:val="00BE618E"/>
    <w:rsid w:val="00C24693"/>
    <w:rsid w:val="00C3427B"/>
    <w:rsid w:val="00C35F0B"/>
    <w:rsid w:val="00C463DD"/>
    <w:rsid w:val="00C64458"/>
    <w:rsid w:val="00C64C19"/>
    <w:rsid w:val="00C745C3"/>
    <w:rsid w:val="00C81253"/>
    <w:rsid w:val="00CA2A58"/>
    <w:rsid w:val="00CA2E07"/>
    <w:rsid w:val="00CA6DE7"/>
    <w:rsid w:val="00CC0B55"/>
    <w:rsid w:val="00CD6995"/>
    <w:rsid w:val="00CE4A8F"/>
    <w:rsid w:val="00CE7C13"/>
    <w:rsid w:val="00CF0214"/>
    <w:rsid w:val="00CF586F"/>
    <w:rsid w:val="00CF7D43"/>
    <w:rsid w:val="00D11129"/>
    <w:rsid w:val="00D2031B"/>
    <w:rsid w:val="00D22332"/>
    <w:rsid w:val="00D226FD"/>
    <w:rsid w:val="00D25FE2"/>
    <w:rsid w:val="00D43252"/>
    <w:rsid w:val="00D47642"/>
    <w:rsid w:val="00D550F9"/>
    <w:rsid w:val="00D572B0"/>
    <w:rsid w:val="00D57EDC"/>
    <w:rsid w:val="00D62E90"/>
    <w:rsid w:val="00D7670F"/>
    <w:rsid w:val="00D76BE5"/>
    <w:rsid w:val="00D8128F"/>
    <w:rsid w:val="00D978C6"/>
    <w:rsid w:val="00DA67AD"/>
    <w:rsid w:val="00DB18CE"/>
    <w:rsid w:val="00DD3674"/>
    <w:rsid w:val="00DE3EC0"/>
    <w:rsid w:val="00DE7BF3"/>
    <w:rsid w:val="00E11593"/>
    <w:rsid w:val="00E12B6B"/>
    <w:rsid w:val="00E130AB"/>
    <w:rsid w:val="00E170D4"/>
    <w:rsid w:val="00E438D9"/>
    <w:rsid w:val="00E5644E"/>
    <w:rsid w:val="00E57E70"/>
    <w:rsid w:val="00E7260F"/>
    <w:rsid w:val="00E806EE"/>
    <w:rsid w:val="00E86049"/>
    <w:rsid w:val="00E96630"/>
    <w:rsid w:val="00EB0FB9"/>
    <w:rsid w:val="00ED0CA9"/>
    <w:rsid w:val="00ED7A2A"/>
    <w:rsid w:val="00EE744E"/>
    <w:rsid w:val="00EE7D5F"/>
    <w:rsid w:val="00EF1D7F"/>
    <w:rsid w:val="00EF5BDB"/>
    <w:rsid w:val="00F07FD9"/>
    <w:rsid w:val="00F21C38"/>
    <w:rsid w:val="00F23933"/>
    <w:rsid w:val="00F24119"/>
    <w:rsid w:val="00F30B7B"/>
    <w:rsid w:val="00F40E75"/>
    <w:rsid w:val="00F42CD9"/>
    <w:rsid w:val="00F515F9"/>
    <w:rsid w:val="00F52936"/>
    <w:rsid w:val="00F677CB"/>
    <w:rsid w:val="00F72113"/>
    <w:rsid w:val="00F723A2"/>
    <w:rsid w:val="00F7525A"/>
    <w:rsid w:val="00F76CA4"/>
    <w:rsid w:val="00FA7DF3"/>
    <w:rsid w:val="00FC68B7"/>
    <w:rsid w:val="00FD268F"/>
    <w:rsid w:val="00FD3280"/>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B89BC"/>
  <w15:docId w15:val="{44E1ABA2-95F5-4B35-B1EA-257A8288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 w:type="character" w:customStyle="1" w:styleId="FootnoteTextChar">
    <w:name w:val="Footnote Text Char"/>
    <w:aliases w:val="5_G Char"/>
    <w:basedOn w:val="DefaultParagraphFont"/>
    <w:link w:val="FootnoteText"/>
    <w:uiPriority w:val="99"/>
    <w:rsid w:val="001D159C"/>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tbinternet.ohchr.org/_layouts/TreatyBodyExternal/Countries.aspx?CountryCode=GTM&amp;Lang=EN" TargetMode="External"/><Relationship Id="rId1" Type="http://schemas.openxmlformats.org/officeDocument/2006/relationships/hyperlink" Target="https://ihl-databases.icrc.org/applic/ihl/ihl.nsf/vwTreaties1949.xs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58EFEF-FCD7-4F1C-820E-66DF4697A996}"/>
</file>

<file path=customXml/itemProps2.xml><?xml version="1.0" encoding="utf-8"?>
<ds:datastoreItem xmlns:ds="http://schemas.openxmlformats.org/officeDocument/2006/customXml" ds:itemID="{56F52285-AC4A-470E-A2C3-2715EFAE25BD}"/>
</file>

<file path=customXml/itemProps3.xml><?xml version="1.0" encoding="utf-8"?>
<ds:datastoreItem xmlns:ds="http://schemas.openxmlformats.org/officeDocument/2006/customXml" ds:itemID="{69F9A91C-A98B-4ADB-99CE-32B5DA958481}"/>
</file>

<file path=docProps/app.xml><?xml version="1.0" encoding="utf-8"?>
<Properties xmlns="http://schemas.openxmlformats.org/officeDocument/2006/extended-properties" xmlns:vt="http://schemas.openxmlformats.org/officeDocument/2006/docPropsVTypes">
  <Template>A_E.dotm</Template>
  <TotalTime>91</TotalTime>
  <Pages>8</Pages>
  <Words>1012</Words>
  <Characters>5769</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A.HRC.WG.6.28.GTM.2.Annex</dc:title>
  <dc:creator>Sumiko IHARA</dc:creator>
  <cp:lastModifiedBy>Feyikemi Oyewole</cp:lastModifiedBy>
  <cp:revision>49</cp:revision>
  <cp:lastPrinted>2008-01-29T07:30:00Z</cp:lastPrinted>
  <dcterms:created xsi:type="dcterms:W3CDTF">2017-09-06T12:08:00Z</dcterms:created>
  <dcterms:modified xsi:type="dcterms:W3CDTF">2017-09-14T10:22:00Z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1346400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