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1ED0CE4E"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CF61F2">
        <w:rPr>
          <w:lang w:val="en-US"/>
        </w:rPr>
        <w:t>Serbia</w:t>
      </w:r>
    </w:p>
    <w:p w14:paraId="1A765EE4" w14:textId="533903A2" w:rsidR="00A02BFB" w:rsidRPr="00A02BFB" w:rsidRDefault="005512BA" w:rsidP="005512BA">
      <w:pPr>
        <w:pStyle w:val="HChG"/>
      </w:pPr>
      <w:r w:rsidRPr="00EA4E8E">
        <w:rPr>
          <w:lang w:val="en-US"/>
        </w:rPr>
        <w:tab/>
      </w:r>
      <w:r w:rsidR="00A02BFB" w:rsidRPr="00A02BFB">
        <w:t>I.</w:t>
      </w:r>
      <w:r w:rsidR="00A02BFB" w:rsidRPr="00A02BFB">
        <w:tab/>
      </w:r>
      <w:r w:rsidR="00CF61F2" w:rsidRPr="00CF61F2">
        <w:t>Scope of international obligations</w:t>
      </w:r>
      <w:r w:rsidR="00CF61F2" w:rsidRPr="00CF61F2">
        <w:rPr>
          <w:rStyle w:val="EndnoteReference"/>
          <w:b w:val="0"/>
        </w:rPr>
        <w:endnoteReference w:id="2"/>
      </w:r>
    </w:p>
    <w:p w14:paraId="4A231922" w14:textId="42CEDC46" w:rsidR="00A02BFB" w:rsidRPr="00A02BFB" w:rsidRDefault="00A02BFB" w:rsidP="005512BA">
      <w:pPr>
        <w:pStyle w:val="H1G"/>
      </w:pPr>
      <w:r w:rsidRPr="00A02BFB">
        <w:tab/>
      </w:r>
      <w:r>
        <w:t>A</w:t>
      </w:r>
      <w:r w:rsidRPr="00A02BFB">
        <w:t>.</w:t>
      </w:r>
      <w:r w:rsidRPr="00A02BFB">
        <w:tab/>
      </w:r>
      <w:bookmarkStart w:id="0" w:name="Table_Int_HR_Treaties"/>
      <w:r w:rsidR="00CF61F2" w:rsidRPr="00CF61F2">
        <w:t>International human rights treaties</w:t>
      </w:r>
      <w:bookmarkEnd w:id="0"/>
      <w:r w:rsidR="00CF61F2" w:rsidRPr="00CF61F2">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6FBB47A7" w14:textId="77777777" w:rsidR="00021C5B" w:rsidRPr="00021C5B" w:rsidRDefault="00021C5B" w:rsidP="00021C5B">
            <w:pPr>
              <w:spacing w:before="40" w:after="120"/>
              <w:ind w:right="113"/>
              <w:rPr>
                <w:lang w:val="fr-CH"/>
              </w:rPr>
            </w:pPr>
            <w:r w:rsidRPr="00021C5B">
              <w:rPr>
                <w:lang w:val="fr-CH"/>
              </w:rPr>
              <w:t>ICERD (2001)</w:t>
            </w:r>
          </w:p>
          <w:p w14:paraId="7EB8C26E" w14:textId="77777777" w:rsidR="00021C5B" w:rsidRPr="00021C5B" w:rsidRDefault="00021C5B" w:rsidP="00021C5B">
            <w:pPr>
              <w:spacing w:before="40" w:after="120"/>
              <w:ind w:right="113"/>
              <w:rPr>
                <w:lang w:val="fr-CH"/>
              </w:rPr>
            </w:pPr>
            <w:r w:rsidRPr="00021C5B">
              <w:rPr>
                <w:lang w:val="fr-CH"/>
              </w:rPr>
              <w:t>ICESCR (2001)</w:t>
            </w:r>
          </w:p>
          <w:p w14:paraId="11080467" w14:textId="77777777" w:rsidR="00021C5B" w:rsidRPr="00021C5B" w:rsidRDefault="00021C5B" w:rsidP="00021C5B">
            <w:pPr>
              <w:spacing w:before="40" w:after="120"/>
              <w:ind w:right="113"/>
              <w:rPr>
                <w:lang w:val="fr-CH"/>
              </w:rPr>
            </w:pPr>
            <w:r w:rsidRPr="00021C5B">
              <w:rPr>
                <w:lang w:val="fr-CH"/>
              </w:rPr>
              <w:t>ICCPR (2001)</w:t>
            </w:r>
          </w:p>
          <w:p w14:paraId="7B9DA26E" w14:textId="77777777" w:rsidR="00021C5B" w:rsidRPr="00021C5B" w:rsidRDefault="00021C5B" w:rsidP="00021C5B">
            <w:pPr>
              <w:spacing w:before="40" w:after="120"/>
              <w:ind w:right="113"/>
              <w:rPr>
                <w:lang w:val="fr-CH"/>
              </w:rPr>
            </w:pPr>
            <w:r w:rsidRPr="00021C5B">
              <w:rPr>
                <w:lang w:val="fr-CH"/>
              </w:rPr>
              <w:t>ICCPR-OP 2 (2001)</w:t>
            </w:r>
          </w:p>
          <w:p w14:paraId="696D4CF2" w14:textId="77777777" w:rsidR="00021C5B" w:rsidRPr="00021C5B" w:rsidRDefault="00021C5B" w:rsidP="00021C5B">
            <w:pPr>
              <w:spacing w:before="40" w:after="120"/>
              <w:ind w:right="113"/>
            </w:pPr>
            <w:r w:rsidRPr="00021C5B">
              <w:t>CEDAW (2001)</w:t>
            </w:r>
          </w:p>
          <w:p w14:paraId="212DCAD7" w14:textId="77777777" w:rsidR="00021C5B" w:rsidRPr="00021C5B" w:rsidRDefault="00021C5B" w:rsidP="00021C5B">
            <w:pPr>
              <w:spacing w:before="40" w:after="120"/>
              <w:ind w:right="113"/>
            </w:pPr>
            <w:r w:rsidRPr="00021C5B">
              <w:t>CAT (2001)</w:t>
            </w:r>
          </w:p>
          <w:p w14:paraId="74CB554C" w14:textId="77777777" w:rsidR="00021C5B" w:rsidRPr="00021C5B" w:rsidRDefault="00021C5B" w:rsidP="00021C5B">
            <w:pPr>
              <w:spacing w:before="40" w:after="120"/>
              <w:ind w:right="113"/>
            </w:pPr>
            <w:r w:rsidRPr="00021C5B">
              <w:t>OP-CAT (2006)</w:t>
            </w:r>
          </w:p>
          <w:p w14:paraId="3794317B" w14:textId="77777777" w:rsidR="00021C5B" w:rsidRPr="00021C5B" w:rsidRDefault="00021C5B" w:rsidP="00021C5B">
            <w:pPr>
              <w:spacing w:before="40" w:after="120"/>
              <w:ind w:right="113"/>
            </w:pPr>
            <w:r w:rsidRPr="00021C5B">
              <w:t>CRC (2001)</w:t>
            </w:r>
          </w:p>
          <w:p w14:paraId="4B3B12AD" w14:textId="77777777" w:rsidR="00021C5B" w:rsidRPr="00021C5B" w:rsidRDefault="00021C5B" w:rsidP="00021C5B">
            <w:pPr>
              <w:spacing w:before="40" w:after="120"/>
              <w:ind w:right="113"/>
            </w:pPr>
            <w:r w:rsidRPr="00021C5B">
              <w:t>OP-CRC-AC (2003)</w:t>
            </w:r>
          </w:p>
          <w:p w14:paraId="34484C44" w14:textId="77777777" w:rsidR="00021C5B" w:rsidRPr="00021C5B" w:rsidRDefault="00021C5B" w:rsidP="00021C5B">
            <w:pPr>
              <w:spacing w:before="40" w:after="120"/>
              <w:ind w:right="113"/>
            </w:pPr>
            <w:r w:rsidRPr="00021C5B">
              <w:t>OP-CRC-SC (2002)</w:t>
            </w:r>
          </w:p>
          <w:p w14:paraId="54A2A93D" w14:textId="77777777" w:rsidR="00021C5B" w:rsidRPr="00021C5B" w:rsidRDefault="00021C5B" w:rsidP="00021C5B">
            <w:pPr>
              <w:spacing w:before="40" w:after="120"/>
              <w:ind w:right="113"/>
            </w:pPr>
            <w:r w:rsidRPr="00021C5B">
              <w:t>CRPD (2009)</w:t>
            </w:r>
          </w:p>
          <w:p w14:paraId="0D0E0089" w14:textId="7F436F82" w:rsidR="00A02BFB" w:rsidRPr="00A02BFB" w:rsidRDefault="00021C5B" w:rsidP="00021C5B">
            <w:pPr>
              <w:spacing w:before="40" w:after="120"/>
              <w:ind w:right="113"/>
            </w:pPr>
            <w:r w:rsidRPr="00021C5B">
              <w:t>ICPPED (2011)</w:t>
            </w:r>
          </w:p>
        </w:tc>
        <w:tc>
          <w:tcPr>
            <w:tcW w:w="2409" w:type="dxa"/>
            <w:shd w:val="clear" w:color="auto" w:fill="auto"/>
          </w:tcPr>
          <w:p w14:paraId="6D3751F2" w14:textId="0BBC980F" w:rsidR="00A02BFB" w:rsidRPr="00A02BFB" w:rsidRDefault="00021C5B" w:rsidP="00A02BFB">
            <w:pPr>
              <w:spacing w:before="40" w:after="120"/>
              <w:ind w:right="113"/>
            </w:pPr>
            <w:r>
              <w:t>--</w:t>
            </w:r>
          </w:p>
        </w:tc>
        <w:tc>
          <w:tcPr>
            <w:tcW w:w="2410" w:type="dxa"/>
            <w:shd w:val="clear" w:color="auto" w:fill="auto"/>
          </w:tcPr>
          <w:p w14:paraId="7E4FAA5F" w14:textId="149C60C7" w:rsidR="000E375D" w:rsidRPr="00A02BFB" w:rsidRDefault="00021C5B" w:rsidP="00A02BFB">
            <w:pPr>
              <w:spacing w:before="40" w:after="120"/>
              <w:ind w:right="113"/>
            </w:pPr>
            <w:r w:rsidRPr="00021C5B">
              <w:t>ICRMW (signature, only, 2004)</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74916D07" w14:textId="77777777" w:rsidR="00021C5B" w:rsidRPr="00021C5B" w:rsidRDefault="00021C5B" w:rsidP="00021C5B">
            <w:pPr>
              <w:spacing w:before="40" w:after="120"/>
              <w:ind w:right="113"/>
            </w:pPr>
            <w:r w:rsidRPr="00021C5B">
              <w:t>ICERD, art. 14 (2001)</w:t>
            </w:r>
          </w:p>
          <w:p w14:paraId="0A108DB2" w14:textId="77777777" w:rsidR="00021C5B" w:rsidRPr="00021C5B" w:rsidRDefault="00021C5B" w:rsidP="00021C5B">
            <w:pPr>
              <w:spacing w:before="40" w:after="120"/>
              <w:ind w:right="113"/>
            </w:pPr>
            <w:r w:rsidRPr="00021C5B">
              <w:t>ICCPR-OP 1 (2001)</w:t>
            </w:r>
          </w:p>
          <w:p w14:paraId="3818ABB9" w14:textId="77777777" w:rsidR="00021C5B" w:rsidRPr="00021C5B" w:rsidRDefault="00021C5B" w:rsidP="00021C5B">
            <w:pPr>
              <w:spacing w:before="40" w:after="120"/>
              <w:ind w:right="113"/>
            </w:pPr>
            <w:r w:rsidRPr="00021C5B">
              <w:t>OP-CEDAW, art. 8 (2003)</w:t>
            </w:r>
          </w:p>
          <w:p w14:paraId="2580ABAE" w14:textId="77777777" w:rsidR="00021C5B" w:rsidRPr="00021C5B" w:rsidRDefault="00021C5B" w:rsidP="00021C5B">
            <w:pPr>
              <w:spacing w:before="40" w:after="120"/>
              <w:ind w:right="113"/>
            </w:pPr>
            <w:r w:rsidRPr="00021C5B">
              <w:t>CAT, arts. 20, 21 and 22 (2001)</w:t>
            </w:r>
          </w:p>
          <w:p w14:paraId="5446F306" w14:textId="77777777" w:rsidR="00021C5B" w:rsidRPr="00021C5B" w:rsidRDefault="00021C5B" w:rsidP="00021C5B">
            <w:pPr>
              <w:spacing w:before="40" w:after="120"/>
              <w:ind w:right="113"/>
            </w:pPr>
            <w:r w:rsidRPr="00021C5B">
              <w:t>OP-CRPD, art. 6 (2009)</w:t>
            </w:r>
          </w:p>
          <w:p w14:paraId="79F14986" w14:textId="40E60B97" w:rsidR="00A02BFB" w:rsidRPr="00A02BFB" w:rsidRDefault="00021C5B" w:rsidP="00021C5B">
            <w:pPr>
              <w:spacing w:before="40" w:after="120"/>
              <w:ind w:right="113"/>
            </w:pPr>
            <w:r w:rsidRPr="00021C5B">
              <w:t>ICPPED, arts. 31-32 (2011)</w:t>
            </w:r>
          </w:p>
        </w:tc>
        <w:tc>
          <w:tcPr>
            <w:tcW w:w="2409" w:type="dxa"/>
            <w:tcBorders>
              <w:bottom w:val="single" w:sz="12" w:space="0" w:color="auto"/>
            </w:tcBorders>
            <w:shd w:val="clear" w:color="auto" w:fill="auto"/>
          </w:tcPr>
          <w:p w14:paraId="389E8D39" w14:textId="71C7515C" w:rsidR="00A02BFB" w:rsidRPr="00A02BFB" w:rsidRDefault="00021C5B" w:rsidP="00A02BFB">
            <w:pPr>
              <w:spacing w:before="40" w:after="120"/>
              <w:ind w:right="113"/>
            </w:pPr>
            <w:r>
              <w:t>--</w:t>
            </w:r>
          </w:p>
        </w:tc>
        <w:tc>
          <w:tcPr>
            <w:tcW w:w="2410" w:type="dxa"/>
            <w:tcBorders>
              <w:bottom w:val="single" w:sz="12" w:space="0" w:color="auto"/>
            </w:tcBorders>
            <w:shd w:val="clear" w:color="auto" w:fill="auto"/>
          </w:tcPr>
          <w:p w14:paraId="4A19F7E3" w14:textId="77777777" w:rsidR="00021C5B" w:rsidRPr="00021C5B" w:rsidRDefault="00021C5B" w:rsidP="00021C5B">
            <w:pPr>
              <w:spacing w:before="40" w:after="120"/>
              <w:ind w:right="113"/>
            </w:pPr>
            <w:r w:rsidRPr="00021C5B">
              <w:t xml:space="preserve">OP-ICESCR </w:t>
            </w:r>
          </w:p>
          <w:p w14:paraId="6147999A" w14:textId="77777777" w:rsidR="00021C5B" w:rsidRPr="00021C5B" w:rsidRDefault="00021C5B" w:rsidP="00021C5B">
            <w:pPr>
              <w:spacing w:before="40" w:after="120"/>
              <w:ind w:right="113"/>
            </w:pPr>
            <w:r w:rsidRPr="00021C5B">
              <w:t xml:space="preserve">ICCPR, art. 41 </w:t>
            </w:r>
          </w:p>
          <w:p w14:paraId="12DC967E" w14:textId="77777777" w:rsidR="00021C5B" w:rsidRPr="00021C5B" w:rsidRDefault="00021C5B" w:rsidP="00021C5B">
            <w:pPr>
              <w:spacing w:before="40" w:after="120"/>
              <w:ind w:right="113"/>
            </w:pPr>
            <w:r w:rsidRPr="00021C5B">
              <w:t>ICRMW, arts. 76-77</w:t>
            </w:r>
          </w:p>
          <w:p w14:paraId="359C862B" w14:textId="61E369ED" w:rsidR="009830C8" w:rsidRPr="00A02BFB" w:rsidRDefault="00021C5B" w:rsidP="00021C5B">
            <w:pPr>
              <w:spacing w:before="40" w:after="120"/>
              <w:ind w:right="113"/>
            </w:pPr>
            <w:r w:rsidRPr="00021C5B">
              <w:t>OP-CRC-IC (signature, only, 2012)</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0628B9">
        <w:tc>
          <w:tcPr>
            <w:tcW w:w="2410"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09"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0628B9">
        <w:trPr>
          <w:trHeight w:hRule="exact" w:val="113"/>
        </w:trPr>
        <w:tc>
          <w:tcPr>
            <w:tcW w:w="2410"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0628B9">
        <w:tc>
          <w:tcPr>
            <w:tcW w:w="2410" w:type="dxa"/>
            <w:tcBorders>
              <w:bottom w:val="single" w:sz="12" w:space="0" w:color="auto"/>
            </w:tcBorders>
          </w:tcPr>
          <w:p w14:paraId="44EB1471" w14:textId="77777777" w:rsidR="00A02BFB" w:rsidRPr="00A02BFB" w:rsidRDefault="00A02BFB" w:rsidP="00A02BFB">
            <w:pPr>
              <w:spacing w:before="40" w:after="120"/>
              <w:ind w:right="113"/>
            </w:pPr>
          </w:p>
        </w:tc>
        <w:tc>
          <w:tcPr>
            <w:tcW w:w="2409" w:type="dxa"/>
            <w:tcBorders>
              <w:bottom w:val="single" w:sz="12" w:space="0" w:color="auto"/>
            </w:tcBorders>
          </w:tcPr>
          <w:p w14:paraId="097C1A15" w14:textId="36C5F063" w:rsidR="00A02BFB" w:rsidRPr="00A02BFB" w:rsidRDefault="000628B9" w:rsidP="00E534E2">
            <w:pPr>
              <w:spacing w:before="40" w:after="120"/>
              <w:ind w:right="113"/>
              <w:jc w:val="both"/>
            </w:pPr>
            <w:r w:rsidRPr="000628B9">
              <w:t>OP-CRC-AS (Declaration, art. 3 para. 2) (2003)</w:t>
            </w:r>
          </w:p>
        </w:tc>
        <w:tc>
          <w:tcPr>
            <w:tcW w:w="2409" w:type="dxa"/>
            <w:tcBorders>
              <w:bottom w:val="single" w:sz="12" w:space="0" w:color="auto"/>
            </w:tcBorders>
            <w:shd w:val="clear" w:color="auto" w:fill="auto"/>
          </w:tcPr>
          <w:p w14:paraId="790141BC" w14:textId="127FD065" w:rsidR="00A02BFB" w:rsidRPr="00A02BFB" w:rsidRDefault="000628B9" w:rsidP="000E375D">
            <w:pPr>
              <w:spacing w:before="40" w:after="120"/>
              <w:ind w:right="113"/>
              <w:jc w:val="both"/>
            </w:pPr>
            <w:r>
              <w:t>--</w:t>
            </w:r>
          </w:p>
        </w:tc>
        <w:tc>
          <w:tcPr>
            <w:tcW w:w="2409" w:type="dxa"/>
            <w:tcBorders>
              <w:bottom w:val="single" w:sz="12" w:space="0" w:color="auto"/>
            </w:tcBorders>
            <w:shd w:val="clear" w:color="auto" w:fill="auto"/>
          </w:tcPr>
          <w:p w14:paraId="4043CCA5" w14:textId="77C311F2" w:rsidR="00A02BFB" w:rsidRPr="00A02BFB" w:rsidRDefault="000628B9" w:rsidP="00D24A57">
            <w:pPr>
              <w:spacing w:before="40" w:after="120"/>
              <w:ind w:right="113"/>
            </w:pPr>
            <w:r w:rsidRPr="000628B9">
              <w:t>OP-CRC-AS (Declaration, art. 3 para. 2)</w:t>
            </w:r>
          </w:p>
        </w:tc>
      </w:tr>
    </w:tbl>
    <w:p w14:paraId="44E181A7" w14:textId="0BEF0B2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t xml:space="preserve">Ratification, accession or </w:t>
            </w:r>
            <w:r w:rsidRPr="00A02BFB">
              <w:rPr>
                <w:i/>
              </w:rPr>
              <w:lastRenderedPageBreak/>
              <w:t>succession</w:t>
            </w:r>
          </w:p>
        </w:tc>
        <w:tc>
          <w:tcPr>
            <w:tcW w:w="2409" w:type="dxa"/>
            <w:shd w:val="clear" w:color="auto" w:fill="auto"/>
          </w:tcPr>
          <w:p w14:paraId="5167609C" w14:textId="27C630B2" w:rsidR="00AD7362" w:rsidRPr="00A02BFB" w:rsidRDefault="00A02BFB" w:rsidP="00A02BFB">
            <w:pPr>
              <w:spacing w:before="40" w:after="120"/>
              <w:ind w:right="113"/>
            </w:pPr>
            <w:r w:rsidRPr="00A02BFB">
              <w:lastRenderedPageBreak/>
              <w:t xml:space="preserve">Convention on the </w:t>
            </w:r>
            <w:r w:rsidRPr="00A02BFB">
              <w:lastRenderedPageBreak/>
              <w:t>Prevention and Punishment of the Crime of Genocide</w:t>
            </w:r>
          </w:p>
        </w:tc>
        <w:tc>
          <w:tcPr>
            <w:tcW w:w="2409" w:type="dxa"/>
            <w:shd w:val="clear" w:color="auto" w:fill="auto"/>
          </w:tcPr>
          <w:p w14:paraId="05F21040" w14:textId="4BAF4BDE" w:rsidR="00A02BFB" w:rsidRPr="00A02BFB" w:rsidRDefault="00E91FAE" w:rsidP="00A02BFB">
            <w:pPr>
              <w:spacing w:before="40" w:after="120"/>
              <w:ind w:right="113"/>
            </w:pPr>
            <w:r w:rsidRPr="00E91FAE">
              <w:lastRenderedPageBreak/>
              <w:t xml:space="preserve">1961 Convention on the </w:t>
            </w:r>
            <w:r w:rsidRPr="00E91FAE">
              <w:lastRenderedPageBreak/>
              <w:t>Reduction of Statelessness (accession 7 December 2011)</w:t>
            </w:r>
          </w:p>
        </w:tc>
        <w:tc>
          <w:tcPr>
            <w:tcW w:w="2410" w:type="dxa"/>
            <w:shd w:val="clear" w:color="auto" w:fill="auto"/>
          </w:tcPr>
          <w:p w14:paraId="49490CB6" w14:textId="77777777" w:rsidR="00A02BFB" w:rsidRDefault="00E91FAE" w:rsidP="00A02BFB">
            <w:pPr>
              <w:spacing w:before="40" w:after="120"/>
              <w:ind w:right="113"/>
            </w:pPr>
            <w:r>
              <w:lastRenderedPageBreak/>
              <w:t>Court</w:t>
            </w:r>
          </w:p>
          <w:p w14:paraId="326616FB" w14:textId="55F770AD" w:rsidR="00E91FAE" w:rsidRPr="00A02BFB" w:rsidRDefault="00E91FAE" w:rsidP="00A02BFB">
            <w:pPr>
              <w:spacing w:before="40" w:after="120"/>
              <w:ind w:right="113"/>
            </w:pPr>
            <w:r w:rsidRPr="00E91FAE">
              <w:lastRenderedPageBreak/>
              <w:t>Additional Protocol III to the 1949 Geneva Conventions</w:t>
            </w:r>
            <w:r w:rsidRPr="00E91FAE">
              <w:rPr>
                <w:rStyle w:val="EndnoteReference"/>
              </w:rPr>
              <w:endnoteReference w:id="5"/>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1196F147" w:rsidR="00A02BFB" w:rsidRPr="00A02BFB" w:rsidRDefault="00E91FAE" w:rsidP="00DD2115">
            <w:pPr>
              <w:spacing w:before="40" w:after="120"/>
              <w:ind w:right="113"/>
            </w:pPr>
            <w:r w:rsidRPr="00E91FAE">
              <w:t>Rome Statute of the International Criminal</w:t>
            </w:r>
          </w:p>
        </w:tc>
        <w:tc>
          <w:tcPr>
            <w:tcW w:w="2409" w:type="dxa"/>
            <w:shd w:val="clear" w:color="auto" w:fill="auto"/>
          </w:tcPr>
          <w:p w14:paraId="3346E61A" w14:textId="7E766C12" w:rsidR="00A02BFB" w:rsidRPr="00A02BFB" w:rsidRDefault="00E91FAE" w:rsidP="00A02BFB">
            <w:pPr>
              <w:spacing w:before="40" w:after="120"/>
              <w:ind w:right="113"/>
            </w:pPr>
            <w:r>
              <w:t>--</w:t>
            </w:r>
          </w:p>
        </w:tc>
        <w:tc>
          <w:tcPr>
            <w:tcW w:w="2410" w:type="dxa"/>
            <w:shd w:val="clear" w:color="auto" w:fill="auto"/>
          </w:tcPr>
          <w:p w14:paraId="41F639E1" w14:textId="01CD7F1E" w:rsidR="00A02BFB" w:rsidRPr="00A02BFB" w:rsidRDefault="00E91FAE" w:rsidP="006E3371">
            <w:pPr>
              <w:spacing w:before="40" w:after="120"/>
              <w:ind w:right="113"/>
            </w:pPr>
            <w:r>
              <w:t>--</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4669B3E7" w:rsidR="00A02BFB" w:rsidRPr="00A02BFB" w:rsidRDefault="00E91FAE" w:rsidP="00A02BFB">
            <w:pPr>
              <w:spacing w:before="40" w:after="120"/>
              <w:ind w:right="113"/>
            </w:pPr>
            <w:r w:rsidRPr="00E91FAE">
              <w:t>Geneva Conventions of 12 August 1949</w:t>
            </w:r>
            <w:r w:rsidRPr="00E91FAE">
              <w:rPr>
                <w:rStyle w:val="EndnoteReference"/>
              </w:rPr>
              <w:endnoteReference w:id="6"/>
            </w:r>
          </w:p>
        </w:tc>
        <w:tc>
          <w:tcPr>
            <w:tcW w:w="2409" w:type="dxa"/>
            <w:shd w:val="clear" w:color="auto" w:fill="auto"/>
          </w:tcPr>
          <w:p w14:paraId="0467E1CE" w14:textId="14EF54C8" w:rsidR="00A02BFB" w:rsidRPr="00A02BFB" w:rsidRDefault="00E91FAE" w:rsidP="00A02BFB">
            <w:pPr>
              <w:spacing w:before="40" w:after="120"/>
              <w:ind w:right="113"/>
            </w:pPr>
            <w:r>
              <w:t>--</w:t>
            </w:r>
          </w:p>
        </w:tc>
        <w:tc>
          <w:tcPr>
            <w:tcW w:w="2410" w:type="dxa"/>
            <w:shd w:val="clear" w:color="auto" w:fill="auto"/>
          </w:tcPr>
          <w:p w14:paraId="204E4CB1" w14:textId="53E09594" w:rsidR="00A02BFB" w:rsidRPr="00A02BFB" w:rsidRDefault="00E91FAE" w:rsidP="00A02BFB">
            <w:pPr>
              <w:spacing w:before="40" w:after="120"/>
              <w:ind w:right="113"/>
            </w:pPr>
            <w:r>
              <w:t>--</w:t>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6BB3027E" w:rsidR="00A02BFB" w:rsidRPr="00A02BFB" w:rsidRDefault="00E91FAE" w:rsidP="00A02BFB">
            <w:pPr>
              <w:spacing w:before="40" w:after="120"/>
              <w:ind w:right="113"/>
            </w:pPr>
            <w:r w:rsidRPr="00E91FAE">
              <w:t>Additional Protocols I and II to the 1949 Geneva Conventions</w:t>
            </w:r>
            <w:r w:rsidRPr="00E91FAE">
              <w:rPr>
                <w:rStyle w:val="EndnoteReference"/>
              </w:rPr>
              <w:endnoteReference w:id="7"/>
            </w:r>
          </w:p>
        </w:tc>
        <w:tc>
          <w:tcPr>
            <w:tcW w:w="2409" w:type="dxa"/>
            <w:shd w:val="clear" w:color="auto" w:fill="auto"/>
          </w:tcPr>
          <w:p w14:paraId="347D1E34" w14:textId="54B1C225" w:rsidR="00A02BFB" w:rsidRPr="00A02BFB" w:rsidRDefault="00E91FAE" w:rsidP="00A02BFB">
            <w:pPr>
              <w:spacing w:before="40" w:after="120"/>
              <w:ind w:right="113"/>
            </w:pPr>
            <w:r>
              <w:t>--</w:t>
            </w:r>
          </w:p>
        </w:tc>
        <w:tc>
          <w:tcPr>
            <w:tcW w:w="2410" w:type="dxa"/>
            <w:shd w:val="clear" w:color="auto" w:fill="auto"/>
          </w:tcPr>
          <w:p w14:paraId="3EFC730D" w14:textId="6473CAE6" w:rsidR="00A02BFB" w:rsidRPr="00A02BFB" w:rsidRDefault="00E91FAE" w:rsidP="00A02BFB">
            <w:pPr>
              <w:spacing w:before="40" w:after="120"/>
              <w:ind w:right="113"/>
            </w:pPr>
            <w:r>
              <w:t>--</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54D282E4" w:rsidR="00A02BFB" w:rsidRPr="00A02BFB" w:rsidRDefault="00E91FAE" w:rsidP="00A02BFB">
            <w:pPr>
              <w:spacing w:before="40" w:after="120"/>
              <w:ind w:right="113"/>
            </w:pPr>
            <w:r w:rsidRPr="00E91FAE">
              <w:t>Conventions on refugees and stateless persons</w:t>
            </w:r>
            <w:r w:rsidRPr="00E91FAE">
              <w:rPr>
                <w:rStyle w:val="EndnoteReference"/>
              </w:rPr>
              <w:endnoteReference w:id="8"/>
            </w:r>
          </w:p>
        </w:tc>
        <w:tc>
          <w:tcPr>
            <w:tcW w:w="2409" w:type="dxa"/>
            <w:shd w:val="clear" w:color="auto" w:fill="auto"/>
          </w:tcPr>
          <w:p w14:paraId="36ABD5A2" w14:textId="1275194B" w:rsidR="00A02BFB" w:rsidRPr="00A02BFB" w:rsidRDefault="00E91FAE" w:rsidP="00A02BFB">
            <w:pPr>
              <w:spacing w:before="40" w:after="120"/>
              <w:ind w:right="113"/>
            </w:pPr>
            <w:r>
              <w:t>--</w:t>
            </w:r>
          </w:p>
        </w:tc>
        <w:tc>
          <w:tcPr>
            <w:tcW w:w="2410" w:type="dxa"/>
            <w:shd w:val="clear" w:color="auto" w:fill="auto"/>
          </w:tcPr>
          <w:p w14:paraId="792F8B94" w14:textId="2D995E51" w:rsidR="00A02BFB" w:rsidRPr="00A02BFB" w:rsidRDefault="00E91FAE" w:rsidP="002C3F46">
            <w:pPr>
              <w:spacing w:before="40" w:after="120"/>
              <w:ind w:right="113"/>
            </w:pPr>
            <w:r>
              <w:t>--</w:t>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39AB80CE" w:rsidR="00A02BFB" w:rsidRPr="00A02BFB" w:rsidRDefault="00E91FAE" w:rsidP="00243C9A">
            <w:pPr>
              <w:spacing w:before="40" w:after="120"/>
              <w:ind w:right="113"/>
            </w:pPr>
            <w:r w:rsidRPr="00E91FAE">
              <w:t>Palermo Protocol</w:t>
            </w:r>
            <w:r w:rsidRPr="00E91FAE">
              <w:rPr>
                <w:rStyle w:val="EndnoteReference"/>
              </w:rPr>
              <w:endnoteReference w:id="9"/>
            </w:r>
          </w:p>
        </w:tc>
        <w:tc>
          <w:tcPr>
            <w:tcW w:w="2409" w:type="dxa"/>
            <w:shd w:val="clear" w:color="auto" w:fill="auto"/>
          </w:tcPr>
          <w:p w14:paraId="1B6747B1" w14:textId="54E70E3B" w:rsidR="00A02BFB" w:rsidRPr="00A02BFB" w:rsidRDefault="00E91FAE" w:rsidP="00A02BFB">
            <w:pPr>
              <w:spacing w:before="40" w:after="120"/>
              <w:ind w:right="113"/>
            </w:pPr>
            <w:r>
              <w:t>--</w:t>
            </w:r>
          </w:p>
        </w:tc>
        <w:tc>
          <w:tcPr>
            <w:tcW w:w="2410" w:type="dxa"/>
            <w:shd w:val="clear" w:color="auto" w:fill="auto"/>
          </w:tcPr>
          <w:p w14:paraId="643621EC" w14:textId="5107C34E" w:rsidR="00A02BFB" w:rsidRPr="00A02BFB" w:rsidRDefault="00E91FAE" w:rsidP="00A02BFB">
            <w:pPr>
              <w:spacing w:before="40" w:after="120"/>
              <w:ind w:right="113"/>
            </w:pPr>
            <w:r>
              <w:t>--</w:t>
            </w:r>
          </w:p>
        </w:tc>
      </w:tr>
      <w:tr w:rsidR="00A02BFB" w:rsidRPr="00A02BFB" w14:paraId="6EE62BC3" w14:textId="77777777" w:rsidTr="00E91FAE">
        <w:tc>
          <w:tcPr>
            <w:tcW w:w="2409" w:type="dxa"/>
            <w:shd w:val="clear" w:color="auto" w:fill="auto"/>
          </w:tcPr>
          <w:p w14:paraId="6A3D1F96" w14:textId="77777777" w:rsidR="00A02BFB" w:rsidRPr="00A02BFB" w:rsidRDefault="00A02BFB" w:rsidP="00A02BFB">
            <w:pPr>
              <w:spacing w:before="40" w:after="120"/>
              <w:ind w:right="113"/>
            </w:pPr>
          </w:p>
        </w:tc>
        <w:tc>
          <w:tcPr>
            <w:tcW w:w="2409" w:type="dxa"/>
            <w:shd w:val="clear" w:color="auto" w:fill="auto"/>
          </w:tcPr>
          <w:p w14:paraId="45F1AA5D" w14:textId="686801E6" w:rsidR="00A02BFB" w:rsidRPr="00A02BFB" w:rsidRDefault="00E91FAE" w:rsidP="00A02BFB">
            <w:pPr>
              <w:spacing w:before="40" w:after="120"/>
              <w:ind w:right="113"/>
            </w:pPr>
            <w:r w:rsidRPr="00E91FAE">
              <w:t>ILO fundamental Conventions</w:t>
            </w:r>
            <w:r w:rsidRPr="00E91FAE">
              <w:rPr>
                <w:rStyle w:val="EndnoteReference"/>
              </w:rPr>
              <w:endnoteReference w:id="10"/>
            </w:r>
          </w:p>
        </w:tc>
        <w:tc>
          <w:tcPr>
            <w:tcW w:w="2409" w:type="dxa"/>
            <w:shd w:val="clear" w:color="auto" w:fill="auto"/>
          </w:tcPr>
          <w:p w14:paraId="632188B3" w14:textId="4765EE44" w:rsidR="00A02BFB" w:rsidRPr="00A02BFB" w:rsidRDefault="00E91FAE" w:rsidP="00A02BFB">
            <w:pPr>
              <w:spacing w:before="40" w:after="120"/>
              <w:ind w:right="113"/>
            </w:pPr>
            <w:r>
              <w:t>--</w:t>
            </w:r>
          </w:p>
        </w:tc>
        <w:tc>
          <w:tcPr>
            <w:tcW w:w="2410" w:type="dxa"/>
            <w:shd w:val="clear" w:color="auto" w:fill="auto"/>
          </w:tcPr>
          <w:p w14:paraId="18862FD8" w14:textId="4CE00F83" w:rsidR="00A02BFB" w:rsidRPr="00A02BFB" w:rsidRDefault="00E91FAE" w:rsidP="00A02BFB">
            <w:pPr>
              <w:spacing w:before="40" w:after="120"/>
              <w:ind w:right="113"/>
            </w:pPr>
            <w:r w:rsidRPr="00E91FAE">
              <w:t>ILO Conventions Nos. 169 and 189</w:t>
            </w:r>
            <w:r w:rsidRPr="004B3B84">
              <w:rPr>
                <w:rStyle w:val="EndnoteReference"/>
              </w:rPr>
              <w:endnoteReference w:id="11"/>
            </w:r>
          </w:p>
        </w:tc>
      </w:tr>
      <w:tr w:rsidR="00E91FAE" w:rsidRPr="00A02BFB" w14:paraId="789FE7EE" w14:textId="77777777" w:rsidTr="00B90627">
        <w:tc>
          <w:tcPr>
            <w:tcW w:w="2409" w:type="dxa"/>
            <w:tcBorders>
              <w:bottom w:val="single" w:sz="12" w:space="0" w:color="auto"/>
            </w:tcBorders>
            <w:shd w:val="clear" w:color="auto" w:fill="auto"/>
          </w:tcPr>
          <w:p w14:paraId="56EE355E" w14:textId="77777777" w:rsidR="00E91FAE" w:rsidRPr="00A02BFB" w:rsidRDefault="00E91FAE" w:rsidP="00A02BFB">
            <w:pPr>
              <w:spacing w:before="40" w:after="120"/>
              <w:ind w:right="113"/>
            </w:pPr>
          </w:p>
        </w:tc>
        <w:tc>
          <w:tcPr>
            <w:tcW w:w="2409" w:type="dxa"/>
            <w:tcBorders>
              <w:bottom w:val="single" w:sz="12" w:space="0" w:color="auto"/>
            </w:tcBorders>
            <w:shd w:val="clear" w:color="auto" w:fill="auto"/>
          </w:tcPr>
          <w:p w14:paraId="0B8230C4" w14:textId="4E430DA5" w:rsidR="00E91FAE" w:rsidRPr="00E91FAE" w:rsidRDefault="00E91FAE" w:rsidP="00A02BFB">
            <w:pPr>
              <w:spacing w:before="40" w:after="120"/>
              <w:ind w:right="113"/>
            </w:pPr>
            <w:r w:rsidRPr="00E91FAE">
              <w:t>UNESCO Convention against Discrimination in Education</w:t>
            </w:r>
          </w:p>
        </w:tc>
        <w:tc>
          <w:tcPr>
            <w:tcW w:w="2409" w:type="dxa"/>
            <w:tcBorders>
              <w:bottom w:val="single" w:sz="12" w:space="0" w:color="auto"/>
            </w:tcBorders>
            <w:shd w:val="clear" w:color="auto" w:fill="auto"/>
          </w:tcPr>
          <w:p w14:paraId="1C958BF9" w14:textId="5B78F393" w:rsidR="00E91FAE" w:rsidRDefault="00E91FAE" w:rsidP="00A02BFB">
            <w:pPr>
              <w:spacing w:before="40" w:after="120"/>
              <w:ind w:right="113"/>
            </w:pPr>
            <w:r>
              <w:t>--</w:t>
            </w:r>
          </w:p>
        </w:tc>
        <w:tc>
          <w:tcPr>
            <w:tcW w:w="2410" w:type="dxa"/>
            <w:tcBorders>
              <w:bottom w:val="single" w:sz="12" w:space="0" w:color="auto"/>
            </w:tcBorders>
            <w:shd w:val="clear" w:color="auto" w:fill="auto"/>
          </w:tcPr>
          <w:p w14:paraId="30278ED9" w14:textId="33C977F0" w:rsidR="00E91FAE" w:rsidRPr="00E91FAE" w:rsidRDefault="00E91FAE" w:rsidP="00A02BFB">
            <w:pPr>
              <w:spacing w:before="40" w:after="120"/>
              <w:ind w:right="113"/>
            </w:pPr>
            <w:r>
              <w:t>--</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7673055C"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14:paraId="452266A6" w14:textId="5BF59CB9" w:rsid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C867EB" w:rsidRPr="00C867EB" w14:paraId="5D1D8DD4" w14:textId="77777777" w:rsidTr="00C867EB">
        <w:tc>
          <w:tcPr>
            <w:tcW w:w="1474" w:type="dxa"/>
            <w:tcBorders>
              <w:top w:val="single" w:sz="4" w:space="0" w:color="auto"/>
              <w:bottom w:val="single" w:sz="12" w:space="0" w:color="auto"/>
            </w:tcBorders>
            <w:shd w:val="clear" w:color="auto" w:fill="auto"/>
            <w:vAlign w:val="bottom"/>
          </w:tcPr>
          <w:p w14:paraId="23B56CBB" w14:textId="73605C31" w:rsidR="00C867EB" w:rsidRPr="00C867EB" w:rsidRDefault="00C867EB" w:rsidP="00C867EB">
            <w:pPr>
              <w:spacing w:before="80" w:after="80" w:line="200" w:lineRule="exact"/>
              <w:ind w:right="113"/>
              <w:rPr>
                <w:i/>
                <w:sz w:val="16"/>
              </w:rPr>
            </w:pPr>
            <w:r>
              <w:rPr>
                <w:i/>
                <w:sz w:val="16"/>
              </w:rPr>
              <w:t>Treaty body</w:t>
            </w:r>
          </w:p>
        </w:tc>
        <w:tc>
          <w:tcPr>
            <w:tcW w:w="1474" w:type="dxa"/>
            <w:tcBorders>
              <w:top w:val="single" w:sz="4" w:space="0" w:color="auto"/>
              <w:bottom w:val="single" w:sz="12" w:space="0" w:color="auto"/>
            </w:tcBorders>
            <w:shd w:val="clear" w:color="auto" w:fill="auto"/>
            <w:vAlign w:val="bottom"/>
          </w:tcPr>
          <w:p w14:paraId="0218FD5B" w14:textId="0DED722D" w:rsidR="00C867EB" w:rsidRPr="00C867EB" w:rsidRDefault="00C867EB" w:rsidP="00C867EB">
            <w:pPr>
              <w:spacing w:before="80" w:after="80" w:line="200" w:lineRule="exact"/>
              <w:ind w:right="113"/>
              <w:rPr>
                <w:i/>
                <w:sz w:val="16"/>
              </w:rPr>
            </w:pPr>
            <w:r>
              <w:rPr>
                <w:i/>
                <w:sz w:val="16"/>
              </w:rPr>
              <w:t>Concluding observations included in previous review</w:t>
            </w:r>
          </w:p>
        </w:tc>
        <w:tc>
          <w:tcPr>
            <w:tcW w:w="1474" w:type="dxa"/>
            <w:tcBorders>
              <w:top w:val="single" w:sz="4" w:space="0" w:color="auto"/>
              <w:bottom w:val="single" w:sz="12" w:space="0" w:color="auto"/>
            </w:tcBorders>
            <w:shd w:val="clear" w:color="auto" w:fill="auto"/>
            <w:vAlign w:val="bottom"/>
          </w:tcPr>
          <w:p w14:paraId="13BC411C" w14:textId="41EFD248" w:rsidR="00C867EB" w:rsidRPr="00C867EB" w:rsidRDefault="00C867EB" w:rsidP="00C867EB">
            <w:pPr>
              <w:spacing w:before="80" w:after="80" w:line="200" w:lineRule="exact"/>
              <w:ind w:right="113"/>
              <w:rPr>
                <w:i/>
                <w:sz w:val="16"/>
              </w:rPr>
            </w:pPr>
            <w:r>
              <w:rPr>
                <w:i/>
                <w:sz w:val="16"/>
              </w:rPr>
              <w:t>Latest report submitted since previous review</w:t>
            </w:r>
          </w:p>
        </w:tc>
        <w:tc>
          <w:tcPr>
            <w:tcW w:w="1474" w:type="dxa"/>
            <w:tcBorders>
              <w:top w:val="single" w:sz="4" w:space="0" w:color="auto"/>
              <w:bottom w:val="single" w:sz="12" w:space="0" w:color="auto"/>
            </w:tcBorders>
            <w:shd w:val="clear" w:color="auto" w:fill="auto"/>
            <w:vAlign w:val="bottom"/>
          </w:tcPr>
          <w:p w14:paraId="381A99BB" w14:textId="367CD135" w:rsidR="00C867EB" w:rsidRPr="00C867EB" w:rsidRDefault="00C867EB" w:rsidP="00C867EB">
            <w:pPr>
              <w:spacing w:before="80" w:after="80" w:line="200" w:lineRule="exact"/>
              <w:ind w:right="113"/>
              <w:rPr>
                <w:i/>
                <w:sz w:val="16"/>
              </w:rPr>
            </w:pPr>
            <w:r>
              <w:rPr>
                <w:i/>
                <w:sz w:val="16"/>
              </w:rPr>
              <w:t>Latest concluding observations</w:t>
            </w:r>
          </w:p>
        </w:tc>
        <w:tc>
          <w:tcPr>
            <w:tcW w:w="1474" w:type="dxa"/>
            <w:tcBorders>
              <w:top w:val="single" w:sz="4" w:space="0" w:color="auto"/>
              <w:bottom w:val="single" w:sz="12" w:space="0" w:color="auto"/>
            </w:tcBorders>
            <w:shd w:val="clear" w:color="auto" w:fill="auto"/>
            <w:vAlign w:val="bottom"/>
          </w:tcPr>
          <w:p w14:paraId="6F885B25" w14:textId="40AC96E4" w:rsidR="00C867EB" w:rsidRPr="00C867EB" w:rsidRDefault="00C867EB" w:rsidP="00C867EB">
            <w:pPr>
              <w:spacing w:before="80" w:after="80" w:line="200" w:lineRule="exact"/>
              <w:ind w:right="113"/>
              <w:rPr>
                <w:i/>
                <w:sz w:val="16"/>
              </w:rPr>
            </w:pPr>
            <w:r>
              <w:rPr>
                <w:i/>
                <w:sz w:val="16"/>
              </w:rPr>
              <w:t>Reporting status</w:t>
            </w:r>
          </w:p>
        </w:tc>
      </w:tr>
      <w:tr w:rsidR="00C867EB" w:rsidRPr="00C867EB" w14:paraId="2C6858BE" w14:textId="77777777" w:rsidTr="00C867EB">
        <w:trPr>
          <w:trHeight w:hRule="exact" w:val="113"/>
        </w:trPr>
        <w:tc>
          <w:tcPr>
            <w:tcW w:w="1474" w:type="dxa"/>
            <w:tcBorders>
              <w:top w:val="single" w:sz="12" w:space="0" w:color="auto"/>
            </w:tcBorders>
            <w:shd w:val="clear" w:color="auto" w:fill="auto"/>
            <w:vAlign w:val="bottom"/>
          </w:tcPr>
          <w:p w14:paraId="70443828" w14:textId="77777777" w:rsidR="00C867EB" w:rsidRPr="00C867EB" w:rsidRDefault="00C867EB" w:rsidP="00C867EB">
            <w:pPr>
              <w:spacing w:before="80" w:after="80" w:line="200" w:lineRule="exact"/>
              <w:ind w:right="113"/>
              <w:rPr>
                <w:i/>
                <w:sz w:val="16"/>
              </w:rPr>
            </w:pPr>
          </w:p>
        </w:tc>
        <w:tc>
          <w:tcPr>
            <w:tcW w:w="1474" w:type="dxa"/>
            <w:tcBorders>
              <w:top w:val="single" w:sz="12" w:space="0" w:color="auto"/>
            </w:tcBorders>
            <w:shd w:val="clear" w:color="auto" w:fill="auto"/>
            <w:vAlign w:val="bottom"/>
          </w:tcPr>
          <w:p w14:paraId="042B5AB5" w14:textId="77777777" w:rsidR="00C867EB" w:rsidRPr="00C867EB" w:rsidRDefault="00C867EB" w:rsidP="00C867EB">
            <w:pPr>
              <w:spacing w:before="80" w:after="80" w:line="200" w:lineRule="exact"/>
              <w:ind w:right="113"/>
              <w:rPr>
                <w:i/>
                <w:sz w:val="16"/>
              </w:rPr>
            </w:pPr>
          </w:p>
        </w:tc>
        <w:tc>
          <w:tcPr>
            <w:tcW w:w="1474" w:type="dxa"/>
            <w:tcBorders>
              <w:top w:val="single" w:sz="12" w:space="0" w:color="auto"/>
            </w:tcBorders>
            <w:shd w:val="clear" w:color="auto" w:fill="auto"/>
            <w:vAlign w:val="bottom"/>
          </w:tcPr>
          <w:p w14:paraId="0E43951E" w14:textId="77777777" w:rsidR="00C867EB" w:rsidRPr="00C867EB" w:rsidRDefault="00C867EB" w:rsidP="00C867EB">
            <w:pPr>
              <w:spacing w:before="80" w:after="80" w:line="200" w:lineRule="exact"/>
              <w:ind w:right="113"/>
              <w:rPr>
                <w:i/>
                <w:sz w:val="16"/>
              </w:rPr>
            </w:pPr>
          </w:p>
        </w:tc>
        <w:tc>
          <w:tcPr>
            <w:tcW w:w="1474" w:type="dxa"/>
            <w:tcBorders>
              <w:top w:val="single" w:sz="12" w:space="0" w:color="auto"/>
            </w:tcBorders>
            <w:shd w:val="clear" w:color="auto" w:fill="auto"/>
            <w:vAlign w:val="bottom"/>
          </w:tcPr>
          <w:p w14:paraId="51BC5EB0" w14:textId="77777777" w:rsidR="00C867EB" w:rsidRPr="00C867EB" w:rsidRDefault="00C867EB" w:rsidP="00C867EB">
            <w:pPr>
              <w:spacing w:before="80" w:after="80" w:line="200" w:lineRule="exact"/>
              <w:ind w:right="113"/>
              <w:rPr>
                <w:i/>
                <w:sz w:val="16"/>
              </w:rPr>
            </w:pPr>
          </w:p>
        </w:tc>
        <w:tc>
          <w:tcPr>
            <w:tcW w:w="1474" w:type="dxa"/>
            <w:tcBorders>
              <w:top w:val="single" w:sz="12" w:space="0" w:color="auto"/>
            </w:tcBorders>
            <w:shd w:val="clear" w:color="auto" w:fill="auto"/>
            <w:vAlign w:val="bottom"/>
          </w:tcPr>
          <w:p w14:paraId="42896805" w14:textId="77777777" w:rsidR="00C867EB" w:rsidRPr="00C867EB" w:rsidRDefault="00C867EB" w:rsidP="00C867EB">
            <w:pPr>
              <w:spacing w:before="80" w:after="80" w:line="200" w:lineRule="exact"/>
              <w:ind w:right="113"/>
              <w:rPr>
                <w:i/>
                <w:sz w:val="16"/>
              </w:rPr>
            </w:pPr>
          </w:p>
        </w:tc>
      </w:tr>
      <w:tr w:rsidR="00C867EB" w:rsidRPr="00C867EB" w14:paraId="6E39D7F2" w14:textId="77777777" w:rsidTr="00C867EB">
        <w:tc>
          <w:tcPr>
            <w:tcW w:w="1474" w:type="dxa"/>
            <w:shd w:val="clear" w:color="auto" w:fill="auto"/>
          </w:tcPr>
          <w:p w14:paraId="51D6F3BA" w14:textId="6E206938" w:rsidR="00C867EB" w:rsidRPr="00C867EB" w:rsidRDefault="00C867EB" w:rsidP="00C867EB">
            <w:pPr>
              <w:spacing w:before="40" w:after="120"/>
              <w:ind w:right="113"/>
            </w:pPr>
            <w:r>
              <w:t>CERD</w:t>
            </w:r>
          </w:p>
        </w:tc>
        <w:tc>
          <w:tcPr>
            <w:tcW w:w="1474" w:type="dxa"/>
            <w:shd w:val="clear" w:color="auto" w:fill="auto"/>
          </w:tcPr>
          <w:p w14:paraId="3E510E1F" w14:textId="04E1CB44" w:rsidR="00C867EB" w:rsidRPr="00C867EB" w:rsidRDefault="00C867EB" w:rsidP="00C867EB">
            <w:pPr>
              <w:spacing w:before="40" w:after="120"/>
              <w:ind w:right="113"/>
            </w:pPr>
            <w:r>
              <w:t>March 2011</w:t>
            </w:r>
          </w:p>
        </w:tc>
        <w:tc>
          <w:tcPr>
            <w:tcW w:w="1474" w:type="dxa"/>
            <w:shd w:val="clear" w:color="auto" w:fill="auto"/>
          </w:tcPr>
          <w:p w14:paraId="46979626" w14:textId="1CDB2138" w:rsidR="00C867EB" w:rsidRPr="00C867EB" w:rsidRDefault="00C867EB" w:rsidP="00C867EB">
            <w:pPr>
              <w:spacing w:before="40" w:after="120"/>
              <w:ind w:right="113"/>
            </w:pPr>
            <w:r>
              <w:t>2016</w:t>
            </w:r>
          </w:p>
        </w:tc>
        <w:tc>
          <w:tcPr>
            <w:tcW w:w="1474" w:type="dxa"/>
            <w:shd w:val="clear" w:color="auto" w:fill="auto"/>
          </w:tcPr>
          <w:p w14:paraId="4068164F" w14:textId="27573476" w:rsidR="00C867EB" w:rsidRPr="00C867EB" w:rsidRDefault="00C867EB" w:rsidP="00C867EB">
            <w:pPr>
              <w:spacing w:before="40" w:after="120"/>
              <w:ind w:right="113"/>
            </w:pPr>
            <w:r>
              <w:t>--</w:t>
            </w:r>
          </w:p>
        </w:tc>
        <w:tc>
          <w:tcPr>
            <w:tcW w:w="1474" w:type="dxa"/>
            <w:shd w:val="clear" w:color="auto" w:fill="auto"/>
          </w:tcPr>
          <w:p w14:paraId="742C9AC1" w14:textId="14950FAB" w:rsidR="00C867EB" w:rsidRPr="00C867EB" w:rsidRDefault="00C867EB" w:rsidP="00C867EB">
            <w:pPr>
              <w:spacing w:before="40" w:after="120"/>
              <w:ind w:right="113"/>
            </w:pPr>
            <w:r>
              <w:t>Combined second to fourth reports pending consideration in November 2017</w:t>
            </w:r>
          </w:p>
        </w:tc>
      </w:tr>
      <w:tr w:rsidR="00C867EB" w:rsidRPr="00C867EB" w14:paraId="1649D1DD" w14:textId="77777777" w:rsidTr="00C867EB">
        <w:tc>
          <w:tcPr>
            <w:tcW w:w="1474" w:type="dxa"/>
            <w:shd w:val="clear" w:color="auto" w:fill="auto"/>
          </w:tcPr>
          <w:p w14:paraId="3C1E463E" w14:textId="1C5C5B88" w:rsidR="00C867EB" w:rsidRPr="00C867EB" w:rsidRDefault="00C867EB" w:rsidP="00C867EB">
            <w:pPr>
              <w:spacing w:before="40" w:after="120"/>
              <w:ind w:right="113"/>
            </w:pPr>
            <w:r>
              <w:t>CESCR</w:t>
            </w:r>
          </w:p>
        </w:tc>
        <w:tc>
          <w:tcPr>
            <w:tcW w:w="1474" w:type="dxa"/>
            <w:shd w:val="clear" w:color="auto" w:fill="auto"/>
          </w:tcPr>
          <w:p w14:paraId="70797E94" w14:textId="7B89872B" w:rsidR="00C867EB" w:rsidRPr="00C867EB" w:rsidRDefault="00C867EB" w:rsidP="00C867EB">
            <w:pPr>
              <w:spacing w:before="40" w:after="120"/>
              <w:ind w:right="113"/>
            </w:pPr>
            <w:r>
              <w:t>--</w:t>
            </w:r>
          </w:p>
        </w:tc>
        <w:tc>
          <w:tcPr>
            <w:tcW w:w="1474" w:type="dxa"/>
            <w:shd w:val="clear" w:color="auto" w:fill="auto"/>
          </w:tcPr>
          <w:p w14:paraId="7FF9ED98" w14:textId="38145CFE" w:rsidR="00C867EB" w:rsidRPr="00C867EB" w:rsidRDefault="00C867EB" w:rsidP="00C867EB">
            <w:pPr>
              <w:spacing w:before="40" w:after="120"/>
              <w:ind w:right="113"/>
            </w:pPr>
            <w:r>
              <w:t>2011</w:t>
            </w:r>
          </w:p>
        </w:tc>
        <w:tc>
          <w:tcPr>
            <w:tcW w:w="1474" w:type="dxa"/>
            <w:shd w:val="clear" w:color="auto" w:fill="auto"/>
          </w:tcPr>
          <w:p w14:paraId="321CEDE9" w14:textId="5CDC1AAF" w:rsidR="00C867EB" w:rsidRPr="00C867EB" w:rsidRDefault="00C867EB" w:rsidP="00C867EB">
            <w:pPr>
              <w:spacing w:before="40" w:after="120"/>
              <w:ind w:right="113"/>
            </w:pPr>
            <w:r>
              <w:t>May 2014</w:t>
            </w:r>
          </w:p>
        </w:tc>
        <w:tc>
          <w:tcPr>
            <w:tcW w:w="1474" w:type="dxa"/>
            <w:shd w:val="clear" w:color="auto" w:fill="auto"/>
          </w:tcPr>
          <w:p w14:paraId="1ADFC9B5" w14:textId="1BF957CB" w:rsidR="00C867EB" w:rsidRPr="00C867EB" w:rsidRDefault="00C867EB" w:rsidP="00C867EB">
            <w:pPr>
              <w:spacing w:before="40" w:after="120"/>
              <w:ind w:right="113"/>
            </w:pPr>
            <w:r>
              <w:t>Third report due in 2019</w:t>
            </w:r>
          </w:p>
        </w:tc>
      </w:tr>
      <w:tr w:rsidR="00C867EB" w:rsidRPr="00C867EB" w14:paraId="557C48E1" w14:textId="77777777" w:rsidTr="00C867EB">
        <w:tc>
          <w:tcPr>
            <w:tcW w:w="1474" w:type="dxa"/>
            <w:shd w:val="clear" w:color="auto" w:fill="auto"/>
          </w:tcPr>
          <w:p w14:paraId="2904CC1A" w14:textId="2C65DEE1" w:rsidR="00C867EB" w:rsidRPr="00C867EB" w:rsidRDefault="00C867EB" w:rsidP="00C867EB">
            <w:pPr>
              <w:spacing w:before="40" w:after="120"/>
              <w:ind w:right="113"/>
            </w:pPr>
            <w:r>
              <w:t>HR Committee</w:t>
            </w:r>
          </w:p>
        </w:tc>
        <w:tc>
          <w:tcPr>
            <w:tcW w:w="1474" w:type="dxa"/>
            <w:shd w:val="clear" w:color="auto" w:fill="auto"/>
          </w:tcPr>
          <w:p w14:paraId="3816B97E" w14:textId="6519F4D8" w:rsidR="00C867EB" w:rsidRPr="00C867EB" w:rsidRDefault="00C867EB" w:rsidP="00C867EB">
            <w:pPr>
              <w:spacing w:before="40" w:after="120"/>
              <w:ind w:right="113"/>
            </w:pPr>
            <w:r>
              <w:t>March 2011</w:t>
            </w:r>
          </w:p>
        </w:tc>
        <w:tc>
          <w:tcPr>
            <w:tcW w:w="1474" w:type="dxa"/>
            <w:shd w:val="clear" w:color="auto" w:fill="auto"/>
          </w:tcPr>
          <w:p w14:paraId="5AD6EB84" w14:textId="3B3E68B3" w:rsidR="00C867EB" w:rsidRPr="00C867EB" w:rsidRDefault="00C867EB" w:rsidP="00C867EB">
            <w:pPr>
              <w:spacing w:before="40" w:after="120"/>
              <w:ind w:right="113"/>
            </w:pPr>
            <w:r>
              <w:t>2015</w:t>
            </w:r>
          </w:p>
        </w:tc>
        <w:tc>
          <w:tcPr>
            <w:tcW w:w="1474" w:type="dxa"/>
            <w:shd w:val="clear" w:color="auto" w:fill="auto"/>
          </w:tcPr>
          <w:p w14:paraId="02161181" w14:textId="79D80784" w:rsidR="00C867EB" w:rsidRPr="00C867EB" w:rsidRDefault="00C867EB" w:rsidP="00C867EB">
            <w:pPr>
              <w:spacing w:before="40" w:after="120"/>
              <w:ind w:right="113"/>
            </w:pPr>
            <w:r>
              <w:t>March 2017</w:t>
            </w:r>
          </w:p>
        </w:tc>
        <w:tc>
          <w:tcPr>
            <w:tcW w:w="1474" w:type="dxa"/>
            <w:shd w:val="clear" w:color="auto" w:fill="auto"/>
          </w:tcPr>
          <w:p w14:paraId="23AA4095" w14:textId="7661E969" w:rsidR="00C867EB" w:rsidRPr="00C867EB" w:rsidRDefault="00C867EB" w:rsidP="00C867EB">
            <w:pPr>
              <w:spacing w:before="40" w:after="120"/>
              <w:ind w:right="113"/>
            </w:pPr>
            <w:r>
              <w:t>Fourth report due in 2021</w:t>
            </w:r>
          </w:p>
        </w:tc>
      </w:tr>
      <w:tr w:rsidR="00C867EB" w:rsidRPr="00C867EB" w14:paraId="35ADF549" w14:textId="77777777" w:rsidTr="00C867EB">
        <w:tc>
          <w:tcPr>
            <w:tcW w:w="1474" w:type="dxa"/>
            <w:shd w:val="clear" w:color="auto" w:fill="auto"/>
          </w:tcPr>
          <w:p w14:paraId="1C04CBCA" w14:textId="22D51F6D" w:rsidR="00C867EB" w:rsidRPr="00C867EB" w:rsidRDefault="00C867EB" w:rsidP="00C867EB">
            <w:pPr>
              <w:spacing w:before="40" w:after="120"/>
              <w:ind w:right="113"/>
            </w:pPr>
            <w:r>
              <w:t>CEDAW</w:t>
            </w:r>
          </w:p>
        </w:tc>
        <w:tc>
          <w:tcPr>
            <w:tcW w:w="1474" w:type="dxa"/>
            <w:shd w:val="clear" w:color="auto" w:fill="auto"/>
          </w:tcPr>
          <w:p w14:paraId="7F0AB502" w14:textId="1C2075B5" w:rsidR="00C867EB" w:rsidRPr="00C867EB" w:rsidRDefault="00C867EB" w:rsidP="00C867EB">
            <w:pPr>
              <w:spacing w:before="40" w:after="120"/>
              <w:ind w:right="113"/>
            </w:pPr>
            <w:r>
              <w:t>--</w:t>
            </w:r>
          </w:p>
        </w:tc>
        <w:tc>
          <w:tcPr>
            <w:tcW w:w="1474" w:type="dxa"/>
            <w:shd w:val="clear" w:color="auto" w:fill="auto"/>
          </w:tcPr>
          <w:p w14:paraId="58CF0982" w14:textId="4D4C2CE8" w:rsidR="00C867EB" w:rsidRPr="00C867EB" w:rsidRDefault="00C867EB" w:rsidP="00C867EB">
            <w:pPr>
              <w:spacing w:before="40" w:after="120"/>
              <w:ind w:right="113"/>
            </w:pPr>
            <w:r>
              <w:t>2010/2017</w:t>
            </w:r>
          </w:p>
        </w:tc>
        <w:tc>
          <w:tcPr>
            <w:tcW w:w="1474" w:type="dxa"/>
            <w:shd w:val="clear" w:color="auto" w:fill="auto"/>
          </w:tcPr>
          <w:p w14:paraId="19AC9CC4" w14:textId="17217C1A" w:rsidR="00C867EB" w:rsidRPr="00C867EB" w:rsidRDefault="00C867EB" w:rsidP="00C867EB">
            <w:pPr>
              <w:spacing w:before="40" w:after="120"/>
              <w:ind w:right="113"/>
            </w:pPr>
            <w:r>
              <w:t>July 2013</w:t>
            </w:r>
          </w:p>
        </w:tc>
        <w:tc>
          <w:tcPr>
            <w:tcW w:w="1474" w:type="dxa"/>
            <w:shd w:val="clear" w:color="auto" w:fill="auto"/>
          </w:tcPr>
          <w:p w14:paraId="0E06CB32" w14:textId="3E2D4874" w:rsidR="00C867EB" w:rsidRPr="00C867EB" w:rsidRDefault="00C867EB" w:rsidP="00C867EB">
            <w:pPr>
              <w:spacing w:before="40" w:after="120"/>
              <w:ind w:right="113"/>
            </w:pPr>
            <w:r>
              <w:t>Fourth report pending consideration</w:t>
            </w:r>
          </w:p>
        </w:tc>
      </w:tr>
      <w:tr w:rsidR="00C867EB" w:rsidRPr="00C867EB" w14:paraId="059E1D95" w14:textId="77777777" w:rsidTr="004B24E4">
        <w:tc>
          <w:tcPr>
            <w:tcW w:w="1474" w:type="dxa"/>
            <w:shd w:val="clear" w:color="auto" w:fill="auto"/>
          </w:tcPr>
          <w:p w14:paraId="34DFBA3A" w14:textId="4D9A1449" w:rsidR="00C867EB" w:rsidRDefault="00C867EB" w:rsidP="00C867EB">
            <w:pPr>
              <w:spacing w:before="40" w:after="120"/>
              <w:ind w:right="113"/>
            </w:pPr>
            <w:r>
              <w:t>CAT</w:t>
            </w:r>
          </w:p>
        </w:tc>
        <w:tc>
          <w:tcPr>
            <w:tcW w:w="1474" w:type="dxa"/>
            <w:shd w:val="clear" w:color="auto" w:fill="auto"/>
          </w:tcPr>
          <w:p w14:paraId="05F81964" w14:textId="5ADFDFBF" w:rsidR="00C867EB" w:rsidRDefault="00C867EB" w:rsidP="00C867EB">
            <w:pPr>
              <w:spacing w:before="40" w:after="120"/>
              <w:ind w:right="113"/>
            </w:pPr>
            <w:r>
              <w:t>November 2008</w:t>
            </w:r>
          </w:p>
        </w:tc>
        <w:tc>
          <w:tcPr>
            <w:tcW w:w="1474" w:type="dxa"/>
            <w:shd w:val="clear" w:color="auto" w:fill="auto"/>
          </w:tcPr>
          <w:p w14:paraId="19F2CE66" w14:textId="01D786E6" w:rsidR="00C867EB" w:rsidRDefault="00C867EB" w:rsidP="00C867EB">
            <w:pPr>
              <w:spacing w:before="40" w:after="120"/>
              <w:ind w:right="113"/>
            </w:pPr>
            <w:r>
              <w:t>2013</w:t>
            </w:r>
          </w:p>
        </w:tc>
        <w:tc>
          <w:tcPr>
            <w:tcW w:w="1474" w:type="dxa"/>
            <w:shd w:val="clear" w:color="auto" w:fill="auto"/>
          </w:tcPr>
          <w:p w14:paraId="12E4D3F5" w14:textId="5D6B09F4" w:rsidR="00C867EB" w:rsidRDefault="00C867EB" w:rsidP="00C867EB">
            <w:pPr>
              <w:spacing w:before="40" w:after="120"/>
              <w:ind w:right="113"/>
            </w:pPr>
            <w:r>
              <w:t>May 2015</w:t>
            </w:r>
          </w:p>
        </w:tc>
        <w:tc>
          <w:tcPr>
            <w:tcW w:w="1474" w:type="dxa"/>
            <w:shd w:val="clear" w:color="auto" w:fill="auto"/>
          </w:tcPr>
          <w:p w14:paraId="6FA41A9E" w14:textId="1A5AACB2" w:rsidR="00C867EB" w:rsidRDefault="00C867EB" w:rsidP="00C867EB">
            <w:pPr>
              <w:spacing w:before="40" w:after="120"/>
              <w:ind w:right="113"/>
            </w:pPr>
            <w:r>
              <w:t>Third report due in 2019</w:t>
            </w:r>
          </w:p>
        </w:tc>
      </w:tr>
      <w:tr w:rsidR="004B24E4" w:rsidRPr="00C867EB" w14:paraId="779EB6B5" w14:textId="77777777" w:rsidTr="004B24E4">
        <w:tc>
          <w:tcPr>
            <w:tcW w:w="1474" w:type="dxa"/>
            <w:shd w:val="clear" w:color="auto" w:fill="auto"/>
          </w:tcPr>
          <w:p w14:paraId="74C7F5DC" w14:textId="0A686B9D" w:rsidR="004B24E4" w:rsidRDefault="004B24E4" w:rsidP="00C867EB">
            <w:pPr>
              <w:spacing w:before="40" w:after="120"/>
              <w:ind w:right="113"/>
            </w:pPr>
            <w:r>
              <w:t>CRC</w:t>
            </w:r>
          </w:p>
        </w:tc>
        <w:tc>
          <w:tcPr>
            <w:tcW w:w="1474" w:type="dxa"/>
            <w:shd w:val="clear" w:color="auto" w:fill="auto"/>
          </w:tcPr>
          <w:p w14:paraId="362FFF32" w14:textId="11F9866C" w:rsidR="004B24E4" w:rsidRDefault="004B24E4" w:rsidP="00C867EB">
            <w:pPr>
              <w:spacing w:before="40" w:after="120"/>
              <w:ind w:right="113"/>
            </w:pPr>
            <w:r>
              <w:t>June 2010</w:t>
            </w:r>
          </w:p>
        </w:tc>
        <w:tc>
          <w:tcPr>
            <w:tcW w:w="1474" w:type="dxa"/>
            <w:shd w:val="clear" w:color="auto" w:fill="auto"/>
          </w:tcPr>
          <w:p w14:paraId="6A5DE7D2" w14:textId="4E354AE4" w:rsidR="004B24E4" w:rsidRDefault="004B24E4" w:rsidP="00C867EB">
            <w:pPr>
              <w:spacing w:before="40" w:after="120"/>
              <w:ind w:right="113"/>
            </w:pPr>
            <w:r>
              <w:t>2015</w:t>
            </w:r>
          </w:p>
        </w:tc>
        <w:tc>
          <w:tcPr>
            <w:tcW w:w="1474" w:type="dxa"/>
            <w:shd w:val="clear" w:color="auto" w:fill="auto"/>
          </w:tcPr>
          <w:p w14:paraId="2F934825" w14:textId="6F12DD9E" w:rsidR="004B24E4" w:rsidRDefault="004B24E4" w:rsidP="00C867EB">
            <w:pPr>
              <w:spacing w:before="40" w:after="120"/>
              <w:ind w:right="113"/>
            </w:pPr>
            <w:r>
              <w:t>February 2017</w:t>
            </w:r>
          </w:p>
        </w:tc>
        <w:tc>
          <w:tcPr>
            <w:tcW w:w="1474" w:type="dxa"/>
            <w:shd w:val="clear" w:color="auto" w:fill="auto"/>
          </w:tcPr>
          <w:p w14:paraId="404379A6" w14:textId="2BDA2A12" w:rsidR="004B24E4" w:rsidRDefault="004B24E4" w:rsidP="00C867EB">
            <w:pPr>
              <w:spacing w:before="40" w:after="120"/>
              <w:ind w:right="113"/>
            </w:pPr>
            <w:r>
              <w:t>Combined fourth and fifth reports due in 2022</w:t>
            </w:r>
          </w:p>
        </w:tc>
      </w:tr>
      <w:tr w:rsidR="004B24E4" w:rsidRPr="00C867EB" w14:paraId="6954E5A9" w14:textId="77777777" w:rsidTr="004B24E4">
        <w:tc>
          <w:tcPr>
            <w:tcW w:w="1474" w:type="dxa"/>
            <w:shd w:val="clear" w:color="auto" w:fill="auto"/>
          </w:tcPr>
          <w:p w14:paraId="49C38085" w14:textId="5C731DEA" w:rsidR="004B24E4" w:rsidRDefault="004B24E4" w:rsidP="00C867EB">
            <w:pPr>
              <w:spacing w:before="40" w:after="120"/>
              <w:ind w:right="113"/>
            </w:pPr>
            <w:r>
              <w:lastRenderedPageBreak/>
              <w:t>CRPD</w:t>
            </w:r>
          </w:p>
        </w:tc>
        <w:tc>
          <w:tcPr>
            <w:tcW w:w="1474" w:type="dxa"/>
            <w:shd w:val="clear" w:color="auto" w:fill="auto"/>
          </w:tcPr>
          <w:p w14:paraId="6C264767" w14:textId="7DB71942" w:rsidR="004B24E4" w:rsidRDefault="004B24E4" w:rsidP="00C867EB">
            <w:pPr>
              <w:spacing w:before="40" w:after="120"/>
              <w:ind w:right="113"/>
            </w:pPr>
            <w:r>
              <w:t>--</w:t>
            </w:r>
          </w:p>
        </w:tc>
        <w:tc>
          <w:tcPr>
            <w:tcW w:w="1474" w:type="dxa"/>
            <w:shd w:val="clear" w:color="auto" w:fill="auto"/>
          </w:tcPr>
          <w:p w14:paraId="138E3980" w14:textId="1880C42E" w:rsidR="004B24E4" w:rsidRDefault="004B24E4" w:rsidP="00C867EB">
            <w:pPr>
              <w:spacing w:before="40" w:after="120"/>
              <w:ind w:right="113"/>
            </w:pPr>
            <w:r>
              <w:t>2012</w:t>
            </w:r>
          </w:p>
        </w:tc>
        <w:tc>
          <w:tcPr>
            <w:tcW w:w="1474" w:type="dxa"/>
            <w:shd w:val="clear" w:color="auto" w:fill="auto"/>
          </w:tcPr>
          <w:p w14:paraId="5240995F" w14:textId="1767F804" w:rsidR="004B24E4" w:rsidRDefault="004B24E4" w:rsidP="00C867EB">
            <w:pPr>
              <w:spacing w:before="40" w:after="120"/>
              <w:ind w:right="113"/>
            </w:pPr>
            <w:r>
              <w:t>April 2016</w:t>
            </w:r>
          </w:p>
        </w:tc>
        <w:tc>
          <w:tcPr>
            <w:tcW w:w="1474" w:type="dxa"/>
            <w:shd w:val="clear" w:color="auto" w:fill="auto"/>
          </w:tcPr>
          <w:p w14:paraId="1348C25B" w14:textId="39D1DAB2" w:rsidR="004B24E4" w:rsidRDefault="004B24E4" w:rsidP="00C867EB">
            <w:pPr>
              <w:spacing w:before="40" w:after="120"/>
              <w:ind w:right="113"/>
            </w:pPr>
            <w:r>
              <w:t>Combined second and fourth report due in 2023</w:t>
            </w:r>
          </w:p>
        </w:tc>
      </w:tr>
      <w:tr w:rsidR="004B24E4" w:rsidRPr="00C867EB" w14:paraId="417A82D1" w14:textId="77777777" w:rsidTr="00C867EB">
        <w:tc>
          <w:tcPr>
            <w:tcW w:w="1474" w:type="dxa"/>
            <w:tcBorders>
              <w:bottom w:val="single" w:sz="12" w:space="0" w:color="auto"/>
            </w:tcBorders>
            <w:shd w:val="clear" w:color="auto" w:fill="auto"/>
          </w:tcPr>
          <w:p w14:paraId="4346C51E" w14:textId="3B9AB7A1" w:rsidR="004B24E4" w:rsidRDefault="004B24E4" w:rsidP="00C867EB">
            <w:pPr>
              <w:spacing w:before="40" w:after="120"/>
              <w:ind w:right="113"/>
            </w:pPr>
            <w:r>
              <w:t>CED</w:t>
            </w:r>
          </w:p>
        </w:tc>
        <w:tc>
          <w:tcPr>
            <w:tcW w:w="1474" w:type="dxa"/>
            <w:tcBorders>
              <w:bottom w:val="single" w:sz="12" w:space="0" w:color="auto"/>
            </w:tcBorders>
            <w:shd w:val="clear" w:color="auto" w:fill="auto"/>
          </w:tcPr>
          <w:p w14:paraId="0D04F19C" w14:textId="4AF7DE8E" w:rsidR="004B24E4" w:rsidRDefault="004B24E4" w:rsidP="00C867EB">
            <w:pPr>
              <w:spacing w:before="40" w:after="120"/>
              <w:ind w:right="113"/>
            </w:pPr>
            <w:r>
              <w:t>--</w:t>
            </w:r>
          </w:p>
        </w:tc>
        <w:tc>
          <w:tcPr>
            <w:tcW w:w="1474" w:type="dxa"/>
            <w:tcBorders>
              <w:bottom w:val="single" w:sz="12" w:space="0" w:color="auto"/>
            </w:tcBorders>
            <w:shd w:val="clear" w:color="auto" w:fill="auto"/>
          </w:tcPr>
          <w:p w14:paraId="11B59BC2" w14:textId="104B22D0" w:rsidR="004B24E4" w:rsidRDefault="004B24E4" w:rsidP="00C867EB">
            <w:pPr>
              <w:spacing w:before="40" w:after="120"/>
              <w:ind w:right="113"/>
            </w:pPr>
            <w:r>
              <w:t>2013</w:t>
            </w:r>
          </w:p>
        </w:tc>
        <w:tc>
          <w:tcPr>
            <w:tcW w:w="1474" w:type="dxa"/>
            <w:tcBorders>
              <w:bottom w:val="single" w:sz="12" w:space="0" w:color="auto"/>
            </w:tcBorders>
            <w:shd w:val="clear" w:color="auto" w:fill="auto"/>
          </w:tcPr>
          <w:p w14:paraId="7F2509C9" w14:textId="6059A535" w:rsidR="004B24E4" w:rsidRDefault="004B24E4" w:rsidP="00C867EB">
            <w:pPr>
              <w:spacing w:before="40" w:after="120"/>
              <w:ind w:right="113"/>
            </w:pPr>
            <w:r>
              <w:t>February 2015</w:t>
            </w:r>
          </w:p>
        </w:tc>
        <w:tc>
          <w:tcPr>
            <w:tcW w:w="1474" w:type="dxa"/>
            <w:tcBorders>
              <w:bottom w:val="single" w:sz="12" w:space="0" w:color="auto"/>
            </w:tcBorders>
            <w:shd w:val="clear" w:color="auto" w:fill="auto"/>
          </w:tcPr>
          <w:p w14:paraId="4AF55995" w14:textId="6023CC71" w:rsidR="004B24E4" w:rsidRDefault="004B24E4" w:rsidP="00C867EB">
            <w:pPr>
              <w:spacing w:before="40" w:after="120"/>
              <w:ind w:right="113"/>
            </w:pPr>
            <w:r>
              <w:t>Second report due in 2021</w:t>
            </w:r>
          </w:p>
        </w:tc>
      </w:tr>
    </w:tbl>
    <w:p w14:paraId="26B8549D" w14:textId="31C7D3D6" w:rsidR="00A02BFB" w:rsidRPr="00C867EB" w:rsidRDefault="002E646B" w:rsidP="00C726AA">
      <w:pPr>
        <w:pStyle w:val="H23G"/>
      </w:pPr>
      <w:bookmarkStart w:id="3" w:name="Table_Response_TB_follow_up"/>
      <w:r w:rsidRPr="00C867EB">
        <w:tab/>
      </w:r>
      <w:r w:rsidRPr="00C867EB">
        <w:tab/>
      </w:r>
      <w:r w:rsidR="00A02BFB" w:rsidRPr="00C867EB">
        <w:t xml:space="preserve">Responses to specific follow-up requests </w:t>
      </w:r>
      <w:r w:rsidR="00CA6DE7" w:rsidRPr="00C867E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C867EB" w14:paraId="242D9472" w14:textId="77777777" w:rsidTr="003E19D9">
        <w:tc>
          <w:tcPr>
            <w:tcW w:w="2409" w:type="dxa"/>
            <w:tcBorders>
              <w:top w:val="single" w:sz="4" w:space="0" w:color="auto"/>
              <w:bottom w:val="single" w:sz="12" w:space="0" w:color="auto"/>
            </w:tcBorders>
            <w:shd w:val="clear" w:color="auto" w:fill="auto"/>
            <w:vAlign w:val="bottom"/>
          </w:tcPr>
          <w:p w14:paraId="0892C4A9" w14:textId="77777777" w:rsidR="003E19D9" w:rsidRPr="00C867EB" w:rsidRDefault="003E19D9" w:rsidP="00C867EB">
            <w:pPr>
              <w:spacing w:before="40" w:after="120"/>
              <w:ind w:right="113"/>
              <w:rPr>
                <w:sz w:val="16"/>
              </w:rPr>
            </w:pPr>
            <w:r w:rsidRPr="00C867EB">
              <w:rPr>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C867EB" w:rsidRDefault="003E19D9" w:rsidP="00C867EB">
            <w:pPr>
              <w:spacing w:before="40" w:after="120"/>
              <w:ind w:right="113"/>
              <w:rPr>
                <w:sz w:val="16"/>
              </w:rPr>
            </w:pPr>
            <w:r w:rsidRPr="00C867EB">
              <w:rPr>
                <w:sz w:val="16"/>
              </w:rPr>
              <w:t>Due in</w:t>
            </w:r>
          </w:p>
        </w:tc>
        <w:tc>
          <w:tcPr>
            <w:tcW w:w="2409" w:type="dxa"/>
            <w:tcBorders>
              <w:top w:val="single" w:sz="4" w:space="0" w:color="auto"/>
              <w:bottom w:val="single" w:sz="12" w:space="0" w:color="auto"/>
            </w:tcBorders>
            <w:shd w:val="clear" w:color="auto" w:fill="auto"/>
            <w:vAlign w:val="bottom"/>
          </w:tcPr>
          <w:p w14:paraId="6CFDC3C3" w14:textId="77777777" w:rsidR="003E19D9" w:rsidRPr="00C867EB" w:rsidRDefault="003E19D9" w:rsidP="00C867EB">
            <w:pPr>
              <w:spacing w:before="40" w:after="120"/>
              <w:ind w:right="113"/>
              <w:rPr>
                <w:sz w:val="16"/>
              </w:rPr>
            </w:pPr>
            <w:r w:rsidRPr="00C867EB">
              <w:rPr>
                <w:sz w:val="16"/>
              </w:rPr>
              <w:t>Subject matter</w:t>
            </w:r>
          </w:p>
        </w:tc>
        <w:tc>
          <w:tcPr>
            <w:tcW w:w="2410" w:type="dxa"/>
            <w:tcBorders>
              <w:top w:val="single" w:sz="4" w:space="0" w:color="auto"/>
              <w:bottom w:val="single" w:sz="12" w:space="0" w:color="auto"/>
            </w:tcBorders>
            <w:shd w:val="clear" w:color="auto" w:fill="auto"/>
            <w:vAlign w:val="bottom"/>
          </w:tcPr>
          <w:p w14:paraId="5E4BFCC9" w14:textId="77777777" w:rsidR="003E19D9" w:rsidRPr="00C867EB" w:rsidRDefault="003E19D9" w:rsidP="00C867EB">
            <w:pPr>
              <w:spacing w:before="40" w:after="120"/>
              <w:ind w:right="113"/>
              <w:rPr>
                <w:sz w:val="16"/>
              </w:rPr>
            </w:pPr>
            <w:r w:rsidRPr="00C867EB">
              <w:rPr>
                <w:sz w:val="16"/>
              </w:rPr>
              <w:t>Submitted</w:t>
            </w:r>
          </w:p>
        </w:tc>
      </w:tr>
      <w:tr w:rsidR="003E19D9" w:rsidRPr="00C867EB" w14:paraId="45AFE137" w14:textId="77777777" w:rsidTr="003E19D9">
        <w:trPr>
          <w:trHeight w:hRule="exact" w:val="113"/>
        </w:trPr>
        <w:tc>
          <w:tcPr>
            <w:tcW w:w="2409" w:type="dxa"/>
            <w:tcBorders>
              <w:top w:val="single" w:sz="12" w:space="0" w:color="auto"/>
            </w:tcBorders>
            <w:shd w:val="clear" w:color="auto" w:fill="auto"/>
            <w:vAlign w:val="bottom"/>
          </w:tcPr>
          <w:p w14:paraId="03A4A2B3" w14:textId="77777777" w:rsidR="003E19D9" w:rsidRPr="00C867EB" w:rsidRDefault="003E19D9" w:rsidP="00C867EB">
            <w:pPr>
              <w:spacing w:before="40" w:after="120"/>
              <w:ind w:right="113"/>
              <w:rPr>
                <w:sz w:val="16"/>
              </w:rPr>
            </w:pPr>
          </w:p>
        </w:tc>
        <w:tc>
          <w:tcPr>
            <w:tcW w:w="2409" w:type="dxa"/>
            <w:tcBorders>
              <w:top w:val="single" w:sz="12" w:space="0" w:color="auto"/>
            </w:tcBorders>
            <w:shd w:val="clear" w:color="auto" w:fill="auto"/>
            <w:vAlign w:val="bottom"/>
          </w:tcPr>
          <w:p w14:paraId="5E0252DD" w14:textId="77777777" w:rsidR="003E19D9" w:rsidRPr="00C867EB" w:rsidRDefault="003E19D9" w:rsidP="00C867EB">
            <w:pPr>
              <w:spacing w:before="40" w:after="120"/>
              <w:ind w:right="113"/>
              <w:rPr>
                <w:sz w:val="16"/>
              </w:rPr>
            </w:pPr>
          </w:p>
        </w:tc>
        <w:tc>
          <w:tcPr>
            <w:tcW w:w="2409" w:type="dxa"/>
            <w:tcBorders>
              <w:top w:val="single" w:sz="12" w:space="0" w:color="auto"/>
            </w:tcBorders>
            <w:shd w:val="clear" w:color="auto" w:fill="auto"/>
            <w:vAlign w:val="bottom"/>
          </w:tcPr>
          <w:p w14:paraId="1A31DE13" w14:textId="77777777" w:rsidR="003E19D9" w:rsidRPr="00C867EB" w:rsidRDefault="003E19D9" w:rsidP="00C867EB">
            <w:pPr>
              <w:spacing w:before="40" w:after="120"/>
              <w:ind w:right="113"/>
              <w:rPr>
                <w:sz w:val="16"/>
              </w:rPr>
            </w:pPr>
          </w:p>
        </w:tc>
        <w:tc>
          <w:tcPr>
            <w:tcW w:w="2410" w:type="dxa"/>
            <w:tcBorders>
              <w:top w:val="single" w:sz="12" w:space="0" w:color="auto"/>
            </w:tcBorders>
            <w:shd w:val="clear" w:color="auto" w:fill="auto"/>
            <w:vAlign w:val="bottom"/>
          </w:tcPr>
          <w:p w14:paraId="06214710" w14:textId="77777777" w:rsidR="003E19D9" w:rsidRPr="00C867EB" w:rsidRDefault="003E19D9" w:rsidP="00C867EB">
            <w:pPr>
              <w:spacing w:before="40" w:after="120"/>
              <w:ind w:right="113"/>
              <w:rPr>
                <w:sz w:val="16"/>
              </w:rPr>
            </w:pPr>
          </w:p>
        </w:tc>
      </w:tr>
      <w:tr w:rsidR="003E19D9" w:rsidRPr="00C867EB" w14:paraId="68C3EE59" w14:textId="77777777" w:rsidTr="003E19D9">
        <w:tc>
          <w:tcPr>
            <w:tcW w:w="2409" w:type="dxa"/>
            <w:shd w:val="clear" w:color="auto" w:fill="auto"/>
          </w:tcPr>
          <w:p w14:paraId="075FE1DC" w14:textId="4F8C829B" w:rsidR="003E19D9" w:rsidRPr="00C867EB" w:rsidRDefault="00C726AA" w:rsidP="00C867EB">
            <w:pPr>
              <w:spacing w:before="40" w:after="120"/>
              <w:ind w:right="113"/>
            </w:pPr>
            <w:r>
              <w:t>HR Committee</w:t>
            </w:r>
          </w:p>
        </w:tc>
        <w:tc>
          <w:tcPr>
            <w:tcW w:w="2409" w:type="dxa"/>
            <w:shd w:val="clear" w:color="auto" w:fill="auto"/>
          </w:tcPr>
          <w:p w14:paraId="04687776" w14:textId="109C917C" w:rsidR="003E19D9" w:rsidRPr="00C867EB" w:rsidRDefault="00C726AA" w:rsidP="00C867EB">
            <w:pPr>
              <w:spacing w:before="40" w:after="120"/>
              <w:ind w:right="113"/>
            </w:pPr>
            <w:r>
              <w:t>2018</w:t>
            </w:r>
          </w:p>
        </w:tc>
        <w:tc>
          <w:tcPr>
            <w:tcW w:w="2409" w:type="dxa"/>
            <w:shd w:val="clear" w:color="auto" w:fill="auto"/>
          </w:tcPr>
          <w:p w14:paraId="36BBA8BC" w14:textId="286E7748" w:rsidR="003E19D9" w:rsidRPr="00C867EB" w:rsidRDefault="00C726AA" w:rsidP="00C867EB">
            <w:pPr>
              <w:spacing w:before="40" w:after="120"/>
              <w:ind w:right="113"/>
            </w:pPr>
            <w:r w:rsidRPr="00C726AA">
              <w:t>Roma exclusion, refugees and asylum seekers, freedom of expression.</w:t>
            </w:r>
            <w:r w:rsidRPr="00C726AA">
              <w:rPr>
                <w:rStyle w:val="EndnoteReference"/>
              </w:rPr>
              <w:endnoteReference w:id="12"/>
            </w:r>
          </w:p>
        </w:tc>
        <w:tc>
          <w:tcPr>
            <w:tcW w:w="2410" w:type="dxa"/>
            <w:shd w:val="clear" w:color="auto" w:fill="auto"/>
          </w:tcPr>
          <w:p w14:paraId="5844F6FB" w14:textId="3FB9A776" w:rsidR="003E19D9" w:rsidRPr="00C867EB" w:rsidRDefault="00C726AA" w:rsidP="00C867EB">
            <w:pPr>
              <w:spacing w:before="40" w:after="120"/>
              <w:ind w:right="113"/>
            </w:pPr>
            <w:r>
              <w:t>--</w:t>
            </w:r>
          </w:p>
        </w:tc>
      </w:tr>
      <w:tr w:rsidR="003E19D9" w:rsidRPr="00C867EB" w14:paraId="1D3F9BC9" w14:textId="77777777" w:rsidTr="003E19D9">
        <w:tc>
          <w:tcPr>
            <w:tcW w:w="2409" w:type="dxa"/>
            <w:shd w:val="clear" w:color="auto" w:fill="auto"/>
          </w:tcPr>
          <w:p w14:paraId="02DCA238" w14:textId="736FF8A7" w:rsidR="003E19D9" w:rsidRPr="00C867EB" w:rsidRDefault="00C726AA" w:rsidP="00C867EB">
            <w:pPr>
              <w:spacing w:before="40" w:after="120"/>
              <w:ind w:right="113"/>
            </w:pPr>
            <w:r>
              <w:t>HR Committee</w:t>
            </w:r>
          </w:p>
        </w:tc>
        <w:tc>
          <w:tcPr>
            <w:tcW w:w="2409" w:type="dxa"/>
            <w:shd w:val="clear" w:color="auto" w:fill="auto"/>
          </w:tcPr>
          <w:p w14:paraId="6547F15E" w14:textId="6496F0A2" w:rsidR="00711846" w:rsidRPr="00C867EB" w:rsidRDefault="00C726AA" w:rsidP="00C867EB">
            <w:pPr>
              <w:spacing w:before="40" w:after="120"/>
              <w:ind w:right="113"/>
            </w:pPr>
            <w:r>
              <w:t>2012</w:t>
            </w:r>
          </w:p>
        </w:tc>
        <w:tc>
          <w:tcPr>
            <w:tcW w:w="2409" w:type="dxa"/>
            <w:shd w:val="clear" w:color="auto" w:fill="auto"/>
          </w:tcPr>
          <w:p w14:paraId="140397BE" w14:textId="286BB7FC" w:rsidR="00711846" w:rsidRPr="00C867EB" w:rsidRDefault="00C726AA" w:rsidP="00C867EB">
            <w:pPr>
              <w:spacing w:before="40" w:after="120"/>
              <w:ind w:right="113"/>
            </w:pPr>
            <w:r w:rsidRPr="00C726AA">
              <w:t>Investigation, prosecution, and punishment of those responsible for the killing of more than eight hundred persons whose bodies were found in mass graves in and near Batajnica; Administration of justice; Discrimination and exclusion of the Roma.</w:t>
            </w:r>
            <w:r w:rsidRPr="00C726AA">
              <w:rPr>
                <w:rStyle w:val="EndnoteReference"/>
              </w:rPr>
              <w:endnoteReference w:id="13"/>
            </w:r>
          </w:p>
        </w:tc>
        <w:tc>
          <w:tcPr>
            <w:tcW w:w="2410" w:type="dxa"/>
            <w:shd w:val="clear" w:color="auto" w:fill="auto"/>
          </w:tcPr>
          <w:p w14:paraId="68E1106A" w14:textId="2DAC4152" w:rsidR="003E19D9" w:rsidRPr="00C867EB" w:rsidRDefault="00C726AA" w:rsidP="00C867EB">
            <w:pPr>
              <w:spacing w:before="40" w:after="120"/>
              <w:ind w:right="113"/>
            </w:pPr>
            <w:r w:rsidRPr="00C726AA">
              <w:t>2012</w:t>
            </w:r>
            <w:r w:rsidRPr="00C726AA">
              <w:rPr>
                <w:rStyle w:val="EndnoteReference"/>
              </w:rPr>
              <w:endnoteReference w:id="14"/>
            </w:r>
            <w:r w:rsidRPr="00C726AA">
              <w:t xml:space="preserve"> and 2014</w:t>
            </w:r>
            <w:r w:rsidRPr="00C726AA">
              <w:rPr>
                <w:rStyle w:val="EndnoteReference"/>
              </w:rPr>
              <w:endnoteReference w:id="15"/>
            </w:r>
            <w:r w:rsidRPr="00C726AA">
              <w:rPr>
                <w:vertAlign w:val="superscript"/>
              </w:rPr>
              <w:t>;</w:t>
            </w:r>
            <w:r w:rsidRPr="00C726AA">
              <w:t xml:space="preserve"> ongoing dialogue</w:t>
            </w:r>
            <w:r w:rsidRPr="00C726AA">
              <w:rPr>
                <w:rStyle w:val="EndnoteReference"/>
              </w:rPr>
              <w:endnoteReference w:id="16"/>
            </w:r>
          </w:p>
        </w:tc>
      </w:tr>
      <w:tr w:rsidR="003E19D9" w:rsidRPr="0045718D" w14:paraId="55D3D8BB" w14:textId="77777777" w:rsidTr="009E349E">
        <w:tc>
          <w:tcPr>
            <w:tcW w:w="2409" w:type="dxa"/>
            <w:shd w:val="clear" w:color="auto" w:fill="auto"/>
          </w:tcPr>
          <w:p w14:paraId="3E7C1692" w14:textId="5BA81D22" w:rsidR="003E19D9" w:rsidRPr="0045718D" w:rsidRDefault="00A334F7" w:rsidP="0045718D">
            <w:pPr>
              <w:spacing w:before="40" w:after="120"/>
              <w:ind w:right="113"/>
              <w:jc w:val="both"/>
            </w:pPr>
            <w:r>
              <w:t>CED</w:t>
            </w:r>
          </w:p>
        </w:tc>
        <w:tc>
          <w:tcPr>
            <w:tcW w:w="2409" w:type="dxa"/>
            <w:shd w:val="clear" w:color="auto" w:fill="auto"/>
          </w:tcPr>
          <w:p w14:paraId="397AC205" w14:textId="38CCFAB0" w:rsidR="003E19D9" w:rsidRPr="0045718D" w:rsidRDefault="00A334F7" w:rsidP="0045718D">
            <w:pPr>
              <w:spacing w:before="40" w:after="120"/>
              <w:ind w:right="113"/>
              <w:jc w:val="both"/>
            </w:pPr>
            <w:r>
              <w:t>2016</w:t>
            </w:r>
          </w:p>
        </w:tc>
        <w:tc>
          <w:tcPr>
            <w:tcW w:w="2409" w:type="dxa"/>
            <w:shd w:val="clear" w:color="auto" w:fill="auto"/>
          </w:tcPr>
          <w:p w14:paraId="357211A2" w14:textId="1FE3F056" w:rsidR="003E19D9" w:rsidRPr="0045718D" w:rsidRDefault="00A334F7" w:rsidP="002C3F46">
            <w:pPr>
              <w:spacing w:before="40" w:after="120"/>
              <w:ind w:right="113"/>
            </w:pPr>
            <w:r w:rsidRPr="00A334F7">
              <w:t>The offence of enforced disappearance; Investigation of enforced disappearances committed in the context of past armed conflicts; Search for persons missing from the Kosovo</w:t>
            </w:r>
            <w:r w:rsidRPr="009E349E">
              <w:rPr>
                <w:rStyle w:val="FootnoteReference"/>
              </w:rPr>
              <w:footnoteReference w:id="2"/>
            </w:r>
            <w:r w:rsidRPr="009E349E">
              <w:rPr>
                <w:rStyle w:val="FootnoteReference"/>
              </w:rPr>
              <w:t xml:space="preserve"> </w:t>
            </w:r>
            <w:r w:rsidRPr="00A334F7">
              <w:t>conflict.</w:t>
            </w:r>
            <w:r w:rsidRPr="00A334F7">
              <w:rPr>
                <w:rStyle w:val="EndnoteReference"/>
              </w:rPr>
              <w:endnoteReference w:id="17"/>
            </w:r>
          </w:p>
        </w:tc>
        <w:tc>
          <w:tcPr>
            <w:tcW w:w="2410" w:type="dxa"/>
            <w:shd w:val="clear" w:color="auto" w:fill="auto"/>
          </w:tcPr>
          <w:p w14:paraId="741B4931" w14:textId="3565F1A7" w:rsidR="003E19D9" w:rsidRPr="0045718D" w:rsidRDefault="00A334F7" w:rsidP="0045718D">
            <w:pPr>
              <w:spacing w:before="40" w:after="120"/>
              <w:ind w:right="113"/>
              <w:jc w:val="both"/>
            </w:pPr>
            <w:r w:rsidRPr="00A334F7">
              <w:t>2016</w:t>
            </w:r>
            <w:r w:rsidRPr="00A334F7">
              <w:rPr>
                <w:rStyle w:val="EndnoteReference"/>
              </w:rPr>
              <w:endnoteReference w:id="18"/>
            </w:r>
          </w:p>
        </w:tc>
      </w:tr>
      <w:tr w:rsidR="009E349E" w:rsidRPr="0045718D" w14:paraId="107FCB09" w14:textId="77777777" w:rsidTr="00117645">
        <w:tc>
          <w:tcPr>
            <w:tcW w:w="2409" w:type="dxa"/>
            <w:shd w:val="clear" w:color="auto" w:fill="auto"/>
          </w:tcPr>
          <w:p w14:paraId="5C8D7B53" w14:textId="1614F6BF" w:rsidR="009E349E" w:rsidRDefault="009E349E" w:rsidP="0045718D">
            <w:pPr>
              <w:spacing w:before="40" w:after="120"/>
              <w:ind w:right="113"/>
              <w:jc w:val="both"/>
            </w:pPr>
            <w:r>
              <w:t>CEDAW</w:t>
            </w:r>
          </w:p>
        </w:tc>
        <w:tc>
          <w:tcPr>
            <w:tcW w:w="2409" w:type="dxa"/>
            <w:shd w:val="clear" w:color="auto" w:fill="auto"/>
          </w:tcPr>
          <w:p w14:paraId="3AC105BB" w14:textId="1F4F2549" w:rsidR="009E349E" w:rsidRDefault="009E349E" w:rsidP="0045718D">
            <w:pPr>
              <w:spacing w:before="40" w:after="120"/>
              <w:ind w:right="113"/>
              <w:jc w:val="both"/>
            </w:pPr>
            <w:r>
              <w:t>2015</w:t>
            </w:r>
          </w:p>
        </w:tc>
        <w:tc>
          <w:tcPr>
            <w:tcW w:w="2409" w:type="dxa"/>
            <w:shd w:val="clear" w:color="auto" w:fill="auto"/>
          </w:tcPr>
          <w:p w14:paraId="1A05A3F6" w14:textId="123AA651" w:rsidR="009E349E" w:rsidRPr="00A334F7" w:rsidRDefault="009E349E" w:rsidP="002C3F46">
            <w:pPr>
              <w:spacing w:before="40" w:after="120"/>
              <w:ind w:right="113"/>
            </w:pPr>
            <w:r w:rsidRPr="009E349E">
              <w:t>Elimination of discrimination against women, especially disadvantaged women; Violence against women.</w:t>
            </w:r>
            <w:r w:rsidRPr="009E349E">
              <w:rPr>
                <w:rStyle w:val="EndnoteReference"/>
              </w:rPr>
              <w:endnoteReference w:id="19"/>
            </w:r>
          </w:p>
        </w:tc>
        <w:tc>
          <w:tcPr>
            <w:tcW w:w="2410" w:type="dxa"/>
            <w:shd w:val="clear" w:color="auto" w:fill="auto"/>
          </w:tcPr>
          <w:p w14:paraId="656FE3B7" w14:textId="64A86A00" w:rsidR="009E349E" w:rsidRPr="00A334F7" w:rsidRDefault="009E349E" w:rsidP="0045718D">
            <w:pPr>
              <w:spacing w:before="40" w:after="120"/>
              <w:ind w:right="113"/>
              <w:jc w:val="both"/>
            </w:pPr>
            <w:r w:rsidRPr="009E349E">
              <w:t>2016</w:t>
            </w:r>
            <w:r w:rsidRPr="009E349E">
              <w:rPr>
                <w:rStyle w:val="EndnoteReference"/>
              </w:rPr>
              <w:endnoteReference w:id="20"/>
            </w:r>
            <w:r w:rsidRPr="009E349E">
              <w:t>; ongoing dialogue</w:t>
            </w:r>
            <w:r w:rsidRPr="009E349E">
              <w:rPr>
                <w:rStyle w:val="EndnoteReference"/>
              </w:rPr>
              <w:endnoteReference w:id="21"/>
            </w:r>
          </w:p>
        </w:tc>
      </w:tr>
      <w:tr w:rsidR="00117645" w:rsidRPr="0045718D" w14:paraId="20DF462B" w14:textId="77777777" w:rsidTr="00117645">
        <w:tc>
          <w:tcPr>
            <w:tcW w:w="2409" w:type="dxa"/>
            <w:shd w:val="clear" w:color="auto" w:fill="auto"/>
          </w:tcPr>
          <w:p w14:paraId="2945823F" w14:textId="4E000AFF" w:rsidR="00117645" w:rsidRDefault="00117645" w:rsidP="0045718D">
            <w:pPr>
              <w:spacing w:before="40" w:after="120"/>
              <w:ind w:right="113"/>
              <w:jc w:val="both"/>
            </w:pPr>
            <w:r>
              <w:t>CERD</w:t>
            </w:r>
          </w:p>
        </w:tc>
        <w:tc>
          <w:tcPr>
            <w:tcW w:w="2409" w:type="dxa"/>
            <w:shd w:val="clear" w:color="auto" w:fill="auto"/>
          </w:tcPr>
          <w:p w14:paraId="6AA27404" w14:textId="10F2DA7C" w:rsidR="00117645" w:rsidRDefault="00117645" w:rsidP="0045718D">
            <w:pPr>
              <w:spacing w:before="40" w:after="120"/>
              <w:ind w:right="113"/>
              <w:jc w:val="both"/>
            </w:pPr>
            <w:r>
              <w:t>2012</w:t>
            </w:r>
          </w:p>
        </w:tc>
        <w:tc>
          <w:tcPr>
            <w:tcW w:w="2409" w:type="dxa"/>
            <w:shd w:val="clear" w:color="auto" w:fill="auto"/>
          </w:tcPr>
          <w:p w14:paraId="7549A214" w14:textId="288F61D7" w:rsidR="00117645" w:rsidRPr="009E349E" w:rsidRDefault="00117645" w:rsidP="002C3F46">
            <w:pPr>
              <w:spacing w:before="40" w:after="120"/>
              <w:ind w:right="113"/>
            </w:pPr>
            <w:r w:rsidRPr="00117645">
              <w:t>Functioning of Institutions dealing with racial discrimination; School segregation of Roma; Registration of the Roma, Ashkali and Egyptian; Cooperation with the ICTY.</w:t>
            </w:r>
            <w:r w:rsidRPr="00117645">
              <w:rPr>
                <w:rStyle w:val="EndnoteReference"/>
              </w:rPr>
              <w:endnoteReference w:id="22"/>
            </w:r>
          </w:p>
        </w:tc>
        <w:tc>
          <w:tcPr>
            <w:tcW w:w="2410" w:type="dxa"/>
            <w:shd w:val="clear" w:color="auto" w:fill="auto"/>
          </w:tcPr>
          <w:p w14:paraId="24DBD74C" w14:textId="60D9CC20" w:rsidR="00117645" w:rsidRPr="009E349E" w:rsidRDefault="00117645" w:rsidP="0045718D">
            <w:pPr>
              <w:spacing w:before="40" w:after="120"/>
              <w:ind w:right="113"/>
              <w:jc w:val="both"/>
            </w:pPr>
            <w:r w:rsidRPr="00117645">
              <w:t>2013</w:t>
            </w:r>
            <w:r w:rsidRPr="00117645">
              <w:rPr>
                <w:rStyle w:val="EndnoteReference"/>
              </w:rPr>
              <w:endnoteReference w:id="23"/>
            </w:r>
            <w:r w:rsidRPr="00117645">
              <w:t>; ongoing dialogue</w:t>
            </w:r>
            <w:r w:rsidRPr="00117645">
              <w:rPr>
                <w:rStyle w:val="EndnoteReference"/>
              </w:rPr>
              <w:endnoteReference w:id="24"/>
            </w:r>
          </w:p>
        </w:tc>
      </w:tr>
      <w:tr w:rsidR="00117645" w:rsidRPr="0045718D" w14:paraId="1BBB1FE5" w14:textId="77777777" w:rsidTr="00945ED8">
        <w:trPr>
          <w:cantSplit/>
        </w:trPr>
        <w:tc>
          <w:tcPr>
            <w:tcW w:w="2409" w:type="dxa"/>
            <w:shd w:val="clear" w:color="auto" w:fill="auto"/>
          </w:tcPr>
          <w:p w14:paraId="779850AB" w14:textId="60F8C451" w:rsidR="00117645" w:rsidRDefault="003041D4" w:rsidP="0045718D">
            <w:pPr>
              <w:spacing w:before="40" w:after="120"/>
              <w:ind w:right="113"/>
              <w:jc w:val="both"/>
            </w:pPr>
            <w:r>
              <w:lastRenderedPageBreak/>
              <w:t>CAT</w:t>
            </w:r>
          </w:p>
        </w:tc>
        <w:tc>
          <w:tcPr>
            <w:tcW w:w="2409" w:type="dxa"/>
            <w:shd w:val="clear" w:color="auto" w:fill="auto"/>
          </w:tcPr>
          <w:p w14:paraId="295B9C9E" w14:textId="00DED552" w:rsidR="00117645" w:rsidRDefault="003041D4" w:rsidP="0045718D">
            <w:pPr>
              <w:spacing w:before="40" w:after="120"/>
              <w:ind w:right="113"/>
              <w:jc w:val="both"/>
            </w:pPr>
            <w:r>
              <w:t>2016</w:t>
            </w:r>
          </w:p>
        </w:tc>
        <w:tc>
          <w:tcPr>
            <w:tcW w:w="2409" w:type="dxa"/>
            <w:shd w:val="clear" w:color="auto" w:fill="auto"/>
          </w:tcPr>
          <w:p w14:paraId="3A9433D6" w14:textId="7BF5D1D6" w:rsidR="00117645" w:rsidRPr="009E349E" w:rsidRDefault="003041D4" w:rsidP="002C3F46">
            <w:pPr>
              <w:spacing w:before="40" w:after="120"/>
              <w:ind w:right="113"/>
            </w:pPr>
            <w:r w:rsidRPr="003041D4">
              <w:t>Independent medical examination for persons deprived of liberty, Public condemnation of threats to and attacks on human rights defenders, journalists, lesbian, gay, bisexual, transgender and intersex persons and members of the Roma community.</w:t>
            </w:r>
            <w:r w:rsidRPr="003041D4">
              <w:rPr>
                <w:rStyle w:val="EndnoteReference"/>
              </w:rPr>
              <w:endnoteReference w:id="25"/>
            </w:r>
          </w:p>
        </w:tc>
        <w:tc>
          <w:tcPr>
            <w:tcW w:w="2410" w:type="dxa"/>
            <w:shd w:val="clear" w:color="auto" w:fill="auto"/>
          </w:tcPr>
          <w:p w14:paraId="62957BCC" w14:textId="5F47E38B" w:rsidR="00117645" w:rsidRPr="009E349E" w:rsidRDefault="003041D4" w:rsidP="0045718D">
            <w:pPr>
              <w:spacing w:before="40" w:after="120"/>
              <w:ind w:right="113"/>
              <w:jc w:val="both"/>
            </w:pPr>
            <w:r w:rsidRPr="003041D4">
              <w:t>2016</w:t>
            </w:r>
            <w:r w:rsidRPr="003041D4">
              <w:rPr>
                <w:rStyle w:val="EndnoteReference"/>
              </w:rPr>
              <w:endnoteReference w:id="26"/>
            </w:r>
          </w:p>
        </w:tc>
      </w:tr>
      <w:tr w:rsidR="00945ED8" w:rsidRPr="0045718D" w14:paraId="71DB97C9" w14:textId="77777777" w:rsidTr="003041D4">
        <w:trPr>
          <w:cantSplit/>
        </w:trPr>
        <w:tc>
          <w:tcPr>
            <w:tcW w:w="2409" w:type="dxa"/>
            <w:tcBorders>
              <w:bottom w:val="single" w:sz="12" w:space="0" w:color="auto"/>
            </w:tcBorders>
            <w:shd w:val="clear" w:color="auto" w:fill="auto"/>
          </w:tcPr>
          <w:p w14:paraId="1FAF901F" w14:textId="0E7AC251" w:rsidR="00945ED8" w:rsidRDefault="00945ED8" w:rsidP="0045718D">
            <w:pPr>
              <w:spacing w:before="40" w:after="120"/>
              <w:ind w:right="113"/>
              <w:jc w:val="both"/>
            </w:pPr>
            <w:r>
              <w:t>CED</w:t>
            </w:r>
          </w:p>
        </w:tc>
        <w:tc>
          <w:tcPr>
            <w:tcW w:w="2409" w:type="dxa"/>
            <w:tcBorders>
              <w:bottom w:val="single" w:sz="12" w:space="0" w:color="auto"/>
            </w:tcBorders>
            <w:shd w:val="clear" w:color="auto" w:fill="auto"/>
          </w:tcPr>
          <w:p w14:paraId="2D38A5F7" w14:textId="4FB2A6A7" w:rsidR="00945ED8" w:rsidRDefault="00945ED8" w:rsidP="0045718D">
            <w:pPr>
              <w:spacing w:before="40" w:after="120"/>
              <w:ind w:right="113"/>
              <w:jc w:val="both"/>
            </w:pPr>
            <w:r>
              <w:t>2017</w:t>
            </w:r>
          </w:p>
        </w:tc>
        <w:tc>
          <w:tcPr>
            <w:tcW w:w="2409" w:type="dxa"/>
            <w:tcBorders>
              <w:bottom w:val="single" w:sz="12" w:space="0" w:color="auto"/>
            </w:tcBorders>
            <w:shd w:val="clear" w:color="auto" w:fill="auto"/>
          </w:tcPr>
          <w:p w14:paraId="7143D11D" w14:textId="669B4109" w:rsidR="00945ED8" w:rsidRPr="003041D4" w:rsidRDefault="00945ED8" w:rsidP="002C3F46">
            <w:pPr>
              <w:spacing w:before="40" w:after="120"/>
              <w:ind w:right="113"/>
            </w:pPr>
            <w:r w:rsidRPr="00945ED8">
              <w:t>Prohibition of medical interventions without the prior consent of persons with disabilities concerned; Review of the application of law to make sure legislation is not disadvantageous for persons with disabilities.</w:t>
            </w:r>
            <w:r w:rsidRPr="00945ED8">
              <w:rPr>
                <w:rStyle w:val="EndnoteReference"/>
              </w:rPr>
              <w:endnoteReference w:id="27"/>
            </w:r>
          </w:p>
        </w:tc>
        <w:tc>
          <w:tcPr>
            <w:tcW w:w="2410" w:type="dxa"/>
            <w:tcBorders>
              <w:bottom w:val="single" w:sz="12" w:space="0" w:color="auto"/>
            </w:tcBorders>
            <w:shd w:val="clear" w:color="auto" w:fill="auto"/>
          </w:tcPr>
          <w:p w14:paraId="51BA4450" w14:textId="3D7BEB32" w:rsidR="00945ED8" w:rsidRPr="003041D4" w:rsidRDefault="00945ED8" w:rsidP="0045718D">
            <w:pPr>
              <w:spacing w:before="40" w:after="120"/>
              <w:ind w:right="113"/>
              <w:jc w:val="both"/>
            </w:pPr>
            <w:r w:rsidRPr="00945ED8">
              <w:t>2017</w:t>
            </w:r>
            <w:r w:rsidRPr="00945ED8">
              <w:rPr>
                <w:rStyle w:val="EndnoteReference"/>
              </w:rPr>
              <w:endnoteReference w:id="28"/>
            </w:r>
          </w:p>
        </w:tc>
      </w:tr>
    </w:tbl>
    <w:p w14:paraId="2CB9BB59" w14:textId="26F04EDA" w:rsidR="00A02BFB" w:rsidRDefault="00A02BFB" w:rsidP="009C753F">
      <w:pPr>
        <w:pStyle w:val="H1G"/>
        <w:tabs>
          <w:tab w:val="left" w:pos="1125"/>
        </w:tabs>
      </w:pPr>
      <w:r w:rsidRPr="00A02BFB">
        <w:tab/>
        <w:t>B.</w:t>
      </w:r>
      <w:r w:rsidRPr="00A02BFB">
        <w:tab/>
      </w:r>
      <w:r w:rsidR="009C753F" w:rsidRPr="009C753F">
        <w:t>Cooperation with special procedures</w:t>
      </w:r>
      <w:r w:rsidR="009C753F" w:rsidRPr="009C753F">
        <w:rPr>
          <w:rStyle w:val="EndnoteReference"/>
          <w:b w:val="0"/>
        </w:rPr>
        <w:endnoteReference w:id="29"/>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288ADA03" w:rsidR="003E33AE" w:rsidRPr="00A25838" w:rsidRDefault="005454ED" w:rsidP="009E78E3">
            <w:pPr>
              <w:spacing w:before="40" w:after="120"/>
              <w:ind w:right="113"/>
            </w:pPr>
            <w:r>
              <w:t>--</w:t>
            </w:r>
          </w:p>
        </w:tc>
        <w:tc>
          <w:tcPr>
            <w:tcW w:w="3213" w:type="dxa"/>
            <w:shd w:val="clear" w:color="auto" w:fill="auto"/>
          </w:tcPr>
          <w:p w14:paraId="5C76F514" w14:textId="36062925" w:rsidR="003E33AE" w:rsidRPr="00A25838" w:rsidRDefault="005454ED" w:rsidP="009E78E3">
            <w:pPr>
              <w:spacing w:before="40" w:after="120"/>
              <w:ind w:right="113"/>
            </w:pPr>
            <w:r>
              <w:t>--</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48B404A8" w14:textId="77777777" w:rsidR="005454ED" w:rsidRPr="005454ED" w:rsidRDefault="005454ED" w:rsidP="005454ED">
            <w:pPr>
              <w:spacing w:before="40" w:after="120"/>
              <w:ind w:right="113"/>
            </w:pPr>
            <w:r w:rsidRPr="005454ED">
              <w:t>Religion (2009)</w:t>
            </w:r>
          </w:p>
          <w:p w14:paraId="6EAEEC3B" w14:textId="3D23782C" w:rsidR="003E6998" w:rsidRPr="00A25838" w:rsidRDefault="005454ED" w:rsidP="005454ED">
            <w:pPr>
              <w:spacing w:before="40" w:after="120"/>
              <w:ind w:right="113"/>
            </w:pPr>
            <w:r w:rsidRPr="005454ED">
              <w:t>Internally displaced persons (2009)</w:t>
            </w:r>
          </w:p>
        </w:tc>
        <w:tc>
          <w:tcPr>
            <w:tcW w:w="3213" w:type="dxa"/>
            <w:shd w:val="clear" w:color="auto" w:fill="auto"/>
          </w:tcPr>
          <w:p w14:paraId="7F5D8921" w14:textId="77777777" w:rsidR="003E6998" w:rsidRDefault="005454ED" w:rsidP="009E78E3">
            <w:pPr>
              <w:spacing w:before="40" w:after="120"/>
              <w:ind w:right="113"/>
            </w:pPr>
            <w:r>
              <w:t>Special Rapporteur on internally displaced peoples (9-12 October 2013)</w:t>
            </w:r>
          </w:p>
          <w:p w14:paraId="7033E674" w14:textId="77777777" w:rsidR="005454ED" w:rsidRDefault="005454ED" w:rsidP="009E78E3">
            <w:pPr>
              <w:spacing w:before="40" w:after="120"/>
              <w:ind w:right="113"/>
            </w:pPr>
            <w:r w:rsidRPr="005454ED">
              <w:t>Working Group on Enforced or Involuntary Disappearances (19-26 June 2014)</w:t>
            </w:r>
          </w:p>
          <w:p w14:paraId="5A2B48CF" w14:textId="1E9359AB" w:rsidR="005454ED" w:rsidRPr="009E78E3" w:rsidRDefault="005454ED" w:rsidP="009E78E3">
            <w:pPr>
              <w:spacing w:before="40" w:after="120"/>
              <w:ind w:right="113"/>
            </w:pPr>
            <w:r w:rsidRPr="005454ED">
              <w:t>Special Rapporteur on adequate housing (18-27 May 2015)</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4B99F27" w14:textId="33157930" w:rsidR="009E78E3" w:rsidRPr="005454ED" w:rsidRDefault="005454ED" w:rsidP="003E6998">
            <w:pPr>
              <w:spacing w:before="40" w:after="120"/>
              <w:ind w:right="113"/>
              <w:rPr>
                <w:i/>
              </w:rPr>
            </w:pPr>
            <w:r w:rsidRPr="005454ED">
              <w:rPr>
                <w:i/>
              </w:rPr>
              <w:t>Minority issues</w:t>
            </w:r>
          </w:p>
        </w:tc>
        <w:tc>
          <w:tcPr>
            <w:tcW w:w="3213" w:type="dxa"/>
            <w:shd w:val="clear" w:color="auto" w:fill="auto"/>
          </w:tcPr>
          <w:p w14:paraId="12E09CB6" w14:textId="7F4A22EC" w:rsidR="009E78E3" w:rsidRPr="005454ED" w:rsidRDefault="005454ED" w:rsidP="005454ED">
            <w:pPr>
              <w:spacing w:before="40" w:after="120"/>
              <w:ind w:right="113"/>
              <w:rPr>
                <w:i/>
              </w:rPr>
            </w:pPr>
            <w:r w:rsidRPr="005454ED">
              <w:rPr>
                <w:i/>
              </w:rPr>
              <w:t>Special Rapporteur on Torture</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C768373" w14:textId="10E78675" w:rsidR="00C871CA" w:rsidRPr="00C871CA" w:rsidRDefault="00B921F4" w:rsidP="007241A0">
            <w:pPr>
              <w:ind w:right="113"/>
              <w:rPr>
                <w:i/>
                <w:iCs/>
              </w:rPr>
            </w:pPr>
            <w:r>
              <w:rPr>
                <w:i/>
                <w:iCs/>
              </w:rPr>
              <w:t>Racism</w:t>
            </w:r>
          </w:p>
        </w:tc>
        <w:tc>
          <w:tcPr>
            <w:tcW w:w="3213" w:type="dxa"/>
            <w:tcBorders>
              <w:bottom w:val="single" w:sz="12" w:space="0" w:color="auto"/>
            </w:tcBorders>
            <w:shd w:val="clear" w:color="auto" w:fill="auto"/>
          </w:tcPr>
          <w:p w14:paraId="550C5D9F" w14:textId="43882557" w:rsidR="00C871CA" w:rsidRPr="00C871CA" w:rsidRDefault="00B921F4" w:rsidP="008B1AC8">
            <w:pPr>
              <w:ind w:right="113"/>
              <w:rPr>
                <w:i/>
                <w:iCs/>
                <w:highlight w:val="yellow"/>
              </w:rPr>
            </w:pPr>
            <w:r w:rsidRPr="00B921F4">
              <w:rPr>
                <w:i/>
                <w:iCs/>
              </w:rPr>
              <w:t>Special Rapporteur on the right to the enjoyment of the highest attainable standard of physical and mental health</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6936F1" w:rsidRPr="006936F1" w14:paraId="1AF29F4B" w14:textId="77777777" w:rsidTr="00F70954">
        <w:tblPrEx>
          <w:tblBorders>
            <w:top w:val="single" w:sz="12" w:space="0" w:color="auto"/>
            <w:bottom w:val="single" w:sz="12" w:space="0" w:color="auto"/>
          </w:tblBorders>
        </w:tblPrEx>
        <w:tc>
          <w:tcPr>
            <w:tcW w:w="3211" w:type="dxa"/>
            <w:shd w:val="clear" w:color="auto" w:fill="auto"/>
            <w:vAlign w:val="bottom"/>
          </w:tcPr>
          <w:p w14:paraId="7A1B8439" w14:textId="5BB4ABF3" w:rsidR="006936F1" w:rsidRPr="006936F1" w:rsidRDefault="002D2635" w:rsidP="002D2635">
            <w:pPr>
              <w:spacing w:before="40" w:after="600"/>
              <w:ind w:right="113"/>
              <w:rPr>
                <w:i/>
              </w:rPr>
            </w:pPr>
            <w:r w:rsidRPr="00FC2CB6">
              <w:rPr>
                <w:i/>
              </w:rPr>
              <w:t xml:space="preserve">Responses to letters of </w:t>
            </w:r>
            <w:r w:rsidRPr="00FC2CB6">
              <w:rPr>
                <w:i/>
              </w:rPr>
              <w:br/>
              <w:t>allegation and urgent appeal</w:t>
            </w:r>
          </w:p>
        </w:tc>
        <w:tc>
          <w:tcPr>
            <w:tcW w:w="3213" w:type="dxa"/>
            <w:shd w:val="clear" w:color="auto" w:fill="auto"/>
            <w:vAlign w:val="bottom"/>
          </w:tcPr>
          <w:p w14:paraId="0CAC7D0A" w14:textId="06364F22" w:rsidR="006936F1" w:rsidRPr="00D0219C" w:rsidRDefault="00FC2CB6" w:rsidP="00F70954">
            <w:pPr>
              <w:spacing w:before="80" w:after="240" w:line="200" w:lineRule="exact"/>
              <w:ind w:right="113"/>
            </w:pPr>
            <w:r w:rsidRPr="00D0219C">
              <w:t>During the period under review</w:t>
            </w:r>
            <w:r w:rsidR="00C461F7">
              <w:t>,</w:t>
            </w:r>
            <w:r w:rsidRPr="00D0219C">
              <w:t xml:space="preserve"> </w:t>
            </w:r>
            <w:r w:rsidR="00F70954">
              <w:t>10</w:t>
            </w:r>
            <w:r w:rsidRPr="00D0219C">
              <w:t xml:space="preserve"> communications were sent. The Government replied to </w:t>
            </w:r>
            <w:r w:rsidR="00F70954">
              <w:t>5</w:t>
            </w:r>
            <w:r w:rsidRPr="00D0219C">
              <w:t xml:space="preserve"> communications</w:t>
            </w:r>
          </w:p>
        </w:tc>
        <w:tc>
          <w:tcPr>
            <w:tcW w:w="3213" w:type="dxa"/>
            <w:shd w:val="clear" w:color="auto" w:fill="auto"/>
            <w:vAlign w:val="bottom"/>
          </w:tcPr>
          <w:p w14:paraId="5045A5B3" w14:textId="77777777" w:rsidR="006936F1" w:rsidRPr="006936F1" w:rsidRDefault="006936F1" w:rsidP="00CB47F5">
            <w:pPr>
              <w:spacing w:before="80" w:after="840" w:line="200" w:lineRule="exact"/>
              <w:ind w:right="113"/>
              <w:rPr>
                <w:i/>
                <w:sz w:val="16"/>
              </w:rPr>
            </w:pPr>
          </w:p>
        </w:tc>
      </w:tr>
    </w:tbl>
    <w:p w14:paraId="2814AEC3" w14:textId="2271D001" w:rsidR="00A02BFB" w:rsidRPr="009D3FA1" w:rsidRDefault="00A02BFB" w:rsidP="009D3FA1">
      <w:pPr>
        <w:pStyle w:val="H1G"/>
      </w:pPr>
      <w:r w:rsidRPr="009D3FA1">
        <w:tab/>
        <w:t>C.</w:t>
      </w:r>
      <w:r w:rsidRPr="009D3FA1">
        <w:tab/>
        <w:t>Status of national human rights institutions</w:t>
      </w:r>
      <w:r w:rsidRPr="00B83067">
        <w:rPr>
          <w:rStyle w:val="EndnoteReference"/>
          <w:b w:val="0"/>
        </w:rPr>
        <w:endnoteReference w:id="30"/>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B83067">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31"/>
            </w:r>
          </w:p>
        </w:tc>
      </w:tr>
      <w:tr w:rsidR="00A02BFB" w:rsidRPr="00A02BFB" w14:paraId="225F1295" w14:textId="77777777" w:rsidTr="00B83067">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bookmarkStart w:id="4" w:name="_GoBack"/>
            <w:bookmarkEnd w:id="4"/>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B83067">
        <w:tc>
          <w:tcPr>
            <w:tcW w:w="2456" w:type="dxa"/>
            <w:tcBorders>
              <w:bottom w:val="single" w:sz="4" w:space="0" w:color="auto"/>
            </w:tcBorders>
            <w:shd w:val="clear" w:color="auto" w:fill="auto"/>
          </w:tcPr>
          <w:p w14:paraId="345894D4" w14:textId="3ACCCA1C" w:rsidR="00A02BFB" w:rsidRPr="00A02BFB" w:rsidRDefault="00EE0A3F" w:rsidP="00A02BFB">
            <w:pPr>
              <w:spacing w:before="40" w:after="120"/>
              <w:ind w:right="113"/>
            </w:pPr>
            <w:r>
              <w:lastRenderedPageBreak/>
              <w:t>N/A</w:t>
            </w:r>
          </w:p>
        </w:tc>
        <w:tc>
          <w:tcPr>
            <w:tcW w:w="2457" w:type="dxa"/>
            <w:tcBorders>
              <w:bottom w:val="single" w:sz="4" w:space="0" w:color="auto"/>
            </w:tcBorders>
            <w:shd w:val="clear" w:color="auto" w:fill="auto"/>
          </w:tcPr>
          <w:p w14:paraId="45526A6C" w14:textId="5D726611" w:rsidR="00A02BFB" w:rsidRPr="00A02BFB" w:rsidRDefault="00EE0A3F" w:rsidP="00A02BFB">
            <w:pPr>
              <w:spacing w:before="40" w:after="120"/>
              <w:ind w:right="113"/>
            </w:pPr>
            <w:r>
              <w:t>N/A</w:t>
            </w:r>
          </w:p>
        </w:tc>
        <w:tc>
          <w:tcPr>
            <w:tcW w:w="2457" w:type="dxa"/>
            <w:tcBorders>
              <w:bottom w:val="single" w:sz="4" w:space="0" w:color="auto"/>
            </w:tcBorders>
            <w:shd w:val="clear" w:color="auto" w:fill="auto"/>
          </w:tcPr>
          <w:p w14:paraId="05C9902C" w14:textId="08C28879" w:rsidR="00A02BFB" w:rsidRPr="00A02BFB" w:rsidRDefault="00EE0A3F" w:rsidP="00A02BFB">
            <w:pPr>
              <w:spacing w:before="40" w:after="120"/>
              <w:ind w:right="113"/>
            </w:pPr>
            <w:r>
              <w:t>N/A</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4D4D512A" w14:textId="77777777" w:rsidR="00CF61F2" w:rsidRDefault="00CF61F2" w:rsidP="00CF61F2">
      <w:pPr>
        <w:pStyle w:val="H4G"/>
      </w:pPr>
      <w:r>
        <w:t>Notes</w:t>
      </w:r>
    </w:p>
    <w:p w14:paraId="2A2FA701" w14:textId="77777777" w:rsidR="00CF61F2" w:rsidRPr="00174744" w:rsidRDefault="00CF61F2" w:rsidP="00CF61F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 xml:space="preserve">Unless indicated otherwise, the status of ratification of instruments listed in the table may be found on the official </w:t>
      </w:r>
      <w:r w:rsidRPr="00ED224B">
        <w:rPr>
          <w:szCs w:val="18"/>
        </w:rPr>
        <w:t>website of the United Nations Treaty Collection database, Office of Legal Affairs of the United Nations Secretariat, http://treaties.un.org/. Please also refer to the United Nations compilation on Serbia from the previous cycle (A/HRC/WG.6/15/SRB/2).</w:t>
      </w:r>
    </w:p>
  </w:endnote>
  <w:endnote w:id="3">
    <w:p w14:paraId="14E53569" w14:textId="77777777" w:rsidR="00CF61F2" w:rsidRPr="00174744" w:rsidRDefault="00CF61F2" w:rsidP="00CF61F2">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383EB7AA" w14:textId="77777777" w:rsidR="00CF61F2" w:rsidRPr="00174744" w:rsidRDefault="00CF61F2" w:rsidP="00CF61F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5918C947" w14:textId="77777777" w:rsidR="00CF61F2" w:rsidRPr="00174744" w:rsidRDefault="00CF61F2" w:rsidP="00CF61F2">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26EE7E70" w14:textId="77777777" w:rsidR="00CF61F2" w:rsidRPr="00174744" w:rsidRDefault="00CF61F2" w:rsidP="00CF61F2">
      <w:pPr>
        <w:pStyle w:val="EndnoteText"/>
        <w:widowControl w:val="0"/>
        <w:ind w:left="3969" w:hanging="2269"/>
        <w:rPr>
          <w:szCs w:val="18"/>
        </w:rPr>
      </w:pPr>
      <w:r w:rsidRPr="00174744">
        <w:rPr>
          <w:szCs w:val="18"/>
        </w:rPr>
        <w:t>OP-ICESCR</w:t>
      </w:r>
      <w:r w:rsidRPr="00174744">
        <w:rPr>
          <w:szCs w:val="18"/>
        </w:rPr>
        <w:tab/>
        <w:t>Optional Protocol to ICESCR</w:t>
      </w:r>
    </w:p>
    <w:p w14:paraId="267559C4" w14:textId="77777777" w:rsidR="00CF61F2" w:rsidRPr="00174744" w:rsidRDefault="00CF61F2" w:rsidP="00CF61F2">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7F018E30" w14:textId="77777777" w:rsidR="00CF61F2" w:rsidRPr="00174744" w:rsidRDefault="00CF61F2" w:rsidP="00CF61F2">
      <w:pPr>
        <w:pStyle w:val="EndnoteText"/>
        <w:widowControl w:val="0"/>
        <w:ind w:left="3969" w:hanging="2269"/>
        <w:rPr>
          <w:szCs w:val="18"/>
        </w:rPr>
      </w:pPr>
      <w:r w:rsidRPr="00174744">
        <w:rPr>
          <w:szCs w:val="18"/>
        </w:rPr>
        <w:t>ICCPR-OP 1</w:t>
      </w:r>
      <w:r w:rsidRPr="00174744">
        <w:rPr>
          <w:szCs w:val="18"/>
        </w:rPr>
        <w:tab/>
        <w:t>Optional Protocol to ICCPR</w:t>
      </w:r>
    </w:p>
    <w:p w14:paraId="79B8CD68" w14:textId="77777777" w:rsidR="00CF61F2" w:rsidRPr="00174744" w:rsidRDefault="00CF61F2" w:rsidP="00CF61F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41AD064B" w14:textId="77777777" w:rsidR="00CF61F2" w:rsidRPr="00174744" w:rsidRDefault="00CF61F2" w:rsidP="00CF61F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25D73A4C" w14:textId="77777777" w:rsidR="00CF61F2" w:rsidRPr="00174744" w:rsidRDefault="00CF61F2" w:rsidP="00CF61F2">
      <w:pPr>
        <w:pStyle w:val="EndnoteText"/>
        <w:widowControl w:val="0"/>
        <w:ind w:left="3969" w:hanging="2269"/>
        <w:rPr>
          <w:szCs w:val="18"/>
        </w:rPr>
      </w:pPr>
      <w:r w:rsidRPr="00174744">
        <w:rPr>
          <w:szCs w:val="18"/>
        </w:rPr>
        <w:t>OP-CEDAW</w:t>
      </w:r>
      <w:r w:rsidRPr="00174744">
        <w:rPr>
          <w:szCs w:val="18"/>
        </w:rPr>
        <w:tab/>
        <w:t>Optional Protocol to CEDAW</w:t>
      </w:r>
    </w:p>
    <w:p w14:paraId="4CE44149" w14:textId="77777777" w:rsidR="00CF61F2" w:rsidRPr="00174744" w:rsidRDefault="00CF61F2" w:rsidP="00CF61F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6BA978E4" w14:textId="77777777" w:rsidR="00CF61F2" w:rsidRPr="00174744" w:rsidRDefault="00CF61F2" w:rsidP="00CF61F2">
      <w:pPr>
        <w:pStyle w:val="EndnoteText"/>
        <w:widowControl w:val="0"/>
        <w:ind w:left="3969" w:hanging="2269"/>
        <w:rPr>
          <w:szCs w:val="18"/>
        </w:rPr>
      </w:pPr>
      <w:r w:rsidRPr="00174744">
        <w:rPr>
          <w:szCs w:val="18"/>
        </w:rPr>
        <w:t>OP-CAT</w:t>
      </w:r>
      <w:r w:rsidRPr="00174744">
        <w:rPr>
          <w:szCs w:val="18"/>
        </w:rPr>
        <w:tab/>
        <w:t>Optional Protocol to CAT</w:t>
      </w:r>
    </w:p>
    <w:p w14:paraId="5F8FA7D4" w14:textId="77777777" w:rsidR="00CF61F2" w:rsidRPr="00174744" w:rsidRDefault="00CF61F2" w:rsidP="00CF61F2">
      <w:pPr>
        <w:pStyle w:val="EndnoteText"/>
        <w:widowControl w:val="0"/>
        <w:ind w:left="3969" w:hanging="2269"/>
        <w:rPr>
          <w:szCs w:val="18"/>
        </w:rPr>
      </w:pPr>
      <w:r w:rsidRPr="00174744">
        <w:rPr>
          <w:szCs w:val="18"/>
        </w:rPr>
        <w:t>CRC</w:t>
      </w:r>
      <w:r w:rsidRPr="00174744">
        <w:rPr>
          <w:szCs w:val="18"/>
        </w:rPr>
        <w:tab/>
        <w:t>Convention on the Rights of the Child</w:t>
      </w:r>
    </w:p>
    <w:p w14:paraId="25266A86" w14:textId="77777777" w:rsidR="00CF61F2" w:rsidRPr="00174744" w:rsidRDefault="00CF61F2" w:rsidP="00CF61F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4DD16FD8" w14:textId="77777777" w:rsidR="00CF61F2" w:rsidRPr="00174744" w:rsidRDefault="00CF61F2" w:rsidP="00CF61F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76BC9126" w14:textId="77777777" w:rsidR="00CF61F2" w:rsidRPr="00174744" w:rsidRDefault="00CF61F2" w:rsidP="00CF61F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3B195D49" w14:textId="77777777" w:rsidR="00CF61F2" w:rsidRPr="00174744" w:rsidRDefault="00CF61F2" w:rsidP="00CF61F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571C845F" w14:textId="77777777" w:rsidR="00CF61F2" w:rsidRPr="00174744" w:rsidRDefault="00CF61F2" w:rsidP="00CF61F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7C0F1BF5" w14:textId="77777777" w:rsidR="00CF61F2" w:rsidRPr="00174744" w:rsidRDefault="00CF61F2" w:rsidP="00CF61F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6AB071F9" w14:textId="77777777" w:rsidR="00CF61F2" w:rsidRPr="00174744" w:rsidRDefault="00CF61F2" w:rsidP="00CF61F2">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Pr>
          <w:szCs w:val="18"/>
        </w:rP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10AA763E" w14:textId="77777777" w:rsidR="00E91FAE" w:rsidRPr="00174744" w:rsidRDefault="00E91FAE" w:rsidP="00E91FAE">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relating to the Adoption of an Additional Distinctive Emblem (Protocol III). </w:t>
      </w:r>
      <w:r w:rsidRPr="007056E0">
        <w:rPr>
          <w:szCs w:val="18"/>
        </w:rPr>
        <w:t>For the official status of ratifications, see Federal Department of Foreign Affairs of Switzerland, at https://www.eda.admin.ch/eda/fr/dfae/politique-exterieure/droit-international-public/traites-internationaux/depositaire/protection-des-victimes-de-la-guerre.html</w:t>
      </w:r>
      <w:r w:rsidRPr="00174744">
        <w:rPr>
          <w:szCs w:val="18"/>
          <w:lang w:val="en-US"/>
        </w:rPr>
        <w:t>.</w:t>
      </w:r>
    </w:p>
  </w:endnote>
  <w:endnote w:id="6">
    <w:p w14:paraId="60278A85" w14:textId="77777777" w:rsidR="00E91FAE" w:rsidRPr="00174744" w:rsidRDefault="00E91FAE" w:rsidP="00E91FAE">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174744">
        <w:rPr>
          <w:szCs w:val="18"/>
        </w:rPr>
        <w:t>For the official status of ratifications</w:t>
      </w:r>
      <w:r w:rsidRPr="00174744">
        <w:rPr>
          <w:color w:val="000000"/>
          <w:szCs w:val="18"/>
        </w:rPr>
        <w:t xml:space="preserve">, see International Committee of the Red Cross, </w:t>
      </w:r>
      <w:r w:rsidRPr="00174744">
        <w:rPr>
          <w:color w:val="000000"/>
          <w:szCs w:val="18"/>
          <w:lang w:val="en-US"/>
        </w:rPr>
        <w:t>www.icrc.org/IHL.</w:t>
      </w:r>
    </w:p>
  </w:endnote>
  <w:endnote w:id="7">
    <w:p w14:paraId="4D738DBD" w14:textId="77777777" w:rsidR="00E91FAE" w:rsidRPr="00174744" w:rsidRDefault="00E91FAE" w:rsidP="00E91FAE">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w:t>
      </w:r>
      <w:r>
        <w:rPr>
          <w:szCs w:val="18"/>
        </w:rPr>
        <w:t xml:space="preserve">).  </w:t>
      </w:r>
      <w:r w:rsidRPr="007056E0">
        <w:rPr>
          <w:szCs w:val="18"/>
        </w:rPr>
        <w:t>For the official status of ratifications, see Federal Department of Foreign Affairs of Switzerland, at https://www.eda.admin.ch/eda/fr/dfae/politique-exterieure/droit-international-public/traites-internationaux/depositaire/protection-des-victimes-de-la-guerre.html</w:t>
      </w:r>
      <w:r w:rsidRPr="00174744">
        <w:rPr>
          <w:szCs w:val="18"/>
          <w:lang w:val="en-US"/>
        </w:rPr>
        <w:t>.</w:t>
      </w:r>
    </w:p>
  </w:endnote>
  <w:endnote w:id="8">
    <w:p w14:paraId="2AF44D0E" w14:textId="77777777" w:rsidR="00E91FAE" w:rsidRPr="00174744" w:rsidRDefault="00E91FAE" w:rsidP="00E91FAE">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9">
    <w:p w14:paraId="0379347C" w14:textId="77777777" w:rsidR="00E91FAE" w:rsidRPr="00AC3610" w:rsidRDefault="00E91FAE" w:rsidP="00E91FAE">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0">
    <w:p w14:paraId="791DB1FD" w14:textId="77777777" w:rsidR="00E91FAE" w:rsidRPr="00F46601" w:rsidRDefault="00E91FAE" w:rsidP="00E91FAE">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87 concerning</w:t>
      </w:r>
      <w:r>
        <w:rPr>
          <w:szCs w:val="18"/>
        </w:rPr>
        <w:t xml:space="preserve"> </w:t>
      </w:r>
      <w:r w:rsidRPr="00F46601">
        <w:rPr>
          <w:szCs w:val="18"/>
        </w:rPr>
        <w:t>Freedom of Association and Protection of the Right to Organise; Convention</w:t>
      </w:r>
      <w:r w:rsidRPr="00074044">
        <w:rPr>
          <w:szCs w:val="18"/>
        </w:rPr>
        <w:t xml:space="preserve"> </w:t>
      </w:r>
      <w:r w:rsidRPr="00F46601">
        <w:rPr>
          <w:szCs w:val="18"/>
        </w:rPr>
        <w:t>No. 98 concerning the</w:t>
      </w:r>
      <w:r>
        <w:rPr>
          <w:szCs w:val="18"/>
        </w:rPr>
        <w:t xml:space="preserve"> </w:t>
      </w:r>
      <w:r w:rsidRPr="00F46601">
        <w:rPr>
          <w:szCs w:val="18"/>
        </w:rPr>
        <w:t>Application of the Principles of the Right to Organise and to Bargain Collectively</w:t>
      </w:r>
      <w:r>
        <w:rPr>
          <w:szCs w:val="18"/>
        </w:rPr>
        <w:t>;</w:t>
      </w:r>
      <w:r w:rsidRPr="00F46601">
        <w:rPr>
          <w:szCs w:val="18"/>
        </w:rPr>
        <w:t xml:space="preserve"> Convention No. 105 concerning</w:t>
      </w:r>
      <w:r>
        <w:rPr>
          <w:szCs w:val="18"/>
        </w:rPr>
        <w:t xml:space="preserve"> the Abolition of Forced Labour</w:t>
      </w:r>
      <w:r w:rsidRPr="00F46601">
        <w:rPr>
          <w:szCs w:val="18"/>
        </w:rPr>
        <w:t>;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4ABFE3F0" w14:textId="77777777" w:rsidR="00E91FAE" w:rsidRPr="00CE6B02" w:rsidRDefault="00E91FAE" w:rsidP="00E91FAE">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2">
    <w:p w14:paraId="30E2C1B3" w14:textId="77777777" w:rsidR="00C726AA" w:rsidRDefault="00C726AA" w:rsidP="00C726AA">
      <w:pPr>
        <w:pStyle w:val="EndnoteText"/>
        <w:widowControl w:val="0"/>
        <w:tabs>
          <w:tab w:val="clear" w:pos="1021"/>
          <w:tab w:val="right" w:pos="1020"/>
        </w:tabs>
      </w:pPr>
      <w:r>
        <w:tab/>
      </w:r>
      <w:r>
        <w:rPr>
          <w:rStyle w:val="EndnoteReference"/>
        </w:rPr>
        <w:endnoteRef/>
      </w:r>
      <w:r>
        <w:tab/>
      </w:r>
      <w:r w:rsidRPr="00DA1F3D">
        <w:rPr>
          <w:lang w:val="es-ES"/>
        </w:rPr>
        <w:t>CCPR/C/SRB/CO/3, para. 43.</w:t>
      </w:r>
    </w:p>
  </w:endnote>
  <w:endnote w:id="13">
    <w:p w14:paraId="477DFF6F" w14:textId="77777777" w:rsidR="00C726AA" w:rsidRDefault="00C726AA" w:rsidP="00C726AA">
      <w:pPr>
        <w:pStyle w:val="EndnoteText"/>
        <w:widowControl w:val="0"/>
        <w:tabs>
          <w:tab w:val="clear" w:pos="1021"/>
          <w:tab w:val="right" w:pos="1020"/>
        </w:tabs>
      </w:pPr>
      <w:r>
        <w:tab/>
      </w:r>
      <w:r>
        <w:rPr>
          <w:rStyle w:val="EndnoteReference"/>
        </w:rPr>
        <w:endnoteRef/>
      </w:r>
      <w:r>
        <w:tab/>
      </w:r>
      <w:r w:rsidRPr="00DA1F3D">
        <w:rPr>
          <w:lang w:val="es-ES"/>
        </w:rPr>
        <w:t>CCPR/C/SRB/CO/2, para. 25.</w:t>
      </w:r>
    </w:p>
  </w:endnote>
  <w:endnote w:id="14">
    <w:p w14:paraId="4452BDB5" w14:textId="77777777" w:rsidR="00C726AA" w:rsidRDefault="00C726AA" w:rsidP="00C726AA">
      <w:pPr>
        <w:pStyle w:val="EndnoteText"/>
        <w:widowControl w:val="0"/>
        <w:tabs>
          <w:tab w:val="clear" w:pos="1021"/>
          <w:tab w:val="right" w:pos="1020"/>
        </w:tabs>
      </w:pPr>
      <w:r>
        <w:tab/>
      </w:r>
      <w:r>
        <w:rPr>
          <w:rStyle w:val="EndnoteReference"/>
        </w:rPr>
        <w:endnoteRef/>
      </w:r>
      <w:r>
        <w:tab/>
      </w:r>
      <w:r w:rsidRPr="00DA1F3D">
        <w:t>CCPR/C/SRB/CO/2/Add.1</w:t>
      </w:r>
      <w:r>
        <w:t>.</w:t>
      </w:r>
    </w:p>
  </w:endnote>
  <w:endnote w:id="15">
    <w:p w14:paraId="35449734" w14:textId="77777777" w:rsidR="00C726AA" w:rsidRDefault="00C726AA" w:rsidP="00C726AA">
      <w:pPr>
        <w:pStyle w:val="EndnoteText"/>
        <w:widowControl w:val="0"/>
        <w:tabs>
          <w:tab w:val="clear" w:pos="1021"/>
          <w:tab w:val="right" w:pos="1020"/>
        </w:tabs>
      </w:pPr>
      <w:r>
        <w:tab/>
      </w:r>
      <w:r>
        <w:rPr>
          <w:rStyle w:val="EndnoteReference"/>
        </w:rPr>
        <w:endnoteRef/>
      </w:r>
      <w:r>
        <w:tab/>
      </w:r>
      <w:r w:rsidRPr="00DA1F3D">
        <w:t>Follow-up report, available at: http://tbinternet.ohchr.org/Treaties/CCPR/Shared%20Documents/SRB/INT_CCPR_FCO_SRB_19308_E.pdf</w:t>
      </w:r>
    </w:p>
  </w:endnote>
  <w:endnote w:id="16">
    <w:p w14:paraId="2369868D" w14:textId="77777777" w:rsidR="00C726AA" w:rsidRPr="00DA1F3D" w:rsidRDefault="00C726AA" w:rsidP="00C726AA">
      <w:pPr>
        <w:pStyle w:val="EndnoteText"/>
        <w:widowControl w:val="0"/>
      </w:pPr>
      <w:r>
        <w:tab/>
      </w:r>
      <w:r>
        <w:rPr>
          <w:rStyle w:val="EndnoteReference"/>
        </w:rPr>
        <w:endnoteRef/>
      </w:r>
      <w:r>
        <w:tab/>
      </w:r>
      <w:r w:rsidRPr="00DA1F3D">
        <w:t>Four letters sent to Permanent Representative of the Republic of Serbia</w:t>
      </w:r>
    </w:p>
    <w:p w14:paraId="225B8ED7" w14:textId="77777777" w:rsidR="00C726AA" w:rsidRDefault="00C726AA" w:rsidP="00C726AA">
      <w:pPr>
        <w:pStyle w:val="EndnoteText"/>
        <w:widowControl w:val="0"/>
        <w:tabs>
          <w:tab w:val="clear" w:pos="1021"/>
          <w:tab w:val="right" w:pos="1020"/>
        </w:tabs>
        <w:ind w:firstLine="0"/>
      </w:pPr>
      <w:r w:rsidRPr="00DA1F3D">
        <w:t xml:space="preserve"> to the United Nations Office at Geneva in 2013, 2014 and 2015, available at: http://tbinternet.ohchr.org/_layouts/treatybodyexternal/Download.aspx?symbolno=INT%2fCCPR%2fFUL%2fSRB%2f20152&amp;Lang=en</w:t>
      </w:r>
    </w:p>
  </w:endnote>
  <w:endnote w:id="17">
    <w:p w14:paraId="2174F74E" w14:textId="77777777" w:rsidR="00A334F7" w:rsidRDefault="00A334F7" w:rsidP="00A334F7">
      <w:pPr>
        <w:pStyle w:val="EndnoteText"/>
        <w:widowControl w:val="0"/>
        <w:tabs>
          <w:tab w:val="clear" w:pos="1021"/>
          <w:tab w:val="right" w:pos="1020"/>
        </w:tabs>
      </w:pPr>
      <w:r>
        <w:tab/>
      </w:r>
      <w:r>
        <w:rPr>
          <w:rStyle w:val="EndnoteReference"/>
        </w:rPr>
        <w:endnoteRef/>
      </w:r>
      <w:r>
        <w:tab/>
      </w:r>
      <w:r w:rsidRPr="00DA1F3D">
        <w:t>CED/C/SRB/CO/1, para. 36.</w:t>
      </w:r>
    </w:p>
  </w:endnote>
  <w:endnote w:id="18">
    <w:p w14:paraId="22F46C16" w14:textId="77777777" w:rsidR="00A334F7" w:rsidRDefault="00A334F7" w:rsidP="00A334F7">
      <w:pPr>
        <w:pStyle w:val="EndnoteText"/>
        <w:widowControl w:val="0"/>
        <w:tabs>
          <w:tab w:val="clear" w:pos="1021"/>
          <w:tab w:val="right" w:pos="1020"/>
        </w:tabs>
      </w:pPr>
      <w:r>
        <w:tab/>
      </w:r>
      <w:r>
        <w:rPr>
          <w:rStyle w:val="EndnoteReference"/>
        </w:rPr>
        <w:endnoteRef/>
      </w:r>
      <w:r>
        <w:tab/>
      </w:r>
      <w:r w:rsidRPr="00DA1F3D">
        <w:t>CED/C/SRB/CO/1/Add.1; Follow-up decision available at: http://tbinternet.ohchr.org/_layouts/treatybodyexternal/Download.aspx?symbolno=CED%2fC%2f11%2f2&amp;Lang=en</w:t>
      </w:r>
    </w:p>
  </w:endnote>
  <w:endnote w:id="19">
    <w:p w14:paraId="6F0B2978" w14:textId="77777777" w:rsidR="009E349E" w:rsidRDefault="009E349E" w:rsidP="009E349E">
      <w:pPr>
        <w:pStyle w:val="EndnoteText"/>
        <w:widowControl w:val="0"/>
        <w:tabs>
          <w:tab w:val="clear" w:pos="1021"/>
          <w:tab w:val="right" w:pos="1020"/>
        </w:tabs>
      </w:pPr>
      <w:r>
        <w:tab/>
      </w:r>
      <w:r>
        <w:rPr>
          <w:rStyle w:val="EndnoteReference"/>
        </w:rPr>
        <w:endnoteRef/>
      </w:r>
      <w:r>
        <w:tab/>
      </w:r>
      <w:r w:rsidRPr="00DA1F3D">
        <w:rPr>
          <w:lang w:val="es-ES"/>
        </w:rPr>
        <w:t xml:space="preserve">CEDAW/C/SRB/CO/2-3, para. </w:t>
      </w:r>
      <w:r w:rsidRPr="00DA1F3D">
        <w:t>44.</w:t>
      </w:r>
    </w:p>
  </w:endnote>
  <w:endnote w:id="20">
    <w:p w14:paraId="2BF76967" w14:textId="77777777" w:rsidR="009E349E" w:rsidRDefault="009E349E" w:rsidP="009E349E">
      <w:pPr>
        <w:pStyle w:val="EndnoteText"/>
        <w:widowControl w:val="0"/>
        <w:tabs>
          <w:tab w:val="clear" w:pos="1021"/>
          <w:tab w:val="right" w:pos="1020"/>
        </w:tabs>
      </w:pPr>
      <w:r>
        <w:tab/>
      </w:r>
      <w:r>
        <w:rPr>
          <w:rStyle w:val="EndnoteReference"/>
        </w:rPr>
        <w:endnoteRef/>
      </w:r>
      <w:r>
        <w:tab/>
      </w:r>
      <w:r w:rsidRPr="00DA1F3D">
        <w:t>CEDAW/C/SRB/CO/2-3/Add.1</w:t>
      </w:r>
      <w:r>
        <w:t>.</w:t>
      </w:r>
    </w:p>
  </w:endnote>
  <w:endnote w:id="21">
    <w:p w14:paraId="4D93615E" w14:textId="77777777" w:rsidR="009E349E" w:rsidRPr="00DA1F3D" w:rsidRDefault="009E349E" w:rsidP="009E349E">
      <w:pPr>
        <w:pStyle w:val="EndnoteText"/>
        <w:widowControl w:val="0"/>
      </w:pPr>
      <w:r>
        <w:tab/>
      </w:r>
      <w:r>
        <w:rPr>
          <w:rStyle w:val="EndnoteReference"/>
        </w:rPr>
        <w:endnoteRef/>
      </w:r>
      <w:r>
        <w:tab/>
      </w:r>
      <w:r w:rsidRPr="00DA1F3D">
        <w:t>Two letters sent to Permanent Representative of the Republic of Serbia</w:t>
      </w:r>
    </w:p>
    <w:p w14:paraId="2A0B41E5" w14:textId="77777777" w:rsidR="009E349E" w:rsidRDefault="009E349E" w:rsidP="009E349E">
      <w:pPr>
        <w:pStyle w:val="EndnoteText"/>
        <w:widowControl w:val="0"/>
        <w:tabs>
          <w:tab w:val="clear" w:pos="1021"/>
          <w:tab w:val="right" w:pos="1020"/>
        </w:tabs>
        <w:ind w:firstLine="0"/>
      </w:pPr>
      <w:r w:rsidRPr="00DA1F3D">
        <w:t xml:space="preserve"> to the United Nations Office at Geneva in 2015 and 2016, available at: http://tbinternet.ohchr.org/_layouts/treatybodyexternal/Download.aspx?symbolno=INT%2fCEDAW%2fFUL%2fSRB%2f25962&amp;Lang=en</w:t>
      </w:r>
    </w:p>
  </w:endnote>
  <w:endnote w:id="22">
    <w:p w14:paraId="1FA93ACB" w14:textId="77777777" w:rsidR="00117645" w:rsidRDefault="00117645" w:rsidP="00117645">
      <w:pPr>
        <w:pStyle w:val="EndnoteText"/>
        <w:widowControl w:val="0"/>
        <w:tabs>
          <w:tab w:val="clear" w:pos="1021"/>
          <w:tab w:val="right" w:pos="1020"/>
        </w:tabs>
      </w:pPr>
      <w:r>
        <w:tab/>
      </w:r>
      <w:r>
        <w:rPr>
          <w:rStyle w:val="EndnoteReference"/>
        </w:rPr>
        <w:endnoteRef/>
      </w:r>
      <w:r>
        <w:tab/>
      </w:r>
      <w:r w:rsidRPr="00DA1F3D">
        <w:t>CERD/C/SRB/CO/1, para. 29.</w:t>
      </w:r>
    </w:p>
  </w:endnote>
  <w:endnote w:id="23">
    <w:p w14:paraId="1E78D360" w14:textId="77777777" w:rsidR="00117645" w:rsidRDefault="00117645" w:rsidP="00117645">
      <w:pPr>
        <w:pStyle w:val="EndnoteText"/>
        <w:widowControl w:val="0"/>
        <w:tabs>
          <w:tab w:val="clear" w:pos="1021"/>
          <w:tab w:val="right" w:pos="1020"/>
        </w:tabs>
      </w:pPr>
      <w:r>
        <w:tab/>
      </w:r>
      <w:r>
        <w:rPr>
          <w:rStyle w:val="EndnoteReference"/>
        </w:rPr>
        <w:endnoteRef/>
      </w:r>
      <w:r>
        <w:tab/>
      </w:r>
      <w:r w:rsidRPr="00DA1F3D">
        <w:t>CERD/C/SRB/CO/1/Add.1</w:t>
      </w:r>
      <w:r>
        <w:t>.</w:t>
      </w:r>
    </w:p>
  </w:endnote>
  <w:endnote w:id="24">
    <w:p w14:paraId="1C51C4FF" w14:textId="77777777" w:rsidR="00117645" w:rsidRPr="00DA1F3D" w:rsidRDefault="00117645" w:rsidP="00117645">
      <w:pPr>
        <w:pStyle w:val="EndnoteText"/>
        <w:widowControl w:val="0"/>
      </w:pPr>
      <w:r>
        <w:tab/>
      </w:r>
      <w:r>
        <w:rPr>
          <w:rStyle w:val="EndnoteReference"/>
        </w:rPr>
        <w:endnoteRef/>
      </w:r>
      <w:r>
        <w:tab/>
      </w:r>
      <w:r w:rsidRPr="00DA1F3D">
        <w:t>Follow-up letter sent to Permanent Representative of the Republic of Serbia</w:t>
      </w:r>
    </w:p>
    <w:p w14:paraId="07FF2A2E" w14:textId="77777777" w:rsidR="00117645" w:rsidRDefault="00117645" w:rsidP="00117645">
      <w:pPr>
        <w:pStyle w:val="EndnoteText"/>
        <w:widowControl w:val="0"/>
        <w:tabs>
          <w:tab w:val="clear" w:pos="1021"/>
          <w:tab w:val="right" w:pos="1020"/>
        </w:tabs>
        <w:ind w:firstLine="0"/>
      </w:pPr>
      <w:r w:rsidRPr="00DA1F3D">
        <w:t xml:space="preserve"> to the United Nations Office at Geneva on August 30, 2013, available at: http://tbinternet.ohchr.org/_layouts/treatybodyexternal/Download.aspx?symbolno=INT%2fCERD%2fFUL%2fSRB%2f15705&amp;Lang=en</w:t>
      </w:r>
    </w:p>
  </w:endnote>
  <w:endnote w:id="25">
    <w:p w14:paraId="208005B1" w14:textId="77777777" w:rsidR="003041D4" w:rsidRDefault="003041D4" w:rsidP="003041D4">
      <w:pPr>
        <w:pStyle w:val="EndnoteText"/>
        <w:widowControl w:val="0"/>
        <w:tabs>
          <w:tab w:val="clear" w:pos="1021"/>
          <w:tab w:val="right" w:pos="1020"/>
        </w:tabs>
      </w:pPr>
      <w:r>
        <w:tab/>
      </w:r>
      <w:r>
        <w:rPr>
          <w:rStyle w:val="EndnoteReference"/>
        </w:rPr>
        <w:endnoteRef/>
      </w:r>
      <w:r>
        <w:tab/>
      </w:r>
      <w:r w:rsidRPr="00DA1F3D">
        <w:t>CAT/C/SRB/CO/2, para. 23</w:t>
      </w:r>
      <w:r>
        <w:t>.</w:t>
      </w:r>
    </w:p>
  </w:endnote>
  <w:endnote w:id="26">
    <w:p w14:paraId="63F13957" w14:textId="77777777" w:rsidR="003041D4" w:rsidRDefault="003041D4" w:rsidP="003041D4">
      <w:pPr>
        <w:pStyle w:val="EndnoteText"/>
        <w:widowControl w:val="0"/>
        <w:tabs>
          <w:tab w:val="clear" w:pos="1021"/>
          <w:tab w:val="right" w:pos="1020"/>
        </w:tabs>
      </w:pPr>
      <w:r>
        <w:tab/>
      </w:r>
      <w:r>
        <w:rPr>
          <w:rStyle w:val="EndnoteReference"/>
        </w:rPr>
        <w:endnoteRef/>
      </w:r>
      <w:r>
        <w:tab/>
      </w:r>
      <w:r w:rsidRPr="00DA1F3D">
        <w:t>CAT/C/SRB/CO/2/Add.1</w:t>
      </w:r>
      <w:r>
        <w:t>.</w:t>
      </w:r>
    </w:p>
  </w:endnote>
  <w:endnote w:id="27">
    <w:p w14:paraId="6D1AE310" w14:textId="77777777" w:rsidR="00945ED8" w:rsidRDefault="00945ED8" w:rsidP="00945ED8">
      <w:pPr>
        <w:pStyle w:val="EndnoteText"/>
        <w:widowControl w:val="0"/>
        <w:tabs>
          <w:tab w:val="clear" w:pos="1021"/>
          <w:tab w:val="right" w:pos="1020"/>
        </w:tabs>
      </w:pPr>
      <w:r>
        <w:tab/>
      </w:r>
      <w:r>
        <w:rPr>
          <w:rStyle w:val="EndnoteReference"/>
        </w:rPr>
        <w:endnoteRef/>
      </w:r>
      <w:r>
        <w:tab/>
      </w:r>
      <w:r w:rsidRPr="00DA1F3D">
        <w:rPr>
          <w:lang w:val="es-ES"/>
        </w:rPr>
        <w:t>CRPD/C/SRB/CO/1, para. 70</w:t>
      </w:r>
      <w:r>
        <w:rPr>
          <w:lang w:val="es-ES"/>
        </w:rPr>
        <w:t>.</w:t>
      </w:r>
    </w:p>
  </w:endnote>
  <w:endnote w:id="28">
    <w:p w14:paraId="55FAB7FA" w14:textId="77777777" w:rsidR="00945ED8" w:rsidRDefault="00945ED8" w:rsidP="00945ED8">
      <w:pPr>
        <w:pStyle w:val="EndnoteText"/>
        <w:widowControl w:val="0"/>
        <w:tabs>
          <w:tab w:val="clear" w:pos="1021"/>
          <w:tab w:val="right" w:pos="1020"/>
        </w:tabs>
      </w:pPr>
      <w:r>
        <w:tab/>
      </w:r>
      <w:r>
        <w:rPr>
          <w:rStyle w:val="EndnoteReference"/>
        </w:rPr>
        <w:endnoteRef/>
      </w:r>
      <w:r>
        <w:tab/>
      </w:r>
      <w:r w:rsidRPr="00234282">
        <w:t>CRPD/C/SRB/CO/1/Add.1</w:t>
      </w:r>
      <w:r>
        <w:t>.</w:t>
      </w:r>
    </w:p>
  </w:endnote>
  <w:endnote w:id="29">
    <w:p w14:paraId="2F5DCCA8" w14:textId="77777777" w:rsidR="009C753F" w:rsidRPr="008A48F2" w:rsidRDefault="009C753F" w:rsidP="009C753F">
      <w:pPr>
        <w:pStyle w:val="EndnoteText"/>
        <w:rPr>
          <w:szCs w:val="18"/>
        </w:rPr>
      </w:pPr>
      <w:r w:rsidRPr="00A41552">
        <w:tab/>
      </w:r>
      <w:r w:rsidRPr="00F53EE5">
        <w:rPr>
          <w:rStyle w:val="EndnoteReference"/>
        </w:rPr>
        <w:endnoteRef/>
      </w:r>
      <w:r>
        <w:tab/>
      </w:r>
      <w:r w:rsidRPr="00CE6B02">
        <w:rPr>
          <w:szCs w:val="18"/>
        </w:rPr>
        <w:t>For the titles of special procedure mandate holders</w:t>
      </w:r>
      <w:r>
        <w:rPr>
          <w:szCs w:val="18"/>
        </w:rPr>
        <w:t xml:space="preserve"> see:</w:t>
      </w:r>
      <w:r w:rsidRPr="00C800AA">
        <w:t xml:space="preserve"> </w:t>
      </w:r>
      <w:r w:rsidRPr="00C800AA">
        <w:rPr>
          <w:szCs w:val="18"/>
        </w:rPr>
        <w:t>https://spcommreports.ohchr.org/about/abbreviations</w:t>
      </w:r>
    </w:p>
  </w:endnote>
  <w:endnote w:id="30">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1">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2C536566" w:rsidR="00674A7D" w:rsidRDefault="00674A7D">
        <w:pPr>
          <w:pStyle w:val="Footer"/>
          <w:jc w:val="right"/>
        </w:pPr>
        <w:r>
          <w:fldChar w:fldCharType="begin"/>
        </w:r>
        <w:r>
          <w:instrText xml:space="preserve"> PAGE   \* MERGEFORMAT </w:instrText>
        </w:r>
        <w:r>
          <w:fldChar w:fldCharType="separate"/>
        </w:r>
        <w:r w:rsidR="00B83067">
          <w:rPr>
            <w:noProof/>
          </w:rPr>
          <w:t>5</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 w:id="2">
    <w:p w14:paraId="0687C3F3" w14:textId="77777777" w:rsidR="00A334F7" w:rsidRDefault="00A334F7" w:rsidP="00A334F7">
      <w:pPr>
        <w:pStyle w:val="FootnoteText"/>
        <w:widowControl w:val="0"/>
        <w:tabs>
          <w:tab w:val="clear" w:pos="1021"/>
          <w:tab w:val="right" w:pos="1020"/>
        </w:tabs>
      </w:pPr>
      <w:r>
        <w:tab/>
      </w:r>
      <w:r>
        <w:rPr>
          <w:rStyle w:val="FootnoteReference"/>
        </w:rPr>
        <w:footnoteRef/>
      </w:r>
      <w:r>
        <w:tab/>
      </w:r>
      <w:r w:rsidRPr="003D5C4A">
        <w:t>All references to Kosovo in the present document should be understood to be in full compliance with Security Council resolution 1244 (1999), without prejudice to the status of Kosovo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1C5B"/>
    <w:rsid w:val="00022DB5"/>
    <w:rsid w:val="0002432F"/>
    <w:rsid w:val="000344CE"/>
    <w:rsid w:val="000403D1"/>
    <w:rsid w:val="000449AA"/>
    <w:rsid w:val="00045882"/>
    <w:rsid w:val="00050F6B"/>
    <w:rsid w:val="000628B9"/>
    <w:rsid w:val="00072C8C"/>
    <w:rsid w:val="00073E70"/>
    <w:rsid w:val="00075368"/>
    <w:rsid w:val="00083428"/>
    <w:rsid w:val="00085275"/>
    <w:rsid w:val="000876EB"/>
    <w:rsid w:val="00091419"/>
    <w:rsid w:val="000931C0"/>
    <w:rsid w:val="00096D63"/>
    <w:rsid w:val="000A4D95"/>
    <w:rsid w:val="000B175B"/>
    <w:rsid w:val="000B3A0F"/>
    <w:rsid w:val="000B4A3B"/>
    <w:rsid w:val="000B6C00"/>
    <w:rsid w:val="000C7033"/>
    <w:rsid w:val="000D0709"/>
    <w:rsid w:val="000D1851"/>
    <w:rsid w:val="000D490A"/>
    <w:rsid w:val="000E0415"/>
    <w:rsid w:val="000E375D"/>
    <w:rsid w:val="000F63EB"/>
    <w:rsid w:val="00117645"/>
    <w:rsid w:val="0013065A"/>
    <w:rsid w:val="0013136E"/>
    <w:rsid w:val="00132BC7"/>
    <w:rsid w:val="00146D32"/>
    <w:rsid w:val="001509BA"/>
    <w:rsid w:val="00157983"/>
    <w:rsid w:val="001614E7"/>
    <w:rsid w:val="00177DD8"/>
    <w:rsid w:val="001B4B04"/>
    <w:rsid w:val="001C215C"/>
    <w:rsid w:val="001C6663"/>
    <w:rsid w:val="001C7895"/>
    <w:rsid w:val="001D1FA5"/>
    <w:rsid w:val="001D26DF"/>
    <w:rsid w:val="001E2790"/>
    <w:rsid w:val="001E5256"/>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A0EEE"/>
    <w:rsid w:val="002B4713"/>
    <w:rsid w:val="002C21F0"/>
    <w:rsid w:val="002C3F46"/>
    <w:rsid w:val="002D2635"/>
    <w:rsid w:val="002E646B"/>
    <w:rsid w:val="002E7408"/>
    <w:rsid w:val="003041D4"/>
    <w:rsid w:val="003107FA"/>
    <w:rsid w:val="00317977"/>
    <w:rsid w:val="003229D8"/>
    <w:rsid w:val="00324383"/>
    <w:rsid w:val="003314D1"/>
    <w:rsid w:val="00335A2F"/>
    <w:rsid w:val="00341937"/>
    <w:rsid w:val="003705F0"/>
    <w:rsid w:val="0037215F"/>
    <w:rsid w:val="00380427"/>
    <w:rsid w:val="00380822"/>
    <w:rsid w:val="0039277A"/>
    <w:rsid w:val="003972E0"/>
    <w:rsid w:val="003975ED"/>
    <w:rsid w:val="003A4E25"/>
    <w:rsid w:val="003C2CC4"/>
    <w:rsid w:val="003D4B23"/>
    <w:rsid w:val="003E065C"/>
    <w:rsid w:val="003E19D9"/>
    <w:rsid w:val="003E33AE"/>
    <w:rsid w:val="003E6998"/>
    <w:rsid w:val="00400E06"/>
    <w:rsid w:val="00402E7F"/>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13F3"/>
    <w:rsid w:val="004859EC"/>
    <w:rsid w:val="00485C85"/>
    <w:rsid w:val="00496A15"/>
    <w:rsid w:val="004977C7"/>
    <w:rsid w:val="004A76BD"/>
    <w:rsid w:val="004B24E4"/>
    <w:rsid w:val="004B3B84"/>
    <w:rsid w:val="004B64EE"/>
    <w:rsid w:val="004B6558"/>
    <w:rsid w:val="004B75D2"/>
    <w:rsid w:val="004D1140"/>
    <w:rsid w:val="004E01CE"/>
    <w:rsid w:val="004E25CB"/>
    <w:rsid w:val="004F55ED"/>
    <w:rsid w:val="0052176C"/>
    <w:rsid w:val="00524706"/>
    <w:rsid w:val="005261E5"/>
    <w:rsid w:val="005356C6"/>
    <w:rsid w:val="005420F2"/>
    <w:rsid w:val="00542574"/>
    <w:rsid w:val="005436AB"/>
    <w:rsid w:val="005454ED"/>
    <w:rsid w:val="005457B9"/>
    <w:rsid w:val="00546DBF"/>
    <w:rsid w:val="005512BA"/>
    <w:rsid w:val="0055256E"/>
    <w:rsid w:val="00553D76"/>
    <w:rsid w:val="005552B5"/>
    <w:rsid w:val="0056117B"/>
    <w:rsid w:val="005615E8"/>
    <w:rsid w:val="005620C3"/>
    <w:rsid w:val="00571365"/>
    <w:rsid w:val="00592E55"/>
    <w:rsid w:val="005A22DB"/>
    <w:rsid w:val="005A5085"/>
    <w:rsid w:val="005B3DB3"/>
    <w:rsid w:val="005B6E48"/>
    <w:rsid w:val="005E1712"/>
    <w:rsid w:val="005F2A69"/>
    <w:rsid w:val="005F3509"/>
    <w:rsid w:val="005F6E73"/>
    <w:rsid w:val="006052A2"/>
    <w:rsid w:val="006116A3"/>
    <w:rsid w:val="00611FC4"/>
    <w:rsid w:val="006176FB"/>
    <w:rsid w:val="00626E6C"/>
    <w:rsid w:val="00640B26"/>
    <w:rsid w:val="0066640F"/>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7201"/>
    <w:rsid w:val="007953F7"/>
    <w:rsid w:val="007A6296"/>
    <w:rsid w:val="007B059A"/>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1FD5"/>
    <w:rsid w:val="008741DC"/>
    <w:rsid w:val="00875FCF"/>
    <w:rsid w:val="008779E0"/>
    <w:rsid w:val="0088344B"/>
    <w:rsid w:val="008915E1"/>
    <w:rsid w:val="008979B1"/>
    <w:rsid w:val="008A6B25"/>
    <w:rsid w:val="008A6C4F"/>
    <w:rsid w:val="008B1AC8"/>
    <w:rsid w:val="008C1E4D"/>
    <w:rsid w:val="008C4960"/>
    <w:rsid w:val="008E0E46"/>
    <w:rsid w:val="008F6E6C"/>
    <w:rsid w:val="0090452C"/>
    <w:rsid w:val="009045C9"/>
    <w:rsid w:val="00907C3F"/>
    <w:rsid w:val="0092237C"/>
    <w:rsid w:val="00924630"/>
    <w:rsid w:val="0093040D"/>
    <w:rsid w:val="00934C50"/>
    <w:rsid w:val="0093707B"/>
    <w:rsid w:val="009400EB"/>
    <w:rsid w:val="009427E3"/>
    <w:rsid w:val="0094563C"/>
    <w:rsid w:val="00945CE8"/>
    <w:rsid w:val="00945ED8"/>
    <w:rsid w:val="00956D9B"/>
    <w:rsid w:val="0096139A"/>
    <w:rsid w:val="00963CBA"/>
    <w:rsid w:val="009654B7"/>
    <w:rsid w:val="00967FA4"/>
    <w:rsid w:val="00975459"/>
    <w:rsid w:val="009822C1"/>
    <w:rsid w:val="009830C8"/>
    <w:rsid w:val="00991261"/>
    <w:rsid w:val="009A0B83"/>
    <w:rsid w:val="009B3800"/>
    <w:rsid w:val="009C753F"/>
    <w:rsid w:val="009D22AC"/>
    <w:rsid w:val="009D3FA1"/>
    <w:rsid w:val="009D50DB"/>
    <w:rsid w:val="009E1A95"/>
    <w:rsid w:val="009E1C4E"/>
    <w:rsid w:val="009E349E"/>
    <w:rsid w:val="009E78E3"/>
    <w:rsid w:val="00A02BFB"/>
    <w:rsid w:val="00A02F74"/>
    <w:rsid w:val="00A05E0B"/>
    <w:rsid w:val="00A074DD"/>
    <w:rsid w:val="00A1427D"/>
    <w:rsid w:val="00A15B43"/>
    <w:rsid w:val="00A25838"/>
    <w:rsid w:val="00A32723"/>
    <w:rsid w:val="00A334F7"/>
    <w:rsid w:val="00A35949"/>
    <w:rsid w:val="00A3619D"/>
    <w:rsid w:val="00A4634F"/>
    <w:rsid w:val="00A51CF3"/>
    <w:rsid w:val="00A63DA6"/>
    <w:rsid w:val="00A67EFD"/>
    <w:rsid w:val="00A72F22"/>
    <w:rsid w:val="00A748A6"/>
    <w:rsid w:val="00A879A4"/>
    <w:rsid w:val="00A87E95"/>
    <w:rsid w:val="00A92E29"/>
    <w:rsid w:val="00AC2000"/>
    <w:rsid w:val="00AD09E9"/>
    <w:rsid w:val="00AD1361"/>
    <w:rsid w:val="00AD7362"/>
    <w:rsid w:val="00AD7B29"/>
    <w:rsid w:val="00AF0576"/>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3067"/>
    <w:rsid w:val="00B87110"/>
    <w:rsid w:val="00B90627"/>
    <w:rsid w:val="00B921F4"/>
    <w:rsid w:val="00B932CC"/>
    <w:rsid w:val="00B97FA8"/>
    <w:rsid w:val="00BB2720"/>
    <w:rsid w:val="00BC1385"/>
    <w:rsid w:val="00BC74E9"/>
    <w:rsid w:val="00BE618E"/>
    <w:rsid w:val="00C24693"/>
    <w:rsid w:val="00C3427B"/>
    <w:rsid w:val="00C35F0B"/>
    <w:rsid w:val="00C4572A"/>
    <w:rsid w:val="00C461F7"/>
    <w:rsid w:val="00C463DD"/>
    <w:rsid w:val="00C64458"/>
    <w:rsid w:val="00C726AA"/>
    <w:rsid w:val="00C745C3"/>
    <w:rsid w:val="00C81253"/>
    <w:rsid w:val="00C867EB"/>
    <w:rsid w:val="00C871CA"/>
    <w:rsid w:val="00CA2A58"/>
    <w:rsid w:val="00CA2E07"/>
    <w:rsid w:val="00CA6DE7"/>
    <w:rsid w:val="00CB47F5"/>
    <w:rsid w:val="00CC03CC"/>
    <w:rsid w:val="00CC0B55"/>
    <w:rsid w:val="00CD347B"/>
    <w:rsid w:val="00CD6995"/>
    <w:rsid w:val="00CD770C"/>
    <w:rsid w:val="00CE4A8F"/>
    <w:rsid w:val="00CF0214"/>
    <w:rsid w:val="00CF586F"/>
    <w:rsid w:val="00CF61F2"/>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67AD"/>
    <w:rsid w:val="00DB18CE"/>
    <w:rsid w:val="00DC71A3"/>
    <w:rsid w:val="00DD2115"/>
    <w:rsid w:val="00DD3674"/>
    <w:rsid w:val="00DE3EC0"/>
    <w:rsid w:val="00DE7BF3"/>
    <w:rsid w:val="00E1072B"/>
    <w:rsid w:val="00E11593"/>
    <w:rsid w:val="00E12B6B"/>
    <w:rsid w:val="00E130AB"/>
    <w:rsid w:val="00E170D4"/>
    <w:rsid w:val="00E438D9"/>
    <w:rsid w:val="00E534E2"/>
    <w:rsid w:val="00E5644E"/>
    <w:rsid w:val="00E7260F"/>
    <w:rsid w:val="00E806EE"/>
    <w:rsid w:val="00E86049"/>
    <w:rsid w:val="00E91FAE"/>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2078"/>
    <w:rsid w:val="00F677CB"/>
    <w:rsid w:val="00F70954"/>
    <w:rsid w:val="00F70D62"/>
    <w:rsid w:val="00F72113"/>
    <w:rsid w:val="00F723A2"/>
    <w:rsid w:val="00F76CA4"/>
    <w:rsid w:val="00FA7DF3"/>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FB551A-EC7D-4DB4-B738-07C8106DE1E9}">
  <ds:schemaRefs>
    <ds:schemaRef ds:uri="http://schemas.openxmlformats.org/officeDocument/2006/bibliography"/>
  </ds:schemaRefs>
</ds:datastoreItem>
</file>

<file path=customXml/itemProps2.xml><?xml version="1.0" encoding="utf-8"?>
<ds:datastoreItem xmlns:ds="http://schemas.openxmlformats.org/officeDocument/2006/customXml" ds:itemID="{AC35576A-547C-4AE0-B597-50E5A21505A4}"/>
</file>

<file path=customXml/itemProps3.xml><?xml version="1.0" encoding="utf-8"?>
<ds:datastoreItem xmlns:ds="http://schemas.openxmlformats.org/officeDocument/2006/customXml" ds:itemID="{A6FFD28B-3537-42B7-B0FB-153D76A44254}"/>
</file>

<file path=customXml/itemProps4.xml><?xml version="1.0" encoding="utf-8"?>
<ds:datastoreItem xmlns:ds="http://schemas.openxmlformats.org/officeDocument/2006/customXml" ds:itemID="{0B0FF01C-D35F-46A7-B4FD-6DE8804B564A}"/>
</file>

<file path=docProps/app.xml><?xml version="1.0" encoding="utf-8"?>
<Properties xmlns="http://schemas.openxmlformats.org/officeDocument/2006/extended-properties" xmlns:vt="http://schemas.openxmlformats.org/officeDocument/2006/docPropsVTypes">
  <Template>A_E.dotm</Template>
  <TotalTime>28</TotalTime>
  <Pages>7</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25</cp:revision>
  <cp:lastPrinted>2008-01-29T07:30:00Z</cp:lastPrinted>
  <dcterms:created xsi:type="dcterms:W3CDTF">2017-12-06T14:22:00Z</dcterms:created>
  <dcterms:modified xsi:type="dcterms:W3CDTF">2017-12-06T14:53:00Z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