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435E0F" w:rsidRDefault="005512BA" w:rsidP="005512BA">
      <w:pPr>
        <w:pStyle w:val="HChG"/>
      </w:pPr>
      <w:r>
        <w:tab/>
      </w:r>
      <w:r>
        <w:tab/>
      </w:r>
      <w:r w:rsidRPr="00435E0F">
        <w:t xml:space="preserve">Tables for UN </w:t>
      </w:r>
      <w:r w:rsidR="00A02BFB" w:rsidRPr="00435E0F">
        <w:t xml:space="preserve">Compilation on </w:t>
      </w:r>
      <w:r w:rsidR="00CA28D0" w:rsidRPr="00CA28D0">
        <w:t>Burkina Faso</w:t>
      </w:r>
    </w:p>
    <w:p w:rsidR="00A02BFB" w:rsidRPr="00A02BFB" w:rsidRDefault="005512BA" w:rsidP="005512BA">
      <w:pPr>
        <w:pStyle w:val="HChG"/>
      </w:pPr>
      <w:r w:rsidRPr="00435E0F">
        <w:tab/>
      </w:r>
      <w:r w:rsidR="00A02BFB" w:rsidRPr="00A02BFB">
        <w:t>I.</w:t>
      </w:r>
      <w:r w:rsidR="00A02BFB" w:rsidRPr="00A02BFB">
        <w:tab/>
      </w:r>
      <w:r w:rsidR="00EA79A1" w:rsidRPr="00EA79A1">
        <w:t>Scope of international obligations</w:t>
      </w:r>
      <w:r w:rsidR="00EA79A1" w:rsidRPr="00EA79A1">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7A2F24" w:rsidRPr="007A2F24">
        <w:t>International human rights treaties</w:t>
      </w:r>
      <w:bookmarkEnd w:id="0"/>
      <w:r w:rsidR="007A2F24" w:rsidRPr="007A2F24">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rsidTr="0028001D">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rsidTr="0028001D">
        <w:trPr>
          <w:trHeight w:hRule="exact" w:val="113"/>
        </w:trPr>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10"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rsidR="009F1760" w:rsidRPr="009F1760" w:rsidRDefault="009F1760" w:rsidP="009F1760">
            <w:pPr>
              <w:spacing w:before="40" w:after="120"/>
              <w:ind w:right="113"/>
            </w:pPr>
            <w:r w:rsidRPr="009F1760">
              <w:t>ICERD (1974)</w:t>
            </w:r>
          </w:p>
          <w:p w:rsidR="009F1760" w:rsidRPr="009F1760" w:rsidRDefault="009F1760" w:rsidP="009F1760">
            <w:pPr>
              <w:spacing w:before="40" w:after="120"/>
              <w:ind w:right="113"/>
            </w:pPr>
            <w:r w:rsidRPr="009F1760">
              <w:t>ICESCR (1999)</w:t>
            </w:r>
          </w:p>
          <w:p w:rsidR="009F1760" w:rsidRPr="009F1760" w:rsidRDefault="009F1760" w:rsidP="009F1760">
            <w:pPr>
              <w:spacing w:before="40" w:after="120"/>
              <w:ind w:right="113"/>
            </w:pPr>
            <w:r w:rsidRPr="009F1760">
              <w:t>ICCPR (1999)</w:t>
            </w:r>
          </w:p>
          <w:p w:rsidR="009F1760" w:rsidRPr="009F1760" w:rsidRDefault="009F1760" w:rsidP="009F1760">
            <w:pPr>
              <w:spacing w:before="40" w:after="120"/>
              <w:ind w:right="113"/>
            </w:pPr>
            <w:r w:rsidRPr="009F1760">
              <w:t>CEDAW (1987)</w:t>
            </w:r>
          </w:p>
          <w:p w:rsidR="009F1760" w:rsidRPr="009F1760" w:rsidRDefault="009F1760" w:rsidP="009F1760">
            <w:pPr>
              <w:spacing w:before="40" w:after="120"/>
              <w:ind w:right="113"/>
            </w:pPr>
            <w:r w:rsidRPr="009F1760">
              <w:t>CAT (1999)</w:t>
            </w:r>
          </w:p>
          <w:p w:rsidR="009F1760" w:rsidRPr="009F1760" w:rsidRDefault="009F1760" w:rsidP="009F1760">
            <w:pPr>
              <w:spacing w:before="40" w:after="120"/>
              <w:ind w:right="113"/>
            </w:pPr>
            <w:r w:rsidRPr="009F1760">
              <w:t>OP-CAT (2010)</w:t>
            </w:r>
          </w:p>
          <w:p w:rsidR="009F1760" w:rsidRPr="009F1760" w:rsidRDefault="009F1760" w:rsidP="009F1760">
            <w:pPr>
              <w:spacing w:before="40" w:after="120"/>
              <w:ind w:right="113"/>
            </w:pPr>
            <w:r w:rsidRPr="009F1760">
              <w:t>CRC (1990)</w:t>
            </w:r>
          </w:p>
          <w:p w:rsidR="009F1760" w:rsidRPr="009F1760" w:rsidRDefault="009F1760" w:rsidP="009F1760">
            <w:pPr>
              <w:spacing w:before="40" w:after="120"/>
              <w:ind w:right="113"/>
            </w:pPr>
            <w:r w:rsidRPr="009F1760">
              <w:t>OP-CRC-AC (2007)</w:t>
            </w:r>
          </w:p>
          <w:p w:rsidR="009F1760" w:rsidRPr="009F1760" w:rsidRDefault="009F1760" w:rsidP="009F1760">
            <w:pPr>
              <w:spacing w:before="40" w:after="120"/>
              <w:ind w:right="113"/>
            </w:pPr>
            <w:r w:rsidRPr="009F1760">
              <w:t>OP-CRC-SC (2006)</w:t>
            </w:r>
          </w:p>
          <w:p w:rsidR="009F1760" w:rsidRPr="009F1760" w:rsidRDefault="009F1760" w:rsidP="009F1760">
            <w:pPr>
              <w:spacing w:before="40" w:after="120"/>
              <w:ind w:right="113"/>
            </w:pPr>
            <w:r w:rsidRPr="009F1760">
              <w:t>ICRMW (2003)</w:t>
            </w:r>
          </w:p>
          <w:p w:rsidR="009F1760" w:rsidRPr="009F1760" w:rsidRDefault="009F1760" w:rsidP="009F1760">
            <w:pPr>
              <w:spacing w:before="40" w:after="120"/>
              <w:ind w:right="113"/>
            </w:pPr>
            <w:r w:rsidRPr="009F1760">
              <w:t>CRPD (2009)</w:t>
            </w:r>
          </w:p>
          <w:p w:rsidR="00A02BFB" w:rsidRPr="00A02BFB" w:rsidRDefault="009F1760" w:rsidP="009F1760">
            <w:pPr>
              <w:spacing w:before="40" w:after="120"/>
              <w:ind w:right="113"/>
            </w:pPr>
            <w:r w:rsidRPr="009F1760">
              <w:t>ICPPED (2009)</w:t>
            </w:r>
          </w:p>
        </w:tc>
        <w:tc>
          <w:tcPr>
            <w:tcW w:w="2409" w:type="dxa"/>
            <w:shd w:val="clear" w:color="auto" w:fill="auto"/>
          </w:tcPr>
          <w:p w:rsidR="00A02BFB" w:rsidRPr="00A02BFB" w:rsidRDefault="009F4F7D" w:rsidP="0028001D">
            <w:pPr>
              <w:spacing w:before="40" w:after="120"/>
              <w:ind w:right="113"/>
            </w:pPr>
            <w:r>
              <w:t>--</w:t>
            </w:r>
          </w:p>
        </w:tc>
        <w:tc>
          <w:tcPr>
            <w:tcW w:w="2410" w:type="dxa"/>
            <w:shd w:val="clear" w:color="auto" w:fill="auto"/>
          </w:tcPr>
          <w:p w:rsidR="00A02BFB" w:rsidRPr="00A02BFB" w:rsidRDefault="009F1760" w:rsidP="0028001D">
            <w:pPr>
              <w:spacing w:before="40" w:after="120"/>
              <w:ind w:right="113"/>
            </w:pPr>
            <w:r w:rsidRPr="009F1760">
              <w:t>ICCPR–OP 2</w:t>
            </w:r>
          </w:p>
        </w:tc>
      </w:tr>
      <w:tr w:rsidR="00A02BFB" w:rsidRPr="00A02BFB" w:rsidTr="0028001D">
        <w:tc>
          <w:tcPr>
            <w:tcW w:w="2410" w:type="dxa"/>
            <w:tcBorders>
              <w:bottom w:val="single" w:sz="12" w:space="0" w:color="auto"/>
            </w:tcBorders>
            <w:shd w:val="clear" w:color="auto" w:fill="auto"/>
          </w:tcPr>
          <w:p w:rsidR="00A02BFB" w:rsidRPr="00A02BFB" w:rsidRDefault="009F1760" w:rsidP="0028001D">
            <w:pPr>
              <w:spacing w:before="40" w:after="120"/>
              <w:ind w:right="113"/>
            </w:pPr>
            <w:r w:rsidRPr="009F1760">
              <w:rPr>
                <w:i/>
              </w:rPr>
              <w:t xml:space="preserve">Complaints procedures, inquiries and </w:t>
            </w:r>
            <w:r w:rsidRPr="009F1760">
              <w:rPr>
                <w:i/>
              </w:rPr>
              <w:br/>
              <w:t>urgent action</w:t>
            </w:r>
            <w:r w:rsidRPr="009F1760">
              <w:rPr>
                <w:rStyle w:val="EndnoteReference"/>
              </w:rPr>
              <w:endnoteReference w:id="4"/>
            </w:r>
          </w:p>
        </w:tc>
        <w:tc>
          <w:tcPr>
            <w:tcW w:w="2408" w:type="dxa"/>
            <w:tcBorders>
              <w:bottom w:val="single" w:sz="12" w:space="0" w:color="auto"/>
            </w:tcBorders>
            <w:shd w:val="clear" w:color="auto" w:fill="auto"/>
          </w:tcPr>
          <w:p w:rsidR="009F1760" w:rsidRPr="009F1760" w:rsidRDefault="009F1760" w:rsidP="009F1760">
            <w:pPr>
              <w:spacing w:before="40" w:after="120"/>
              <w:ind w:right="113"/>
            </w:pPr>
            <w:r w:rsidRPr="009F1760">
              <w:t>OP-ICESCR (signature, 2012)</w:t>
            </w:r>
          </w:p>
          <w:p w:rsidR="009F1760" w:rsidRPr="009F1760" w:rsidRDefault="009F1760" w:rsidP="009F1760">
            <w:pPr>
              <w:spacing w:before="40" w:after="120"/>
              <w:ind w:right="113"/>
            </w:pPr>
            <w:r w:rsidRPr="009F1760">
              <w:t>ICCPR-OP 1 (1999)</w:t>
            </w:r>
          </w:p>
          <w:p w:rsidR="009F1760" w:rsidRPr="009F1760" w:rsidRDefault="009F1760" w:rsidP="009F1760">
            <w:pPr>
              <w:spacing w:before="40" w:after="120"/>
              <w:ind w:right="113"/>
            </w:pPr>
            <w:r w:rsidRPr="009F1760">
              <w:t>OP-CEDAW, art. 8(2005)</w:t>
            </w:r>
          </w:p>
          <w:p w:rsidR="009F1760" w:rsidRPr="009F1760" w:rsidRDefault="009F1760" w:rsidP="009F1760">
            <w:pPr>
              <w:spacing w:before="40" w:after="120"/>
              <w:ind w:right="113"/>
            </w:pPr>
            <w:r w:rsidRPr="009F1760">
              <w:t>CAT, art. 20 (1999)</w:t>
            </w:r>
          </w:p>
          <w:p w:rsidR="00A02BFB" w:rsidRPr="00A02BFB" w:rsidRDefault="009F1760" w:rsidP="009F1760">
            <w:pPr>
              <w:spacing w:before="40" w:after="120"/>
              <w:ind w:right="113"/>
            </w:pPr>
            <w:r w:rsidRPr="009F1760">
              <w:t>OP-CRPD art. 6 (2009)</w:t>
            </w:r>
          </w:p>
        </w:tc>
        <w:tc>
          <w:tcPr>
            <w:tcW w:w="2409" w:type="dxa"/>
            <w:tcBorders>
              <w:bottom w:val="single" w:sz="12" w:space="0" w:color="auto"/>
            </w:tcBorders>
            <w:shd w:val="clear" w:color="auto" w:fill="auto"/>
          </w:tcPr>
          <w:p w:rsidR="00A02BFB" w:rsidRPr="00A02BFB" w:rsidRDefault="009F1760" w:rsidP="0028001D">
            <w:pPr>
              <w:spacing w:before="40" w:after="120"/>
              <w:ind w:right="113"/>
            </w:pPr>
            <w:r>
              <w:t>--</w:t>
            </w:r>
          </w:p>
        </w:tc>
        <w:tc>
          <w:tcPr>
            <w:tcW w:w="2410" w:type="dxa"/>
            <w:tcBorders>
              <w:bottom w:val="single" w:sz="12" w:space="0" w:color="auto"/>
            </w:tcBorders>
            <w:shd w:val="clear" w:color="auto" w:fill="auto"/>
          </w:tcPr>
          <w:p w:rsidR="009F1760" w:rsidRPr="009F1760" w:rsidRDefault="009F1760" w:rsidP="009F1760">
            <w:pPr>
              <w:spacing w:before="40" w:after="120"/>
              <w:ind w:right="113"/>
            </w:pPr>
            <w:r w:rsidRPr="009F1760">
              <w:t>ICERD, art. 14</w:t>
            </w:r>
          </w:p>
          <w:p w:rsidR="009F1760" w:rsidRPr="009F1760" w:rsidRDefault="009F1760" w:rsidP="009F1760">
            <w:pPr>
              <w:spacing w:before="40" w:after="120"/>
              <w:ind w:right="113"/>
            </w:pPr>
            <w:r w:rsidRPr="009F1760">
              <w:t>OP-ICESCR (signature, 2012)</w:t>
            </w:r>
          </w:p>
          <w:p w:rsidR="009F1760" w:rsidRPr="009F1760" w:rsidRDefault="009F1760" w:rsidP="009F1760">
            <w:pPr>
              <w:spacing w:before="40" w:after="120"/>
              <w:ind w:right="113"/>
            </w:pPr>
            <w:r w:rsidRPr="009F1760">
              <w:t>ICCPR, art. 41</w:t>
            </w:r>
          </w:p>
          <w:p w:rsidR="009F1760" w:rsidRPr="009F1760" w:rsidRDefault="009F1760" w:rsidP="009F1760">
            <w:pPr>
              <w:spacing w:before="40" w:after="120"/>
              <w:ind w:right="113"/>
            </w:pPr>
            <w:r w:rsidRPr="009F1760">
              <w:t>CAT, arts. 21 and 22</w:t>
            </w:r>
          </w:p>
          <w:p w:rsidR="009F1760" w:rsidRPr="009F1760" w:rsidRDefault="009F1760" w:rsidP="009F1760">
            <w:pPr>
              <w:spacing w:before="40" w:after="120"/>
              <w:ind w:right="113"/>
            </w:pPr>
            <w:r w:rsidRPr="009F1760">
              <w:t>OP-CRC-IC</w:t>
            </w:r>
          </w:p>
          <w:p w:rsidR="009F1760" w:rsidRPr="009F1760" w:rsidRDefault="009F1760" w:rsidP="009F1760">
            <w:pPr>
              <w:spacing w:before="40" w:after="120"/>
              <w:ind w:right="113"/>
            </w:pPr>
            <w:r w:rsidRPr="009F1760">
              <w:t>ICRMW, arts. 76 and 77</w:t>
            </w:r>
          </w:p>
          <w:p w:rsidR="00A02BFB" w:rsidRPr="00A02BFB" w:rsidRDefault="009F1760" w:rsidP="009F1760">
            <w:pPr>
              <w:spacing w:before="40" w:after="120"/>
              <w:ind w:right="113"/>
            </w:pPr>
            <w:r w:rsidRPr="009F1760">
              <w:t>ICPPED, arts. 31 and 32</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rsidTr="00C9264F">
        <w:trPr>
          <w:trHeight w:hRule="exact" w:val="113"/>
        </w:trPr>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517888" w:rsidRPr="00A02BFB" w:rsidTr="006549F8">
        <w:tc>
          <w:tcPr>
            <w:tcW w:w="2409" w:type="dxa"/>
            <w:tcBorders>
              <w:bottom w:val="single" w:sz="12" w:space="0" w:color="auto"/>
            </w:tcBorders>
            <w:shd w:val="clear" w:color="auto" w:fill="auto"/>
          </w:tcPr>
          <w:p w:rsidR="00517888" w:rsidRPr="00A02BFB" w:rsidRDefault="00517888" w:rsidP="0028001D">
            <w:pPr>
              <w:spacing w:before="40" w:after="120"/>
              <w:ind w:right="113"/>
            </w:pPr>
          </w:p>
        </w:tc>
        <w:tc>
          <w:tcPr>
            <w:tcW w:w="2409" w:type="dxa"/>
            <w:tcBorders>
              <w:bottom w:val="single" w:sz="12" w:space="0" w:color="auto"/>
            </w:tcBorders>
            <w:shd w:val="clear" w:color="auto" w:fill="auto"/>
          </w:tcPr>
          <w:p w:rsidR="00517888" w:rsidRPr="00517888" w:rsidRDefault="00C65D4B" w:rsidP="0028001D">
            <w:pPr>
              <w:spacing w:before="40" w:after="120"/>
              <w:ind w:right="113"/>
            </w:pPr>
            <w:r>
              <w:t>OP-CRC-AC (Declaration, art. 3.2, age of recruitment 18 years, 2007)</w:t>
            </w:r>
          </w:p>
        </w:tc>
        <w:tc>
          <w:tcPr>
            <w:tcW w:w="2409" w:type="dxa"/>
            <w:tcBorders>
              <w:bottom w:val="single" w:sz="12" w:space="0" w:color="auto"/>
            </w:tcBorders>
            <w:shd w:val="clear" w:color="auto" w:fill="auto"/>
          </w:tcPr>
          <w:p w:rsidR="00517888" w:rsidRDefault="00C65D4B" w:rsidP="0028001D">
            <w:pPr>
              <w:spacing w:before="40" w:after="120"/>
              <w:ind w:right="113"/>
            </w:pPr>
            <w:r>
              <w:t>--</w:t>
            </w:r>
          </w:p>
        </w:tc>
        <w:tc>
          <w:tcPr>
            <w:tcW w:w="2410" w:type="dxa"/>
            <w:tcBorders>
              <w:bottom w:val="single" w:sz="12" w:space="0" w:color="auto"/>
            </w:tcBorders>
            <w:shd w:val="clear" w:color="auto" w:fill="auto"/>
          </w:tcPr>
          <w:p w:rsidR="00517888" w:rsidRPr="00517888" w:rsidRDefault="00C65D4B" w:rsidP="0028001D">
            <w:pPr>
              <w:spacing w:before="40" w:after="120"/>
              <w:ind w:right="113"/>
            </w:pPr>
            <w:r>
              <w:t>OP-CRC-AC (Declaration, art. 3.3, age of recruitment 18 years)</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F3371">
            <w:pPr>
              <w:spacing w:before="80" w:after="80" w:line="200" w:lineRule="exact"/>
              <w:ind w:left="142"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F3371">
            <w:pPr>
              <w:spacing w:before="80" w:after="80" w:line="200" w:lineRule="exact"/>
              <w:ind w:left="141" w:right="113"/>
              <w:rPr>
                <w:i/>
                <w:sz w:val="16"/>
              </w:rPr>
            </w:pPr>
            <w:r w:rsidRPr="0028001D">
              <w:rPr>
                <w:i/>
                <w:sz w:val="16"/>
              </w:rPr>
              <w:t>Not ratified</w:t>
            </w:r>
          </w:p>
        </w:tc>
      </w:tr>
      <w:tr w:rsidR="00A02BFB" w:rsidRPr="00A02BFB" w:rsidTr="0028001D">
        <w:trPr>
          <w:trHeight w:hRule="exact" w:val="113"/>
        </w:trPr>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10" w:type="dxa"/>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09"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rsidR="00A02BFB" w:rsidRPr="0028001D" w:rsidRDefault="002F3371" w:rsidP="0028001D">
            <w:pPr>
              <w:spacing w:before="40" w:after="120"/>
              <w:ind w:right="113"/>
              <w:rPr>
                <w:highlight w:val="yellow"/>
              </w:rPr>
            </w:pPr>
            <w:r w:rsidRPr="002F3371">
              <w:t>Convention on the Prevention and Punishment of the Crime of Genocide</w:t>
            </w:r>
          </w:p>
        </w:tc>
        <w:tc>
          <w:tcPr>
            <w:tcW w:w="2409" w:type="dxa"/>
            <w:shd w:val="clear" w:color="auto" w:fill="auto"/>
          </w:tcPr>
          <w:p w:rsidR="00A02BFB" w:rsidRPr="00A02BFB" w:rsidRDefault="002F3371" w:rsidP="002F3371">
            <w:pPr>
              <w:spacing w:before="40" w:after="120"/>
              <w:ind w:left="142" w:right="113"/>
            </w:pPr>
            <w:r w:rsidRPr="002F3371">
              <w:t>Convention on the Status of Stateless Persons (2012)and the Convention on the Reduction of Statelessness (2017)</w:t>
            </w:r>
          </w:p>
        </w:tc>
        <w:tc>
          <w:tcPr>
            <w:tcW w:w="2410" w:type="dxa"/>
            <w:shd w:val="clear" w:color="auto" w:fill="auto"/>
          </w:tcPr>
          <w:p w:rsidR="00A02BFB" w:rsidRPr="00A02BFB" w:rsidRDefault="002F3371" w:rsidP="00360A24">
            <w:pPr>
              <w:spacing w:before="40" w:after="120"/>
              <w:ind w:right="113"/>
            </w:pPr>
            <w:r w:rsidRPr="002F3371">
              <w:t>ILO Conventions No. 169 and 1898</w:t>
            </w:r>
            <w:r w:rsidR="00360A24">
              <w:rPr>
                <w:rStyle w:val="EndnoteReference"/>
              </w:rPr>
              <w:endnoteReference w:id="5"/>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2F3371" w:rsidP="0028001D">
            <w:pPr>
              <w:spacing w:before="40" w:after="120"/>
              <w:ind w:right="113"/>
              <w:rPr>
                <w:highlight w:val="yellow"/>
              </w:rPr>
            </w:pPr>
            <w:r w:rsidRPr="002F3371">
              <w:t>Rome Statute of the International Criminal Court</w:t>
            </w:r>
          </w:p>
        </w:tc>
        <w:tc>
          <w:tcPr>
            <w:tcW w:w="2409" w:type="dxa"/>
            <w:shd w:val="clear" w:color="auto" w:fill="auto"/>
          </w:tcPr>
          <w:p w:rsidR="00A02BFB" w:rsidRPr="00A02BFB" w:rsidRDefault="002F3371" w:rsidP="002F3371">
            <w:pPr>
              <w:spacing w:before="40" w:after="120"/>
              <w:ind w:left="142" w:right="113"/>
            </w:pPr>
            <w:r>
              <w:t>--</w:t>
            </w:r>
          </w:p>
        </w:tc>
        <w:tc>
          <w:tcPr>
            <w:tcW w:w="2410" w:type="dxa"/>
            <w:shd w:val="clear" w:color="auto" w:fill="auto"/>
          </w:tcPr>
          <w:p w:rsidR="00A02BFB" w:rsidRPr="00A02BFB" w:rsidRDefault="002F3371" w:rsidP="002F3371">
            <w:pPr>
              <w:spacing w:before="40" w:after="120"/>
              <w:ind w:left="141"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B84EF0" w:rsidRDefault="002F3371" w:rsidP="00360A24">
            <w:pPr>
              <w:spacing w:before="40" w:after="120"/>
              <w:ind w:right="113"/>
            </w:pPr>
            <w:r w:rsidRPr="002F3371">
              <w:t>Conventions on refugees and stateless persons</w:t>
            </w:r>
            <w:r w:rsidR="00360A24">
              <w:rPr>
                <w:rStyle w:val="EndnoteReference"/>
              </w:rPr>
              <w:endnoteReference w:id="6"/>
            </w:r>
            <w:r w:rsidRPr="002F3371">
              <w:t xml:space="preserve"> except the Convention on the Status of Stateless Persons and the Convention on the Reduction of Statelessness</w:t>
            </w:r>
          </w:p>
        </w:tc>
        <w:tc>
          <w:tcPr>
            <w:tcW w:w="2409" w:type="dxa"/>
            <w:shd w:val="clear" w:color="auto" w:fill="auto"/>
          </w:tcPr>
          <w:p w:rsidR="00A02BFB" w:rsidRPr="00B84EF0" w:rsidRDefault="002F3371" w:rsidP="002F3371">
            <w:pPr>
              <w:spacing w:before="40" w:after="120"/>
              <w:ind w:left="142" w:right="113"/>
            </w:pPr>
            <w:r>
              <w:t>--</w:t>
            </w:r>
          </w:p>
        </w:tc>
        <w:tc>
          <w:tcPr>
            <w:tcW w:w="2410" w:type="dxa"/>
            <w:shd w:val="clear" w:color="auto" w:fill="auto"/>
          </w:tcPr>
          <w:p w:rsidR="00A02BFB" w:rsidRPr="00A02BFB" w:rsidRDefault="002F3371" w:rsidP="002F3371">
            <w:pPr>
              <w:spacing w:before="40" w:after="120"/>
              <w:ind w:left="141"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2F3371" w:rsidP="0028001D">
            <w:pPr>
              <w:spacing w:before="40" w:after="120"/>
              <w:ind w:right="113"/>
              <w:rPr>
                <w:highlight w:val="yellow"/>
              </w:rPr>
            </w:pPr>
            <w:r w:rsidRPr="002F3371">
              <w:t>Palermo Protocol</w:t>
            </w:r>
            <w:r w:rsidRPr="002F3371">
              <w:rPr>
                <w:vertAlign w:val="superscript"/>
              </w:rPr>
              <w:endnoteReference w:id="7"/>
            </w:r>
          </w:p>
        </w:tc>
        <w:tc>
          <w:tcPr>
            <w:tcW w:w="2409" w:type="dxa"/>
            <w:shd w:val="clear" w:color="auto" w:fill="auto"/>
          </w:tcPr>
          <w:p w:rsidR="00A02BFB" w:rsidRPr="00A02BFB" w:rsidRDefault="002F3371" w:rsidP="002F3371">
            <w:pPr>
              <w:spacing w:before="40" w:after="120"/>
              <w:ind w:left="142" w:right="113"/>
            </w:pPr>
            <w:r>
              <w:t>--</w:t>
            </w:r>
          </w:p>
        </w:tc>
        <w:tc>
          <w:tcPr>
            <w:tcW w:w="2410" w:type="dxa"/>
            <w:shd w:val="clear" w:color="auto" w:fill="auto"/>
          </w:tcPr>
          <w:p w:rsidR="00A02BFB" w:rsidRPr="00A02BFB" w:rsidRDefault="002F3371" w:rsidP="002F3371">
            <w:pPr>
              <w:spacing w:before="40" w:after="120"/>
              <w:ind w:left="141"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2F3371" w:rsidP="0028001D">
            <w:pPr>
              <w:spacing w:before="40" w:after="120"/>
              <w:ind w:right="113"/>
              <w:rPr>
                <w:highlight w:val="yellow"/>
              </w:rPr>
            </w:pPr>
            <w:r w:rsidRPr="002F3371">
              <w:t>Geneva Conventions of 12 August 1949 and Additional Protocols thereto</w:t>
            </w:r>
            <w:r w:rsidRPr="002F3371">
              <w:rPr>
                <w:vertAlign w:val="superscript"/>
              </w:rPr>
              <w:t xml:space="preserve"> </w:t>
            </w:r>
            <w:r w:rsidRPr="002F3371">
              <w:rPr>
                <w:vertAlign w:val="superscript"/>
              </w:rPr>
              <w:endnoteReference w:id="8"/>
            </w:r>
            <w:r w:rsidRPr="002F3371">
              <w:rPr>
                <w:vertAlign w:val="superscript"/>
              </w:rPr>
              <w:t xml:space="preserve"> </w:t>
            </w:r>
            <w:r w:rsidRPr="002F3371">
              <w:t>except AP III</w:t>
            </w:r>
          </w:p>
        </w:tc>
        <w:tc>
          <w:tcPr>
            <w:tcW w:w="2409" w:type="dxa"/>
            <w:shd w:val="clear" w:color="auto" w:fill="auto"/>
          </w:tcPr>
          <w:p w:rsidR="00A02BFB" w:rsidRPr="00A02BFB" w:rsidRDefault="002F3371" w:rsidP="002F3371">
            <w:pPr>
              <w:spacing w:before="40" w:after="120"/>
              <w:ind w:left="142" w:right="113"/>
            </w:pPr>
            <w:r>
              <w:t>--</w:t>
            </w:r>
          </w:p>
        </w:tc>
        <w:tc>
          <w:tcPr>
            <w:tcW w:w="2410" w:type="dxa"/>
            <w:shd w:val="clear" w:color="auto" w:fill="auto"/>
          </w:tcPr>
          <w:p w:rsidR="00A02BFB" w:rsidRPr="00A02BFB" w:rsidRDefault="002F3371" w:rsidP="002F3371">
            <w:pPr>
              <w:spacing w:before="40" w:after="120"/>
              <w:ind w:left="141" w:right="113"/>
            </w:pPr>
            <w:r>
              <w:t>--</w:t>
            </w:r>
          </w:p>
        </w:tc>
      </w:tr>
      <w:tr w:rsidR="00A02BFB" w:rsidRPr="00A02BFB" w:rsidTr="00D94648">
        <w:tc>
          <w:tcPr>
            <w:tcW w:w="2409" w:type="dxa"/>
            <w:tcBorders>
              <w:bottom w:val="single" w:sz="12" w:space="0" w:color="auto"/>
            </w:tcBorders>
            <w:shd w:val="clear" w:color="auto" w:fill="auto"/>
          </w:tcPr>
          <w:p w:rsidR="00A02BFB" w:rsidRPr="00A02BFB" w:rsidRDefault="00A02BFB" w:rsidP="0028001D">
            <w:pPr>
              <w:spacing w:before="40" w:after="120"/>
              <w:ind w:right="113"/>
            </w:pPr>
          </w:p>
        </w:tc>
        <w:tc>
          <w:tcPr>
            <w:tcW w:w="2409" w:type="dxa"/>
            <w:tcBorders>
              <w:bottom w:val="single" w:sz="12" w:space="0" w:color="auto"/>
            </w:tcBorders>
            <w:shd w:val="clear" w:color="auto" w:fill="auto"/>
          </w:tcPr>
          <w:p w:rsidR="00A02BFB" w:rsidRPr="0028001D" w:rsidRDefault="002F3371" w:rsidP="0028001D">
            <w:pPr>
              <w:spacing w:before="40" w:after="120"/>
              <w:ind w:right="113"/>
              <w:rPr>
                <w:highlight w:val="yellow"/>
              </w:rPr>
            </w:pPr>
            <w:r w:rsidRPr="002F3371">
              <w:t>ILO Fundamental conventions</w:t>
            </w:r>
            <w:r w:rsidRPr="002F3371">
              <w:rPr>
                <w:vertAlign w:val="superscript"/>
              </w:rPr>
              <w:endnoteReference w:id="9"/>
            </w:r>
          </w:p>
        </w:tc>
        <w:tc>
          <w:tcPr>
            <w:tcW w:w="2409" w:type="dxa"/>
            <w:tcBorders>
              <w:bottom w:val="single" w:sz="12" w:space="0" w:color="auto"/>
            </w:tcBorders>
            <w:shd w:val="clear" w:color="auto" w:fill="auto"/>
          </w:tcPr>
          <w:p w:rsidR="00A02BFB" w:rsidRPr="00A02BFB" w:rsidRDefault="002F3371" w:rsidP="002F3371">
            <w:pPr>
              <w:spacing w:before="40" w:after="120"/>
              <w:ind w:left="142" w:right="113"/>
            </w:pPr>
            <w:r>
              <w:t>--</w:t>
            </w:r>
          </w:p>
        </w:tc>
        <w:tc>
          <w:tcPr>
            <w:tcW w:w="2410" w:type="dxa"/>
            <w:tcBorders>
              <w:bottom w:val="single" w:sz="12" w:space="0" w:color="auto"/>
            </w:tcBorders>
            <w:shd w:val="clear" w:color="auto" w:fill="auto"/>
          </w:tcPr>
          <w:p w:rsidR="00A02BFB" w:rsidRPr="00A02BFB" w:rsidRDefault="002F3371" w:rsidP="002F3371">
            <w:pPr>
              <w:spacing w:before="40" w:after="120"/>
              <w:ind w:left="141" w:right="113"/>
            </w:pPr>
            <w:r>
              <w:t>--</w:t>
            </w:r>
          </w:p>
        </w:tc>
      </w:tr>
    </w:tbl>
    <w:p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7411F6" w:rsidRPr="007411F6">
        <w:t>Cooperation with treaty bodies</w:t>
      </w:r>
      <w:r w:rsidR="007411F6" w:rsidRPr="007411F6">
        <w:rPr>
          <w:rStyle w:val="EndnoteReference"/>
          <w:b w:val="0"/>
        </w:rPr>
        <w:endnoteReference w:id="10"/>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rsidTr="0028001D">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rsidTr="0028001D">
        <w:trPr>
          <w:trHeight w:hRule="exact" w:val="113"/>
        </w:trPr>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r>
      <w:tr w:rsidR="00FD242A" w:rsidRPr="00A02BFB" w:rsidTr="0028001D">
        <w:tc>
          <w:tcPr>
            <w:tcW w:w="1928" w:type="dxa"/>
            <w:shd w:val="clear" w:color="auto" w:fill="auto"/>
          </w:tcPr>
          <w:p w:rsidR="00A02BFB" w:rsidRPr="00A02BFB" w:rsidRDefault="007411F6" w:rsidP="0028001D">
            <w:pPr>
              <w:spacing w:before="40" w:after="120"/>
              <w:ind w:right="113"/>
            </w:pPr>
            <w:r>
              <w:t>CERD</w:t>
            </w:r>
          </w:p>
        </w:tc>
        <w:tc>
          <w:tcPr>
            <w:tcW w:w="1928" w:type="dxa"/>
            <w:shd w:val="clear" w:color="auto" w:fill="auto"/>
          </w:tcPr>
          <w:p w:rsidR="00A02BFB" w:rsidRPr="00A02BFB" w:rsidRDefault="007411F6" w:rsidP="0028001D">
            <w:pPr>
              <w:spacing w:before="40" w:after="120"/>
              <w:ind w:right="113"/>
            </w:pPr>
            <w:r>
              <w:t>--</w:t>
            </w:r>
          </w:p>
        </w:tc>
        <w:tc>
          <w:tcPr>
            <w:tcW w:w="1927" w:type="dxa"/>
            <w:shd w:val="clear" w:color="auto" w:fill="auto"/>
          </w:tcPr>
          <w:p w:rsidR="00A02BFB" w:rsidRPr="00A02BFB" w:rsidRDefault="007411F6" w:rsidP="0028001D">
            <w:pPr>
              <w:spacing w:before="40" w:after="120"/>
              <w:ind w:right="113"/>
            </w:pPr>
            <w:r>
              <w:t>2012</w:t>
            </w:r>
          </w:p>
        </w:tc>
        <w:tc>
          <w:tcPr>
            <w:tcW w:w="1927" w:type="dxa"/>
            <w:shd w:val="clear" w:color="auto" w:fill="auto"/>
          </w:tcPr>
          <w:p w:rsidR="00A02BFB" w:rsidRPr="00A02BFB" w:rsidRDefault="007411F6" w:rsidP="0028001D">
            <w:pPr>
              <w:spacing w:before="40" w:after="120"/>
              <w:ind w:right="113"/>
            </w:pPr>
            <w:r>
              <w:t>August 2013</w:t>
            </w:r>
          </w:p>
        </w:tc>
        <w:tc>
          <w:tcPr>
            <w:tcW w:w="1927" w:type="dxa"/>
            <w:shd w:val="clear" w:color="auto" w:fill="auto"/>
          </w:tcPr>
          <w:p w:rsidR="00A02BFB" w:rsidRPr="00A02BFB" w:rsidRDefault="007411F6" w:rsidP="0028001D">
            <w:pPr>
              <w:spacing w:before="40" w:after="120"/>
              <w:ind w:right="113"/>
            </w:pPr>
            <w:r w:rsidRPr="007411F6">
              <w:t>Twentieth to twenty-second report overdue since 2017</w:t>
            </w:r>
          </w:p>
        </w:tc>
      </w:tr>
      <w:tr w:rsidR="00FD242A" w:rsidRPr="00A02BFB" w:rsidTr="0028001D">
        <w:tc>
          <w:tcPr>
            <w:tcW w:w="1928" w:type="dxa"/>
            <w:shd w:val="clear" w:color="auto" w:fill="auto"/>
          </w:tcPr>
          <w:p w:rsidR="00A02BFB" w:rsidRPr="00A02BFB" w:rsidRDefault="007411F6" w:rsidP="0028001D">
            <w:pPr>
              <w:spacing w:before="40" w:after="120"/>
              <w:ind w:right="113"/>
            </w:pPr>
            <w:r>
              <w:t>CESCR</w:t>
            </w:r>
          </w:p>
        </w:tc>
        <w:tc>
          <w:tcPr>
            <w:tcW w:w="1928" w:type="dxa"/>
            <w:shd w:val="clear" w:color="auto" w:fill="auto"/>
          </w:tcPr>
          <w:p w:rsidR="00A02BFB" w:rsidRPr="00A02BFB" w:rsidRDefault="007411F6" w:rsidP="0028001D">
            <w:pPr>
              <w:spacing w:before="40" w:after="120"/>
              <w:ind w:right="113"/>
            </w:pPr>
            <w:r>
              <w:t>--</w:t>
            </w:r>
          </w:p>
        </w:tc>
        <w:tc>
          <w:tcPr>
            <w:tcW w:w="1927" w:type="dxa"/>
            <w:shd w:val="clear" w:color="auto" w:fill="auto"/>
          </w:tcPr>
          <w:p w:rsidR="00A02BFB" w:rsidRPr="00A02BFB" w:rsidRDefault="007411F6" w:rsidP="0028001D">
            <w:pPr>
              <w:spacing w:before="40" w:after="120"/>
              <w:ind w:right="113"/>
            </w:pPr>
            <w:r>
              <w:t>2015</w:t>
            </w:r>
          </w:p>
        </w:tc>
        <w:tc>
          <w:tcPr>
            <w:tcW w:w="1927" w:type="dxa"/>
            <w:shd w:val="clear" w:color="auto" w:fill="auto"/>
          </w:tcPr>
          <w:p w:rsidR="00A02BFB" w:rsidRPr="00A02BFB" w:rsidRDefault="007411F6" w:rsidP="0028001D">
            <w:pPr>
              <w:spacing w:before="40" w:after="120"/>
              <w:ind w:right="113"/>
            </w:pPr>
            <w:r>
              <w:t>June 2016</w:t>
            </w:r>
          </w:p>
        </w:tc>
        <w:tc>
          <w:tcPr>
            <w:tcW w:w="1927" w:type="dxa"/>
            <w:shd w:val="clear" w:color="auto" w:fill="auto"/>
          </w:tcPr>
          <w:p w:rsidR="00A02BFB" w:rsidRPr="00A02BFB" w:rsidRDefault="007411F6" w:rsidP="0028001D">
            <w:pPr>
              <w:spacing w:before="40" w:after="120"/>
              <w:ind w:right="113"/>
            </w:pPr>
            <w:r w:rsidRPr="007411F6">
              <w:t>Second report due in 2021</w:t>
            </w:r>
          </w:p>
        </w:tc>
      </w:tr>
      <w:tr w:rsidR="00FD242A" w:rsidRPr="00A02BFB" w:rsidTr="0028001D">
        <w:tc>
          <w:tcPr>
            <w:tcW w:w="1928" w:type="dxa"/>
            <w:shd w:val="clear" w:color="auto" w:fill="auto"/>
          </w:tcPr>
          <w:p w:rsidR="00A02BFB" w:rsidRPr="00A02BFB" w:rsidRDefault="007411F6" w:rsidP="0028001D">
            <w:pPr>
              <w:spacing w:before="40" w:after="120"/>
              <w:ind w:right="113"/>
            </w:pPr>
            <w:r>
              <w:t>HR Committee</w:t>
            </w:r>
          </w:p>
        </w:tc>
        <w:tc>
          <w:tcPr>
            <w:tcW w:w="1928" w:type="dxa"/>
            <w:shd w:val="clear" w:color="auto" w:fill="auto"/>
          </w:tcPr>
          <w:p w:rsidR="00A02BFB" w:rsidRPr="00A02BFB" w:rsidRDefault="007411F6" w:rsidP="0028001D">
            <w:pPr>
              <w:spacing w:before="40" w:after="120"/>
              <w:ind w:right="113"/>
            </w:pPr>
            <w:r>
              <w:t>--</w:t>
            </w:r>
          </w:p>
        </w:tc>
        <w:tc>
          <w:tcPr>
            <w:tcW w:w="1927" w:type="dxa"/>
            <w:shd w:val="clear" w:color="auto" w:fill="auto"/>
          </w:tcPr>
          <w:p w:rsidR="00A02BFB" w:rsidRPr="00A02BFB" w:rsidRDefault="007411F6" w:rsidP="0028001D">
            <w:pPr>
              <w:spacing w:before="40" w:after="120"/>
              <w:ind w:right="113"/>
            </w:pPr>
            <w:r>
              <w:t>2014</w:t>
            </w:r>
          </w:p>
        </w:tc>
        <w:tc>
          <w:tcPr>
            <w:tcW w:w="1927" w:type="dxa"/>
            <w:shd w:val="clear" w:color="auto" w:fill="auto"/>
          </w:tcPr>
          <w:p w:rsidR="00A02BFB" w:rsidRPr="00A02BFB" w:rsidRDefault="007411F6" w:rsidP="0028001D">
            <w:pPr>
              <w:spacing w:before="40" w:after="120"/>
              <w:ind w:right="113"/>
            </w:pPr>
            <w:r>
              <w:t>July 2016</w:t>
            </w:r>
          </w:p>
        </w:tc>
        <w:tc>
          <w:tcPr>
            <w:tcW w:w="1927" w:type="dxa"/>
            <w:shd w:val="clear" w:color="auto" w:fill="auto"/>
          </w:tcPr>
          <w:p w:rsidR="00A02BFB" w:rsidRPr="00A02BFB" w:rsidRDefault="007411F6" w:rsidP="0028001D">
            <w:pPr>
              <w:spacing w:before="40" w:after="120"/>
              <w:ind w:right="113"/>
            </w:pPr>
            <w:r w:rsidRPr="007411F6">
              <w:t xml:space="preserve">Second </w:t>
            </w:r>
            <w:r>
              <w:t>report due in 2020</w:t>
            </w:r>
          </w:p>
        </w:tc>
      </w:tr>
      <w:tr w:rsidR="00FD242A" w:rsidRPr="00A02BFB" w:rsidTr="0028001D">
        <w:tc>
          <w:tcPr>
            <w:tcW w:w="1928" w:type="dxa"/>
            <w:shd w:val="clear" w:color="auto" w:fill="auto"/>
          </w:tcPr>
          <w:p w:rsidR="00A02BFB" w:rsidRPr="00A02BFB" w:rsidRDefault="007411F6" w:rsidP="0028001D">
            <w:pPr>
              <w:spacing w:before="40" w:after="120"/>
              <w:ind w:right="113"/>
            </w:pPr>
            <w:r>
              <w:t>CEDAW</w:t>
            </w:r>
          </w:p>
        </w:tc>
        <w:tc>
          <w:tcPr>
            <w:tcW w:w="1928" w:type="dxa"/>
            <w:shd w:val="clear" w:color="auto" w:fill="auto"/>
          </w:tcPr>
          <w:p w:rsidR="00A02BFB" w:rsidRPr="00A02BFB" w:rsidRDefault="007411F6" w:rsidP="0028001D">
            <w:pPr>
              <w:spacing w:before="40" w:after="120"/>
              <w:ind w:right="113"/>
            </w:pPr>
            <w:r>
              <w:t>October 2010</w:t>
            </w:r>
          </w:p>
        </w:tc>
        <w:tc>
          <w:tcPr>
            <w:tcW w:w="1927" w:type="dxa"/>
            <w:shd w:val="clear" w:color="auto" w:fill="auto"/>
          </w:tcPr>
          <w:p w:rsidR="00A02BFB" w:rsidRPr="00A02BFB" w:rsidRDefault="007411F6" w:rsidP="0028001D">
            <w:pPr>
              <w:spacing w:before="40" w:after="120"/>
              <w:ind w:right="113"/>
            </w:pPr>
            <w:r>
              <w:t>2016</w:t>
            </w:r>
          </w:p>
        </w:tc>
        <w:tc>
          <w:tcPr>
            <w:tcW w:w="1927" w:type="dxa"/>
            <w:shd w:val="clear" w:color="auto" w:fill="auto"/>
          </w:tcPr>
          <w:p w:rsidR="00A02BFB" w:rsidRPr="00A02BFB" w:rsidRDefault="007411F6" w:rsidP="0028001D">
            <w:pPr>
              <w:spacing w:before="40" w:after="120"/>
              <w:ind w:right="113"/>
            </w:pPr>
            <w:r>
              <w:t>October 2017</w:t>
            </w:r>
          </w:p>
        </w:tc>
        <w:tc>
          <w:tcPr>
            <w:tcW w:w="1927" w:type="dxa"/>
            <w:shd w:val="clear" w:color="auto" w:fill="auto"/>
          </w:tcPr>
          <w:p w:rsidR="00A02BFB" w:rsidRPr="00A02BFB" w:rsidRDefault="007411F6" w:rsidP="0028001D">
            <w:pPr>
              <w:spacing w:before="40" w:after="120"/>
              <w:ind w:right="113"/>
            </w:pPr>
            <w:r>
              <w:t>Eight report due in 2021</w:t>
            </w:r>
          </w:p>
        </w:tc>
      </w:tr>
      <w:tr w:rsidR="00FD242A" w:rsidRPr="00A02BFB" w:rsidTr="0028001D">
        <w:tc>
          <w:tcPr>
            <w:tcW w:w="1928" w:type="dxa"/>
            <w:shd w:val="clear" w:color="auto" w:fill="auto"/>
          </w:tcPr>
          <w:p w:rsidR="00A02BFB" w:rsidRPr="00A02BFB" w:rsidRDefault="007411F6" w:rsidP="0028001D">
            <w:pPr>
              <w:spacing w:before="40" w:after="120"/>
              <w:ind w:right="113"/>
            </w:pPr>
            <w:r>
              <w:t>CAT</w:t>
            </w:r>
          </w:p>
        </w:tc>
        <w:tc>
          <w:tcPr>
            <w:tcW w:w="1928" w:type="dxa"/>
            <w:shd w:val="clear" w:color="auto" w:fill="auto"/>
          </w:tcPr>
          <w:p w:rsidR="00A02BFB" w:rsidRPr="00A02BFB" w:rsidRDefault="007411F6" w:rsidP="0028001D">
            <w:pPr>
              <w:spacing w:before="40" w:after="120"/>
              <w:ind w:right="113"/>
            </w:pPr>
            <w:r>
              <w:t>--</w:t>
            </w:r>
          </w:p>
        </w:tc>
        <w:tc>
          <w:tcPr>
            <w:tcW w:w="1927" w:type="dxa"/>
            <w:shd w:val="clear" w:color="auto" w:fill="auto"/>
          </w:tcPr>
          <w:p w:rsidR="00A02BFB" w:rsidRPr="00A02BFB" w:rsidRDefault="007411F6" w:rsidP="0028001D">
            <w:pPr>
              <w:spacing w:before="40" w:after="120"/>
              <w:ind w:right="113"/>
            </w:pPr>
            <w:r>
              <w:t>2012/2018</w:t>
            </w:r>
          </w:p>
        </w:tc>
        <w:tc>
          <w:tcPr>
            <w:tcW w:w="1927" w:type="dxa"/>
            <w:shd w:val="clear" w:color="auto" w:fill="auto"/>
          </w:tcPr>
          <w:p w:rsidR="00A02BFB" w:rsidRPr="00A02BFB" w:rsidRDefault="007411F6" w:rsidP="0028001D">
            <w:pPr>
              <w:spacing w:before="40" w:after="120"/>
              <w:ind w:right="113"/>
            </w:pPr>
            <w:r>
              <w:t>November 2013</w:t>
            </w:r>
          </w:p>
        </w:tc>
        <w:tc>
          <w:tcPr>
            <w:tcW w:w="1927" w:type="dxa"/>
            <w:shd w:val="clear" w:color="auto" w:fill="auto"/>
          </w:tcPr>
          <w:p w:rsidR="00A02BFB" w:rsidRPr="00A02BFB" w:rsidRDefault="007411F6" w:rsidP="0028001D">
            <w:pPr>
              <w:spacing w:before="40" w:after="120"/>
              <w:ind w:right="113"/>
            </w:pPr>
            <w:r>
              <w:t>Second report pending consideration</w:t>
            </w:r>
          </w:p>
        </w:tc>
      </w:tr>
      <w:tr w:rsidR="00FD242A" w:rsidRPr="00A02BFB" w:rsidTr="0028001D">
        <w:tc>
          <w:tcPr>
            <w:tcW w:w="1928" w:type="dxa"/>
            <w:shd w:val="clear" w:color="auto" w:fill="auto"/>
          </w:tcPr>
          <w:p w:rsidR="00A02BFB" w:rsidRPr="00A02BFB" w:rsidRDefault="007411F6" w:rsidP="0028001D">
            <w:pPr>
              <w:spacing w:before="40" w:after="120"/>
              <w:ind w:right="113"/>
            </w:pPr>
            <w:r>
              <w:lastRenderedPageBreak/>
              <w:t>CRC</w:t>
            </w:r>
          </w:p>
        </w:tc>
        <w:tc>
          <w:tcPr>
            <w:tcW w:w="1928" w:type="dxa"/>
            <w:shd w:val="clear" w:color="auto" w:fill="auto"/>
          </w:tcPr>
          <w:p w:rsidR="00A02BFB" w:rsidRPr="00A02BFB" w:rsidRDefault="007411F6" w:rsidP="0028001D">
            <w:pPr>
              <w:spacing w:before="40" w:after="120"/>
              <w:ind w:right="113"/>
            </w:pPr>
            <w:r>
              <w:t>January 2010</w:t>
            </w:r>
          </w:p>
        </w:tc>
        <w:tc>
          <w:tcPr>
            <w:tcW w:w="1927" w:type="dxa"/>
            <w:shd w:val="clear" w:color="auto" w:fill="auto"/>
          </w:tcPr>
          <w:p w:rsidR="00A02BFB" w:rsidRPr="00A02BFB" w:rsidRDefault="007411F6" w:rsidP="0028001D">
            <w:pPr>
              <w:spacing w:before="40" w:after="120"/>
              <w:ind w:right="113"/>
            </w:pPr>
            <w:r w:rsidRPr="007411F6">
              <w:t>2010 (to OP-CRC-AC and OP-CRC-SC)</w:t>
            </w:r>
          </w:p>
        </w:tc>
        <w:tc>
          <w:tcPr>
            <w:tcW w:w="1927" w:type="dxa"/>
            <w:shd w:val="clear" w:color="auto" w:fill="auto"/>
          </w:tcPr>
          <w:p w:rsidR="00A02BFB" w:rsidRPr="00A02BFB" w:rsidRDefault="007411F6" w:rsidP="0028001D">
            <w:pPr>
              <w:spacing w:before="40" w:after="120"/>
              <w:ind w:right="113"/>
            </w:pPr>
            <w:r w:rsidRPr="007411F6">
              <w:t>February 2013 (to OP-CRC-AC and OP-CRC-SC)</w:t>
            </w:r>
          </w:p>
        </w:tc>
        <w:tc>
          <w:tcPr>
            <w:tcW w:w="1927" w:type="dxa"/>
            <w:shd w:val="clear" w:color="auto" w:fill="auto"/>
          </w:tcPr>
          <w:p w:rsidR="00A02BFB" w:rsidRPr="00A02BFB" w:rsidRDefault="007411F6" w:rsidP="0028001D">
            <w:pPr>
              <w:spacing w:before="40" w:after="120"/>
              <w:ind w:right="113"/>
            </w:pPr>
            <w:r w:rsidRPr="007411F6">
              <w:t>Fifth to sixth reports overdue since 2017</w:t>
            </w:r>
          </w:p>
        </w:tc>
      </w:tr>
      <w:tr w:rsidR="00FD242A" w:rsidRPr="00A02BFB" w:rsidTr="0028001D">
        <w:tc>
          <w:tcPr>
            <w:tcW w:w="1928" w:type="dxa"/>
            <w:shd w:val="clear" w:color="auto" w:fill="auto"/>
          </w:tcPr>
          <w:p w:rsidR="00A02BFB" w:rsidRPr="00A02BFB" w:rsidRDefault="007411F6" w:rsidP="0028001D">
            <w:pPr>
              <w:spacing w:before="40" w:after="120"/>
              <w:ind w:right="113"/>
            </w:pPr>
            <w:r>
              <w:t>CMW</w:t>
            </w:r>
          </w:p>
        </w:tc>
        <w:tc>
          <w:tcPr>
            <w:tcW w:w="1928" w:type="dxa"/>
            <w:shd w:val="clear" w:color="auto" w:fill="auto"/>
          </w:tcPr>
          <w:p w:rsidR="00A02BFB" w:rsidRPr="00A02BFB" w:rsidRDefault="007411F6" w:rsidP="0028001D">
            <w:pPr>
              <w:spacing w:before="40" w:after="120"/>
              <w:ind w:right="113"/>
            </w:pPr>
            <w:r>
              <w:t>--</w:t>
            </w:r>
          </w:p>
        </w:tc>
        <w:tc>
          <w:tcPr>
            <w:tcW w:w="1927" w:type="dxa"/>
            <w:shd w:val="clear" w:color="auto" w:fill="auto"/>
          </w:tcPr>
          <w:p w:rsidR="00A02BFB" w:rsidRPr="00A02BFB" w:rsidRDefault="007411F6" w:rsidP="0028001D">
            <w:pPr>
              <w:spacing w:before="40" w:after="120"/>
              <w:ind w:right="113"/>
            </w:pPr>
            <w:r>
              <w:t>2012</w:t>
            </w:r>
          </w:p>
        </w:tc>
        <w:tc>
          <w:tcPr>
            <w:tcW w:w="1927" w:type="dxa"/>
            <w:shd w:val="clear" w:color="auto" w:fill="auto"/>
          </w:tcPr>
          <w:p w:rsidR="00A02BFB" w:rsidRPr="00A02BFB" w:rsidRDefault="007411F6" w:rsidP="0028001D">
            <w:pPr>
              <w:spacing w:before="40" w:after="120"/>
              <w:ind w:right="113"/>
            </w:pPr>
            <w:r>
              <w:t>September 2013</w:t>
            </w:r>
          </w:p>
        </w:tc>
        <w:tc>
          <w:tcPr>
            <w:tcW w:w="1927" w:type="dxa"/>
            <w:shd w:val="clear" w:color="auto" w:fill="auto"/>
          </w:tcPr>
          <w:p w:rsidR="00A02BFB" w:rsidRPr="00A02BFB" w:rsidRDefault="007411F6" w:rsidP="0028001D">
            <w:pPr>
              <w:spacing w:before="40" w:after="120"/>
              <w:ind w:right="113"/>
            </w:pPr>
            <w:r>
              <w:t>Second report due in September 2018</w:t>
            </w:r>
          </w:p>
        </w:tc>
      </w:tr>
      <w:tr w:rsidR="007411F6" w:rsidRPr="00A02BFB" w:rsidTr="0028001D">
        <w:tc>
          <w:tcPr>
            <w:tcW w:w="1928" w:type="dxa"/>
            <w:shd w:val="clear" w:color="auto" w:fill="auto"/>
          </w:tcPr>
          <w:p w:rsidR="007411F6" w:rsidRPr="00A02BFB" w:rsidRDefault="007411F6" w:rsidP="0028001D">
            <w:pPr>
              <w:spacing w:before="40" w:after="120"/>
              <w:ind w:right="113"/>
            </w:pPr>
            <w:r>
              <w:t>CRPD</w:t>
            </w:r>
          </w:p>
        </w:tc>
        <w:tc>
          <w:tcPr>
            <w:tcW w:w="1928" w:type="dxa"/>
            <w:shd w:val="clear" w:color="auto" w:fill="auto"/>
          </w:tcPr>
          <w:p w:rsidR="007411F6" w:rsidRPr="00A02BFB" w:rsidRDefault="007411F6" w:rsidP="0028001D">
            <w:pPr>
              <w:spacing w:before="40" w:after="120"/>
              <w:ind w:right="113"/>
            </w:pPr>
            <w:r>
              <w:t>--</w:t>
            </w:r>
          </w:p>
        </w:tc>
        <w:tc>
          <w:tcPr>
            <w:tcW w:w="1927" w:type="dxa"/>
            <w:shd w:val="clear" w:color="auto" w:fill="auto"/>
          </w:tcPr>
          <w:p w:rsidR="007411F6" w:rsidRPr="00A02BFB" w:rsidRDefault="007411F6" w:rsidP="0028001D">
            <w:pPr>
              <w:spacing w:before="40" w:after="120"/>
              <w:ind w:right="113"/>
            </w:pPr>
            <w:r>
              <w:t>--</w:t>
            </w:r>
          </w:p>
        </w:tc>
        <w:tc>
          <w:tcPr>
            <w:tcW w:w="1927" w:type="dxa"/>
            <w:shd w:val="clear" w:color="auto" w:fill="auto"/>
          </w:tcPr>
          <w:p w:rsidR="007411F6" w:rsidRPr="00A02BFB" w:rsidRDefault="007411F6" w:rsidP="0028001D">
            <w:pPr>
              <w:spacing w:before="40" w:after="120"/>
              <w:ind w:right="113"/>
            </w:pPr>
            <w:r>
              <w:t>--</w:t>
            </w:r>
          </w:p>
        </w:tc>
        <w:tc>
          <w:tcPr>
            <w:tcW w:w="1927" w:type="dxa"/>
            <w:shd w:val="clear" w:color="auto" w:fill="auto"/>
          </w:tcPr>
          <w:p w:rsidR="007411F6" w:rsidRPr="00A02BFB" w:rsidRDefault="007411F6" w:rsidP="0028001D">
            <w:pPr>
              <w:spacing w:before="40" w:after="120"/>
              <w:ind w:right="113"/>
            </w:pPr>
            <w:r>
              <w:t>Initial report overdue since 2011</w:t>
            </w:r>
          </w:p>
        </w:tc>
      </w:tr>
      <w:tr w:rsidR="00FD242A" w:rsidRPr="00A02BFB" w:rsidTr="0028001D">
        <w:tc>
          <w:tcPr>
            <w:tcW w:w="1928" w:type="dxa"/>
            <w:tcBorders>
              <w:bottom w:val="single" w:sz="12" w:space="0" w:color="auto"/>
            </w:tcBorders>
            <w:shd w:val="clear" w:color="auto" w:fill="auto"/>
          </w:tcPr>
          <w:p w:rsidR="00A02BFB" w:rsidRPr="00A02BFB" w:rsidRDefault="007411F6" w:rsidP="0028001D">
            <w:pPr>
              <w:spacing w:before="40" w:after="120"/>
              <w:ind w:right="113"/>
            </w:pPr>
            <w:r>
              <w:t>CED</w:t>
            </w:r>
          </w:p>
        </w:tc>
        <w:tc>
          <w:tcPr>
            <w:tcW w:w="1928" w:type="dxa"/>
            <w:tcBorders>
              <w:bottom w:val="single" w:sz="12" w:space="0" w:color="auto"/>
            </w:tcBorders>
            <w:shd w:val="clear" w:color="auto" w:fill="auto"/>
          </w:tcPr>
          <w:p w:rsidR="00A02BFB" w:rsidRPr="00A02BFB" w:rsidRDefault="007411F6" w:rsidP="0028001D">
            <w:pPr>
              <w:spacing w:before="40" w:after="120"/>
              <w:ind w:right="113"/>
            </w:pPr>
            <w:r>
              <w:t>--</w:t>
            </w:r>
          </w:p>
        </w:tc>
        <w:tc>
          <w:tcPr>
            <w:tcW w:w="1927" w:type="dxa"/>
            <w:tcBorders>
              <w:bottom w:val="single" w:sz="12" w:space="0" w:color="auto"/>
            </w:tcBorders>
            <w:shd w:val="clear" w:color="auto" w:fill="auto"/>
          </w:tcPr>
          <w:p w:rsidR="00A02BFB" w:rsidRPr="00A02BFB" w:rsidRDefault="007411F6" w:rsidP="0028001D">
            <w:pPr>
              <w:spacing w:before="40" w:after="120"/>
              <w:ind w:right="113"/>
            </w:pPr>
            <w:r>
              <w:t>2014</w:t>
            </w:r>
          </w:p>
        </w:tc>
        <w:tc>
          <w:tcPr>
            <w:tcW w:w="1927" w:type="dxa"/>
            <w:tcBorders>
              <w:bottom w:val="single" w:sz="12" w:space="0" w:color="auto"/>
            </w:tcBorders>
            <w:shd w:val="clear" w:color="auto" w:fill="auto"/>
          </w:tcPr>
          <w:p w:rsidR="00A02BFB" w:rsidRPr="00A02BFB" w:rsidRDefault="007411F6" w:rsidP="0028001D">
            <w:pPr>
              <w:spacing w:before="40" w:after="120"/>
              <w:ind w:right="113"/>
            </w:pPr>
            <w:r>
              <w:t>March 2016</w:t>
            </w:r>
          </w:p>
        </w:tc>
        <w:tc>
          <w:tcPr>
            <w:tcW w:w="1927" w:type="dxa"/>
            <w:tcBorders>
              <w:bottom w:val="single" w:sz="12" w:space="0" w:color="auto"/>
            </w:tcBorders>
            <w:shd w:val="clear" w:color="auto" w:fill="auto"/>
          </w:tcPr>
          <w:p w:rsidR="00A02BFB" w:rsidRPr="00A02BFB" w:rsidRDefault="007411F6" w:rsidP="0028001D">
            <w:pPr>
              <w:spacing w:before="40" w:after="120"/>
              <w:ind w:right="113"/>
            </w:pPr>
            <w:r>
              <w:t>Second report due in 2022</w:t>
            </w:r>
          </w:p>
        </w:tc>
      </w:tr>
    </w:tbl>
    <w:p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rsidTr="00144AF4">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rsidTr="00144AF4">
        <w:trPr>
          <w:trHeight w:hRule="exact" w:val="113"/>
        </w:trPr>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r>
      <w:tr w:rsidR="003E19D9" w:rsidRPr="003E19D9" w:rsidTr="00144AF4">
        <w:tc>
          <w:tcPr>
            <w:tcW w:w="2409" w:type="dxa"/>
            <w:shd w:val="clear" w:color="auto" w:fill="auto"/>
          </w:tcPr>
          <w:p w:rsidR="003E19D9" w:rsidRPr="003E19D9" w:rsidRDefault="00456D88" w:rsidP="0028001D">
            <w:pPr>
              <w:spacing w:before="40" w:after="120"/>
              <w:ind w:right="113"/>
            </w:pPr>
            <w:r>
              <w:t>CERD</w:t>
            </w:r>
          </w:p>
        </w:tc>
        <w:tc>
          <w:tcPr>
            <w:tcW w:w="2409" w:type="dxa"/>
            <w:shd w:val="clear" w:color="auto" w:fill="auto"/>
          </w:tcPr>
          <w:p w:rsidR="003E19D9" w:rsidRPr="003E19D9" w:rsidRDefault="00456D88" w:rsidP="0028001D">
            <w:pPr>
              <w:spacing w:before="40" w:after="120"/>
              <w:ind w:right="113"/>
            </w:pPr>
            <w:r>
              <w:t>2014</w:t>
            </w:r>
          </w:p>
        </w:tc>
        <w:tc>
          <w:tcPr>
            <w:tcW w:w="2412" w:type="dxa"/>
            <w:shd w:val="clear" w:color="auto" w:fill="auto"/>
          </w:tcPr>
          <w:p w:rsidR="003E19D9" w:rsidRPr="003E19D9" w:rsidRDefault="00456D88" w:rsidP="00E341B4">
            <w:pPr>
              <w:spacing w:before="40" w:after="120"/>
              <w:ind w:right="113"/>
            </w:pPr>
            <w:r w:rsidRPr="00456D88">
              <w:t>Refugees and asylum seekers; national human rights institution; conflicts between herders and farmers.</w:t>
            </w:r>
            <w:r w:rsidRPr="00456D88">
              <w:rPr>
                <w:rStyle w:val="EndnoteReference"/>
              </w:rPr>
              <w:endnoteReference w:id="11"/>
            </w:r>
          </w:p>
        </w:tc>
        <w:tc>
          <w:tcPr>
            <w:tcW w:w="2407" w:type="dxa"/>
            <w:shd w:val="clear" w:color="auto" w:fill="auto"/>
          </w:tcPr>
          <w:p w:rsidR="003E19D9" w:rsidRPr="003E19D9" w:rsidRDefault="00456D88" w:rsidP="00E341B4">
            <w:pPr>
              <w:spacing w:before="40" w:after="120"/>
              <w:ind w:right="113"/>
            </w:pPr>
            <w:r>
              <w:t>--</w:t>
            </w:r>
          </w:p>
        </w:tc>
      </w:tr>
      <w:tr w:rsidR="003E19D9" w:rsidRPr="003E19D9" w:rsidTr="00144AF4">
        <w:tc>
          <w:tcPr>
            <w:tcW w:w="2409" w:type="dxa"/>
            <w:shd w:val="clear" w:color="auto" w:fill="auto"/>
          </w:tcPr>
          <w:p w:rsidR="003E19D9" w:rsidRPr="003E19D9" w:rsidRDefault="00456D88" w:rsidP="0028001D">
            <w:pPr>
              <w:spacing w:before="40" w:after="120"/>
              <w:ind w:right="113"/>
            </w:pPr>
            <w:r>
              <w:t>HR Committee</w:t>
            </w:r>
          </w:p>
        </w:tc>
        <w:tc>
          <w:tcPr>
            <w:tcW w:w="2409" w:type="dxa"/>
            <w:shd w:val="clear" w:color="auto" w:fill="auto"/>
          </w:tcPr>
          <w:p w:rsidR="003E19D9" w:rsidRPr="003E19D9" w:rsidRDefault="00456D88" w:rsidP="0028001D">
            <w:pPr>
              <w:spacing w:before="40" w:after="120"/>
              <w:ind w:right="113"/>
            </w:pPr>
            <w:r>
              <w:t>2017</w:t>
            </w:r>
          </w:p>
        </w:tc>
        <w:tc>
          <w:tcPr>
            <w:tcW w:w="2412" w:type="dxa"/>
            <w:shd w:val="clear" w:color="auto" w:fill="auto"/>
          </w:tcPr>
          <w:p w:rsidR="003E19D9" w:rsidRPr="003E19D9" w:rsidRDefault="00456D88" w:rsidP="00B236D9">
            <w:pPr>
              <w:spacing w:before="40" w:after="120"/>
              <w:ind w:right="113"/>
            </w:pPr>
            <w:r w:rsidRPr="00456D88">
              <w:t>Equality between men and women and practices that are harmful to women; mob justice and vigilante groups; human trafficking and child labour.</w:t>
            </w:r>
            <w:r w:rsidRPr="00456D88">
              <w:rPr>
                <w:rStyle w:val="EndnoteReference"/>
              </w:rPr>
              <w:endnoteReference w:id="12"/>
            </w:r>
          </w:p>
        </w:tc>
        <w:tc>
          <w:tcPr>
            <w:tcW w:w="2407" w:type="dxa"/>
            <w:shd w:val="clear" w:color="auto" w:fill="auto"/>
          </w:tcPr>
          <w:p w:rsidR="003E19D9" w:rsidRPr="003E19D9" w:rsidRDefault="00456D88" w:rsidP="00952510">
            <w:pPr>
              <w:spacing w:before="40" w:after="120"/>
              <w:ind w:right="113"/>
            </w:pPr>
            <w:r w:rsidRPr="00456D88">
              <w:t>2017</w:t>
            </w:r>
            <w:r w:rsidR="00952510">
              <w:rPr>
                <w:rStyle w:val="EndnoteReference"/>
              </w:rPr>
              <w:endnoteReference w:id="13"/>
            </w:r>
          </w:p>
        </w:tc>
      </w:tr>
      <w:tr w:rsidR="003E19D9" w:rsidRPr="003E19D9" w:rsidTr="00144AF4">
        <w:tc>
          <w:tcPr>
            <w:tcW w:w="2409" w:type="dxa"/>
            <w:shd w:val="clear" w:color="auto" w:fill="auto"/>
          </w:tcPr>
          <w:p w:rsidR="003E19D9" w:rsidRPr="003E19D9" w:rsidRDefault="00456D88" w:rsidP="0028001D">
            <w:pPr>
              <w:spacing w:before="40" w:after="120"/>
              <w:ind w:right="113"/>
            </w:pPr>
            <w:r>
              <w:t>CEDAW</w:t>
            </w:r>
          </w:p>
        </w:tc>
        <w:tc>
          <w:tcPr>
            <w:tcW w:w="2409" w:type="dxa"/>
            <w:shd w:val="clear" w:color="auto" w:fill="auto"/>
          </w:tcPr>
          <w:p w:rsidR="003E19D9" w:rsidRPr="003E19D9" w:rsidRDefault="00456D88" w:rsidP="0028001D">
            <w:pPr>
              <w:spacing w:before="40" w:after="120"/>
              <w:ind w:right="113"/>
            </w:pPr>
            <w:r>
              <w:t>2012</w:t>
            </w:r>
          </w:p>
        </w:tc>
        <w:tc>
          <w:tcPr>
            <w:tcW w:w="2412" w:type="dxa"/>
            <w:shd w:val="clear" w:color="auto" w:fill="auto"/>
          </w:tcPr>
          <w:p w:rsidR="003E19D9" w:rsidRPr="003E19D9" w:rsidRDefault="00456D88" w:rsidP="00B236D9">
            <w:pPr>
              <w:spacing w:before="40" w:after="120"/>
              <w:ind w:right="113"/>
            </w:pPr>
            <w:r w:rsidRPr="00456D88">
              <w:t>Violence against women; and family relations.</w:t>
            </w:r>
            <w:r w:rsidRPr="00456D88">
              <w:rPr>
                <w:rStyle w:val="EndnoteReference"/>
              </w:rPr>
              <w:endnoteReference w:id="14"/>
            </w:r>
          </w:p>
        </w:tc>
        <w:tc>
          <w:tcPr>
            <w:tcW w:w="2407" w:type="dxa"/>
            <w:shd w:val="clear" w:color="auto" w:fill="auto"/>
          </w:tcPr>
          <w:p w:rsidR="003E19D9" w:rsidRPr="003E19D9" w:rsidRDefault="00456D88" w:rsidP="00952510">
            <w:pPr>
              <w:spacing w:before="40" w:after="120"/>
              <w:ind w:right="113"/>
            </w:pPr>
            <w:r w:rsidRPr="00456D88">
              <w:t>2016.</w:t>
            </w:r>
            <w:r w:rsidR="00952510">
              <w:rPr>
                <w:rStyle w:val="EndnoteReference"/>
              </w:rPr>
              <w:endnoteReference w:id="15"/>
            </w:r>
            <w:r>
              <w:t xml:space="preserve"> Further information requested</w:t>
            </w:r>
            <w:r w:rsidR="00952510">
              <w:rPr>
                <w:rStyle w:val="EndnoteReference"/>
              </w:rPr>
              <w:endnoteReference w:id="16"/>
            </w:r>
          </w:p>
        </w:tc>
      </w:tr>
      <w:tr w:rsidR="003E19D9" w:rsidRPr="003E19D9" w:rsidTr="00144AF4">
        <w:tc>
          <w:tcPr>
            <w:tcW w:w="2409" w:type="dxa"/>
            <w:shd w:val="clear" w:color="auto" w:fill="auto"/>
          </w:tcPr>
          <w:p w:rsidR="003E19D9" w:rsidRPr="003E19D9" w:rsidRDefault="00456D88" w:rsidP="0028001D">
            <w:pPr>
              <w:spacing w:before="40" w:after="120"/>
              <w:ind w:right="113"/>
            </w:pPr>
            <w:r>
              <w:t>--</w:t>
            </w:r>
          </w:p>
        </w:tc>
        <w:tc>
          <w:tcPr>
            <w:tcW w:w="2409" w:type="dxa"/>
            <w:shd w:val="clear" w:color="auto" w:fill="auto"/>
          </w:tcPr>
          <w:p w:rsidR="003E19D9" w:rsidRPr="003E19D9" w:rsidRDefault="00456D88" w:rsidP="0028001D">
            <w:pPr>
              <w:spacing w:before="40" w:after="120"/>
              <w:ind w:right="113"/>
            </w:pPr>
            <w:r>
              <w:t>2019</w:t>
            </w:r>
          </w:p>
        </w:tc>
        <w:tc>
          <w:tcPr>
            <w:tcW w:w="2412" w:type="dxa"/>
            <w:shd w:val="clear" w:color="auto" w:fill="auto"/>
          </w:tcPr>
          <w:p w:rsidR="003E19D9" w:rsidRPr="003E19D9" w:rsidRDefault="00456D88" w:rsidP="00952510">
            <w:pPr>
              <w:spacing w:before="40" w:after="120"/>
              <w:ind w:right="113"/>
            </w:pPr>
            <w:r w:rsidRPr="00456D88">
              <w:rPr>
                <w:bCs/>
              </w:rPr>
              <w:t>Stereotypes and gender-based violence against women; harmful practices; and rural women.</w:t>
            </w:r>
            <w:r w:rsidR="00952510">
              <w:rPr>
                <w:rStyle w:val="EndnoteReference"/>
                <w:bCs/>
              </w:rPr>
              <w:endnoteReference w:id="17"/>
            </w:r>
          </w:p>
        </w:tc>
        <w:tc>
          <w:tcPr>
            <w:tcW w:w="2407" w:type="dxa"/>
            <w:shd w:val="clear" w:color="auto" w:fill="auto"/>
          </w:tcPr>
          <w:p w:rsidR="003E19D9" w:rsidRPr="003E19D9" w:rsidRDefault="00456D88" w:rsidP="00B236D9">
            <w:pPr>
              <w:spacing w:before="40" w:after="120"/>
              <w:ind w:right="113"/>
            </w:pPr>
            <w:r>
              <w:t>--</w:t>
            </w:r>
          </w:p>
        </w:tc>
      </w:tr>
      <w:tr w:rsidR="003E19D9" w:rsidRPr="003E19D9" w:rsidTr="00456D88">
        <w:tc>
          <w:tcPr>
            <w:tcW w:w="2409" w:type="dxa"/>
            <w:shd w:val="clear" w:color="auto" w:fill="auto"/>
          </w:tcPr>
          <w:p w:rsidR="003E19D9" w:rsidRPr="003E19D9" w:rsidRDefault="00456D88" w:rsidP="0028001D">
            <w:pPr>
              <w:spacing w:before="40" w:after="120"/>
              <w:ind w:right="113"/>
            </w:pPr>
            <w:r>
              <w:t>CAT</w:t>
            </w:r>
          </w:p>
        </w:tc>
        <w:tc>
          <w:tcPr>
            <w:tcW w:w="2409" w:type="dxa"/>
            <w:shd w:val="clear" w:color="auto" w:fill="auto"/>
          </w:tcPr>
          <w:p w:rsidR="003E19D9" w:rsidRPr="003E19D9" w:rsidRDefault="00456D88" w:rsidP="0028001D">
            <w:pPr>
              <w:spacing w:before="40" w:after="120"/>
              <w:ind w:right="113"/>
            </w:pPr>
            <w:r>
              <w:t>2014</w:t>
            </w:r>
          </w:p>
        </w:tc>
        <w:tc>
          <w:tcPr>
            <w:tcW w:w="2412" w:type="dxa"/>
            <w:shd w:val="clear" w:color="auto" w:fill="auto"/>
          </w:tcPr>
          <w:p w:rsidR="003E19D9" w:rsidRPr="003E19D9" w:rsidRDefault="00456D88" w:rsidP="00B236D9">
            <w:pPr>
              <w:spacing w:before="40" w:after="120"/>
              <w:ind w:right="113"/>
            </w:pPr>
            <w:r w:rsidRPr="00456D88">
              <w:t>Legal safeguards for detainees; prompt instigation of impartial and effective investigations; initiation of proceedings against suspects and sentencing of perpetrators of acts of torture or ill-treatment.</w:t>
            </w:r>
            <w:r w:rsidRPr="00456D88">
              <w:rPr>
                <w:rStyle w:val="EndnoteReference"/>
              </w:rPr>
              <w:endnoteReference w:id="18"/>
            </w:r>
          </w:p>
        </w:tc>
        <w:tc>
          <w:tcPr>
            <w:tcW w:w="2407" w:type="dxa"/>
            <w:shd w:val="clear" w:color="auto" w:fill="auto"/>
          </w:tcPr>
          <w:p w:rsidR="003E19D9" w:rsidRPr="003E19D9" w:rsidRDefault="00456D88" w:rsidP="00952510">
            <w:pPr>
              <w:spacing w:before="40" w:after="120"/>
              <w:ind w:right="113"/>
            </w:pPr>
            <w:r>
              <w:t>Reminder sent</w:t>
            </w:r>
            <w:r w:rsidR="00952510">
              <w:rPr>
                <w:rStyle w:val="EndnoteReference"/>
              </w:rPr>
              <w:endnoteReference w:id="19"/>
            </w:r>
          </w:p>
        </w:tc>
      </w:tr>
      <w:tr w:rsidR="00456D88" w:rsidRPr="003E19D9" w:rsidTr="009A474E">
        <w:tc>
          <w:tcPr>
            <w:tcW w:w="2409" w:type="dxa"/>
            <w:shd w:val="clear" w:color="auto" w:fill="auto"/>
          </w:tcPr>
          <w:p w:rsidR="00456D88" w:rsidRDefault="00456D88" w:rsidP="0028001D">
            <w:pPr>
              <w:spacing w:before="40" w:after="120"/>
              <w:ind w:right="113"/>
            </w:pPr>
            <w:r>
              <w:t>CED</w:t>
            </w:r>
          </w:p>
        </w:tc>
        <w:tc>
          <w:tcPr>
            <w:tcW w:w="2409" w:type="dxa"/>
            <w:shd w:val="clear" w:color="auto" w:fill="auto"/>
          </w:tcPr>
          <w:p w:rsidR="00456D88" w:rsidRDefault="00456D88" w:rsidP="0028001D">
            <w:pPr>
              <w:spacing w:before="40" w:after="120"/>
              <w:ind w:right="113"/>
            </w:pPr>
            <w:r>
              <w:t>2017</w:t>
            </w:r>
          </w:p>
        </w:tc>
        <w:tc>
          <w:tcPr>
            <w:tcW w:w="2412" w:type="dxa"/>
            <w:shd w:val="clear" w:color="auto" w:fill="auto"/>
          </w:tcPr>
          <w:p w:rsidR="00456D88" w:rsidRPr="00456D88" w:rsidRDefault="00456D88" w:rsidP="00952510">
            <w:pPr>
              <w:spacing w:before="40" w:after="120"/>
              <w:ind w:right="113"/>
            </w:pPr>
            <w:r w:rsidRPr="00456D88">
              <w:t xml:space="preserve">National human rights institution; incorporation of the definition and criminalization of enforced disappearance in the Criminal Code; specific remedies concerning the </w:t>
            </w:r>
            <w:r>
              <w:lastRenderedPageBreak/>
              <w:t>lawfulness of a detention</w:t>
            </w:r>
            <w:r w:rsidR="00952510">
              <w:rPr>
                <w:rStyle w:val="EndnoteReference"/>
              </w:rPr>
              <w:endnoteReference w:id="20"/>
            </w:r>
          </w:p>
        </w:tc>
        <w:tc>
          <w:tcPr>
            <w:tcW w:w="2407" w:type="dxa"/>
            <w:shd w:val="clear" w:color="auto" w:fill="auto"/>
          </w:tcPr>
          <w:p w:rsidR="00456D88" w:rsidRDefault="00456D88" w:rsidP="00952510">
            <w:pPr>
              <w:spacing w:before="40" w:after="120"/>
              <w:ind w:right="113"/>
            </w:pPr>
            <w:r w:rsidRPr="00456D88">
              <w:lastRenderedPageBreak/>
              <w:t>2017.</w:t>
            </w:r>
            <w:r w:rsidR="00952510">
              <w:rPr>
                <w:rStyle w:val="EndnoteReference"/>
              </w:rPr>
              <w:endnoteReference w:id="21"/>
            </w:r>
            <w:r>
              <w:t xml:space="preserve"> Further information requested</w:t>
            </w:r>
            <w:r w:rsidR="00952510">
              <w:rPr>
                <w:rStyle w:val="EndnoteReference"/>
              </w:rPr>
              <w:endnoteReference w:id="22"/>
            </w:r>
          </w:p>
        </w:tc>
      </w:tr>
    </w:tbl>
    <w:tbl>
      <w:tblPr>
        <w:tblStyle w:val="TableGrid"/>
        <w:tblW w:w="9637"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9A474E" w:rsidRPr="009A474E" w:rsidTr="009A474E">
        <w:tc>
          <w:tcPr>
            <w:tcW w:w="1928" w:type="dxa"/>
            <w:shd w:val="clear" w:color="auto" w:fill="auto"/>
            <w:vAlign w:val="bottom"/>
          </w:tcPr>
          <w:p w:rsidR="009A474E" w:rsidRPr="009A474E" w:rsidRDefault="009A474E" w:rsidP="009A474E">
            <w:pPr>
              <w:spacing w:before="80" w:after="80" w:line="200" w:lineRule="exact"/>
              <w:ind w:right="113"/>
              <w:rPr>
                <w:i/>
                <w:sz w:val="16"/>
              </w:rPr>
            </w:pPr>
          </w:p>
        </w:tc>
        <w:tc>
          <w:tcPr>
            <w:tcW w:w="1928"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r>
      <w:tr w:rsidR="009A474E" w:rsidRPr="009A474E" w:rsidTr="009A474E">
        <w:trPr>
          <w:trHeight w:hRule="exact" w:val="113"/>
        </w:trPr>
        <w:tc>
          <w:tcPr>
            <w:tcW w:w="1928" w:type="dxa"/>
            <w:shd w:val="clear" w:color="auto" w:fill="auto"/>
            <w:vAlign w:val="bottom"/>
          </w:tcPr>
          <w:p w:rsidR="009A474E" w:rsidRPr="009A474E" w:rsidRDefault="009A474E" w:rsidP="009A474E">
            <w:pPr>
              <w:spacing w:before="80" w:after="80" w:line="200" w:lineRule="exact"/>
              <w:ind w:right="113"/>
              <w:rPr>
                <w:i/>
                <w:sz w:val="16"/>
              </w:rPr>
            </w:pPr>
          </w:p>
        </w:tc>
        <w:tc>
          <w:tcPr>
            <w:tcW w:w="1928"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c>
          <w:tcPr>
            <w:tcW w:w="1927" w:type="dxa"/>
            <w:shd w:val="clear" w:color="auto" w:fill="auto"/>
            <w:vAlign w:val="bottom"/>
          </w:tcPr>
          <w:p w:rsidR="009A474E" w:rsidRPr="009A474E" w:rsidRDefault="009A474E" w:rsidP="009A474E">
            <w:pPr>
              <w:spacing w:before="80" w:after="80" w:line="200" w:lineRule="exact"/>
              <w:ind w:right="113"/>
              <w:rPr>
                <w:i/>
                <w:sz w:val="16"/>
              </w:rPr>
            </w:pPr>
          </w:p>
        </w:tc>
      </w:tr>
    </w:tbl>
    <w:p w:rsidR="00A02BFB" w:rsidRPr="001E7B5F" w:rsidRDefault="001E7B5F" w:rsidP="001E7B5F">
      <w:pPr>
        <w:pStyle w:val="H23G"/>
      </w:pPr>
      <w:r w:rsidRPr="001E7B5F">
        <w:tab/>
      </w:r>
      <w:r w:rsidRPr="001E7B5F">
        <w:tab/>
        <w:t>Country visits and/ or inquiries by treaty bodies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9A474E" w:rsidTr="00A84806">
        <w:tc>
          <w:tcPr>
            <w:tcW w:w="3211" w:type="dxa"/>
            <w:tcBorders>
              <w:top w:val="single" w:sz="4" w:space="0" w:color="auto"/>
              <w:bottom w:val="single" w:sz="12" w:space="0" w:color="auto"/>
            </w:tcBorders>
            <w:shd w:val="clear" w:color="auto" w:fill="auto"/>
            <w:vAlign w:val="bottom"/>
          </w:tcPr>
          <w:p w:rsidR="00A02BFB" w:rsidRPr="00030BCA" w:rsidRDefault="00A02BFB" w:rsidP="009A474E">
            <w:pPr>
              <w:spacing w:before="40" w:after="120"/>
              <w:ind w:right="113"/>
              <w:rPr>
                <w:i/>
                <w:sz w:val="16"/>
              </w:rPr>
            </w:pPr>
            <w:r w:rsidRPr="00030BCA">
              <w:rPr>
                <w:i/>
                <w:sz w:val="16"/>
              </w:rPr>
              <w:t>Treaty body</w:t>
            </w:r>
          </w:p>
        </w:tc>
        <w:tc>
          <w:tcPr>
            <w:tcW w:w="3026" w:type="dxa"/>
            <w:tcBorders>
              <w:top w:val="single" w:sz="4" w:space="0" w:color="auto"/>
              <w:bottom w:val="single" w:sz="12" w:space="0" w:color="auto"/>
            </w:tcBorders>
            <w:shd w:val="clear" w:color="auto" w:fill="auto"/>
            <w:vAlign w:val="bottom"/>
          </w:tcPr>
          <w:p w:rsidR="00A02BFB" w:rsidRPr="00030BCA" w:rsidRDefault="00030BCA" w:rsidP="009A474E">
            <w:pPr>
              <w:spacing w:before="40" w:after="120"/>
              <w:ind w:right="113"/>
              <w:rPr>
                <w:i/>
                <w:sz w:val="16"/>
              </w:rPr>
            </w:pPr>
            <w:r w:rsidRPr="00030BCA">
              <w:rPr>
                <w:i/>
                <w:sz w:val="16"/>
              </w:rPr>
              <w:t>Date</w:t>
            </w:r>
          </w:p>
        </w:tc>
        <w:tc>
          <w:tcPr>
            <w:tcW w:w="3213" w:type="dxa"/>
            <w:tcBorders>
              <w:top w:val="single" w:sz="4" w:space="0" w:color="auto"/>
              <w:bottom w:val="single" w:sz="12" w:space="0" w:color="auto"/>
            </w:tcBorders>
            <w:shd w:val="clear" w:color="auto" w:fill="auto"/>
            <w:vAlign w:val="bottom"/>
          </w:tcPr>
          <w:p w:rsidR="00A02BFB" w:rsidRPr="00030BCA" w:rsidRDefault="00030BCA" w:rsidP="009A474E">
            <w:pPr>
              <w:spacing w:before="40" w:after="120"/>
              <w:ind w:right="113"/>
              <w:rPr>
                <w:i/>
                <w:sz w:val="16"/>
              </w:rPr>
            </w:pPr>
            <w:r w:rsidRPr="00030BCA">
              <w:rPr>
                <w:i/>
                <w:sz w:val="16"/>
              </w:rPr>
              <w:t>Subject matter</w:t>
            </w:r>
          </w:p>
        </w:tc>
      </w:tr>
      <w:tr w:rsidR="00A02BFB" w:rsidRPr="003E19D9" w:rsidTr="00A84806">
        <w:trPr>
          <w:trHeight w:hRule="exact" w:val="113"/>
        </w:trPr>
        <w:tc>
          <w:tcPr>
            <w:tcW w:w="3211"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r>
      <w:tr w:rsidR="00A02BFB" w:rsidRPr="00A02BFB" w:rsidTr="00FE5109">
        <w:tc>
          <w:tcPr>
            <w:tcW w:w="3211" w:type="dxa"/>
            <w:tcBorders>
              <w:bottom w:val="single" w:sz="12" w:space="0" w:color="auto"/>
            </w:tcBorders>
            <w:shd w:val="clear" w:color="auto" w:fill="auto"/>
          </w:tcPr>
          <w:p w:rsidR="00A02BFB" w:rsidRPr="00A02BFB" w:rsidRDefault="00B92647" w:rsidP="0028001D">
            <w:pPr>
              <w:spacing w:before="40" w:after="120"/>
              <w:ind w:right="113"/>
            </w:pPr>
            <w:r>
              <w:t>SPT</w:t>
            </w:r>
          </w:p>
        </w:tc>
        <w:tc>
          <w:tcPr>
            <w:tcW w:w="3026" w:type="dxa"/>
            <w:tcBorders>
              <w:bottom w:val="single" w:sz="12" w:space="0" w:color="auto"/>
            </w:tcBorders>
            <w:shd w:val="clear" w:color="auto" w:fill="auto"/>
          </w:tcPr>
          <w:p w:rsidR="00A02BFB" w:rsidRPr="00A02BFB" w:rsidRDefault="00B92647" w:rsidP="00B236D9">
            <w:pPr>
              <w:spacing w:before="40" w:after="120"/>
              <w:ind w:right="113"/>
            </w:pPr>
            <w:r>
              <w:t>December 2017</w:t>
            </w:r>
          </w:p>
        </w:tc>
        <w:tc>
          <w:tcPr>
            <w:tcW w:w="3213" w:type="dxa"/>
            <w:tcBorders>
              <w:bottom w:val="single" w:sz="12" w:space="0" w:color="auto"/>
            </w:tcBorders>
            <w:shd w:val="clear" w:color="auto" w:fill="auto"/>
          </w:tcPr>
          <w:p w:rsidR="00A02BFB" w:rsidRPr="00A02BFB" w:rsidRDefault="00B92647" w:rsidP="0028001D">
            <w:pPr>
              <w:spacing w:before="40" w:after="120"/>
              <w:ind w:right="113"/>
            </w:pPr>
            <w:r>
              <w:t>--</w:t>
            </w:r>
          </w:p>
        </w:tc>
      </w:tr>
    </w:tbl>
    <w:p w:rsidR="00A02BFB" w:rsidRDefault="00A02BFB" w:rsidP="00A63F87">
      <w:pPr>
        <w:pStyle w:val="H1G"/>
      </w:pPr>
      <w:r w:rsidRPr="00A02BFB">
        <w:tab/>
        <w:t>B.</w:t>
      </w:r>
      <w:r w:rsidRPr="00A02BFB">
        <w:tab/>
      </w:r>
      <w:r w:rsidR="00B92647" w:rsidRPr="00B92647">
        <w:t>Cooperation with special procedures</w:t>
      </w:r>
      <w:r w:rsidR="00B92647" w:rsidRPr="00B92647">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rsidTr="0028001D">
        <w:tc>
          <w:tcPr>
            <w:tcW w:w="3211"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rsidTr="0028001D">
        <w:trPr>
          <w:trHeight w:hRule="exact" w:val="113"/>
        </w:trPr>
        <w:tc>
          <w:tcPr>
            <w:tcW w:w="3211"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r>
      <w:tr w:rsidR="003E33AE"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rsidR="003E33AE" w:rsidRPr="00D83941" w:rsidRDefault="00D83941" w:rsidP="0028001D">
            <w:pPr>
              <w:spacing w:before="40" w:after="120"/>
              <w:ind w:right="113"/>
            </w:pPr>
            <w:r w:rsidRPr="00D83941">
              <w:t>No</w:t>
            </w:r>
          </w:p>
        </w:tc>
        <w:tc>
          <w:tcPr>
            <w:tcW w:w="3400" w:type="dxa"/>
            <w:shd w:val="clear" w:color="auto" w:fill="auto"/>
          </w:tcPr>
          <w:p w:rsidR="003E33AE" w:rsidRPr="00D83941" w:rsidRDefault="00D83941" w:rsidP="0028001D">
            <w:pPr>
              <w:spacing w:before="40" w:after="120"/>
              <w:ind w:right="113"/>
            </w:pPr>
            <w:r w:rsidRPr="00D83941">
              <w:t>No</w:t>
            </w:r>
          </w:p>
        </w:tc>
      </w:tr>
      <w:tr w:rsidR="009E78E3"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Visits undertaken</w:t>
            </w:r>
          </w:p>
        </w:tc>
        <w:tc>
          <w:tcPr>
            <w:tcW w:w="3026" w:type="dxa"/>
            <w:shd w:val="clear" w:color="auto" w:fill="auto"/>
          </w:tcPr>
          <w:p w:rsidR="003E6998" w:rsidRPr="009E78E3" w:rsidRDefault="00D83941" w:rsidP="0028001D">
            <w:pPr>
              <w:spacing w:before="40" w:after="120"/>
              <w:ind w:right="113"/>
            </w:pPr>
            <w:r>
              <w:t>Migrants (2005)</w:t>
            </w:r>
          </w:p>
        </w:tc>
        <w:tc>
          <w:tcPr>
            <w:tcW w:w="3400" w:type="dxa"/>
            <w:shd w:val="clear" w:color="auto" w:fill="auto"/>
          </w:tcPr>
          <w:p w:rsidR="003E6998" w:rsidRPr="009E78E3" w:rsidRDefault="00D83941" w:rsidP="0028001D">
            <w:pPr>
              <w:spacing w:before="40" w:after="120"/>
              <w:ind w:right="113"/>
            </w:pPr>
            <w:r>
              <w:t>SR on human rights and counter terrorism (2013)</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rsidR="009E78E3" w:rsidRPr="007D6598" w:rsidRDefault="00D83941" w:rsidP="0028001D">
            <w:pPr>
              <w:spacing w:before="40" w:after="120"/>
              <w:ind w:right="113"/>
            </w:pPr>
            <w:r>
              <w:t>--</w:t>
            </w:r>
          </w:p>
        </w:tc>
        <w:tc>
          <w:tcPr>
            <w:tcW w:w="3400" w:type="dxa"/>
            <w:shd w:val="clear" w:color="auto" w:fill="auto"/>
          </w:tcPr>
          <w:p w:rsidR="009E78E3" w:rsidRPr="0038595C" w:rsidRDefault="00D83941" w:rsidP="00F75F2D">
            <w:pPr>
              <w:rPr>
                <w:rFonts w:eastAsia="Calibri"/>
                <w:lang w:eastAsia="en-GB"/>
              </w:rPr>
            </w:pPr>
            <w:r>
              <w:rPr>
                <w:rFonts w:eastAsia="Calibri"/>
                <w:lang w:eastAsia="en-GB"/>
              </w:rPr>
              <w:t>--</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requested</w:t>
            </w:r>
          </w:p>
        </w:tc>
        <w:tc>
          <w:tcPr>
            <w:tcW w:w="3026" w:type="dxa"/>
            <w:shd w:val="clear" w:color="auto" w:fill="auto"/>
          </w:tcPr>
          <w:p w:rsidR="003E6998" w:rsidRPr="0038595C" w:rsidRDefault="003E6998" w:rsidP="0028001D">
            <w:pPr>
              <w:ind w:right="113"/>
              <w:rPr>
                <w:highlight w:val="yellow"/>
              </w:rPr>
            </w:pPr>
          </w:p>
        </w:tc>
        <w:tc>
          <w:tcPr>
            <w:tcW w:w="3400" w:type="dxa"/>
            <w:shd w:val="clear" w:color="auto" w:fill="auto"/>
          </w:tcPr>
          <w:p w:rsidR="003E6998" w:rsidRPr="0038595C" w:rsidRDefault="00D83941" w:rsidP="0028001D">
            <w:pPr>
              <w:ind w:right="113"/>
              <w:rPr>
                <w:highlight w:val="yellow"/>
              </w:rPr>
            </w:pPr>
            <w:r>
              <w:t>WG on arbitrary detention</w:t>
            </w:r>
          </w:p>
        </w:tc>
      </w:tr>
      <w:tr w:rsidR="009D3FA1" w:rsidRPr="009D3FA1" w:rsidTr="0028001D">
        <w:trPr>
          <w:trHeight w:hRule="exact" w:val="113"/>
        </w:trPr>
        <w:tc>
          <w:tcPr>
            <w:tcW w:w="3211"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r>
      <w:tr w:rsidR="009D3FA1" w:rsidRPr="009D3FA1" w:rsidTr="0028001D">
        <w:tc>
          <w:tcPr>
            <w:tcW w:w="3211" w:type="dxa"/>
            <w:shd w:val="clear" w:color="auto" w:fill="auto"/>
          </w:tcPr>
          <w:p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rsidR="009D3FA1" w:rsidRPr="009D3FA1" w:rsidRDefault="009D3FA1" w:rsidP="00A47F11">
            <w:pPr>
              <w:spacing w:before="40" w:after="120"/>
              <w:ind w:right="113"/>
            </w:pPr>
            <w:r>
              <w:t xml:space="preserve">During the period under review </w:t>
            </w:r>
            <w:r w:rsidR="00447AC7">
              <w:t>1</w:t>
            </w:r>
            <w:r>
              <w:t xml:space="preserve"> communication were sent</w:t>
            </w:r>
            <w:r w:rsidR="00D82670">
              <w:t xml:space="preserve">. The Government </w:t>
            </w:r>
            <w:r w:rsidR="00447AC7">
              <w:t>has not yet replied.</w:t>
            </w:r>
          </w:p>
        </w:tc>
        <w:tc>
          <w:tcPr>
            <w:tcW w:w="3400" w:type="dxa"/>
            <w:shd w:val="clear" w:color="auto" w:fill="auto"/>
          </w:tcPr>
          <w:p w:rsidR="009D3FA1" w:rsidRPr="009D3FA1" w:rsidRDefault="009D3FA1" w:rsidP="0028001D">
            <w:pPr>
              <w:spacing w:before="40" w:after="120"/>
              <w:ind w:right="113"/>
            </w:pPr>
          </w:p>
        </w:tc>
      </w:tr>
      <w:tr w:rsidR="009D3FA1" w:rsidRPr="009D3FA1" w:rsidTr="0028001D">
        <w:tc>
          <w:tcPr>
            <w:tcW w:w="3211" w:type="dxa"/>
            <w:tcBorders>
              <w:bottom w:val="single" w:sz="12" w:space="0" w:color="auto"/>
            </w:tcBorders>
            <w:shd w:val="clear" w:color="auto" w:fill="auto"/>
          </w:tcPr>
          <w:p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rsidR="009D3FA1" w:rsidRPr="009D3FA1" w:rsidRDefault="00447AC7" w:rsidP="0028001D">
            <w:pPr>
              <w:spacing w:before="40" w:after="120"/>
              <w:ind w:right="113"/>
            </w:pPr>
            <w:r>
              <w:t>--</w:t>
            </w:r>
          </w:p>
        </w:tc>
        <w:tc>
          <w:tcPr>
            <w:tcW w:w="3400" w:type="dxa"/>
            <w:tcBorders>
              <w:bottom w:val="single" w:sz="12" w:space="0" w:color="auto"/>
            </w:tcBorders>
            <w:shd w:val="clear" w:color="auto" w:fill="auto"/>
          </w:tcPr>
          <w:p w:rsidR="009D3FA1" w:rsidRPr="009D3FA1" w:rsidRDefault="009D3FA1" w:rsidP="0028001D">
            <w:pPr>
              <w:spacing w:before="40" w:after="120"/>
              <w:ind w:right="113"/>
            </w:pPr>
          </w:p>
        </w:tc>
      </w:tr>
    </w:tbl>
    <w:p w:rsidR="00A02BFB" w:rsidRPr="009D3FA1" w:rsidRDefault="00A02BFB" w:rsidP="009D3FA1">
      <w:pPr>
        <w:pStyle w:val="H1G"/>
      </w:pPr>
      <w:r w:rsidRPr="009D3FA1">
        <w:tab/>
        <w:t>C.</w:t>
      </w:r>
      <w:r w:rsidRPr="009D3FA1">
        <w:tab/>
      </w:r>
      <w:r w:rsidR="003334C1" w:rsidRPr="003334C1">
        <w:t>Status of national human rights institutions</w:t>
      </w:r>
      <w:r w:rsidR="003334C1" w:rsidRPr="003334C1">
        <w:rPr>
          <w:rStyle w:val="EndnoteReference"/>
          <w:b w:val="0"/>
        </w:rPr>
        <w:endnoteReference w:id="24"/>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28001D">
        <w:tc>
          <w:tcPr>
            <w:tcW w:w="2456"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25"/>
            </w:r>
          </w:p>
        </w:tc>
      </w:tr>
      <w:tr w:rsidR="00A02BFB" w:rsidRPr="00A02BFB" w:rsidTr="0028001D">
        <w:trPr>
          <w:trHeight w:hRule="exact" w:val="113"/>
        </w:trPr>
        <w:tc>
          <w:tcPr>
            <w:tcW w:w="2456"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56" w:type="dxa"/>
            <w:tcBorders>
              <w:bottom w:val="single" w:sz="4" w:space="0" w:color="auto"/>
            </w:tcBorders>
            <w:shd w:val="clear" w:color="auto" w:fill="auto"/>
          </w:tcPr>
          <w:p w:rsidR="00A02BFB" w:rsidRPr="00A02BFB" w:rsidRDefault="003334C1" w:rsidP="0028001D">
            <w:pPr>
              <w:spacing w:before="40" w:after="120"/>
              <w:ind w:right="113"/>
            </w:pPr>
            <w:r w:rsidRPr="003334C1">
              <w:rPr>
                <w:lang w:val="fr-CH"/>
              </w:rPr>
              <w:t>Commission Nationale des Droits de l’Homme</w:t>
            </w:r>
          </w:p>
        </w:tc>
        <w:tc>
          <w:tcPr>
            <w:tcW w:w="2457" w:type="dxa"/>
            <w:tcBorders>
              <w:bottom w:val="single" w:sz="4" w:space="0" w:color="auto"/>
            </w:tcBorders>
            <w:shd w:val="clear" w:color="auto" w:fill="auto"/>
          </w:tcPr>
          <w:p w:rsidR="00A02BFB" w:rsidRPr="00A02BFB" w:rsidRDefault="003334C1" w:rsidP="0028001D">
            <w:pPr>
              <w:spacing w:before="40" w:after="120"/>
              <w:ind w:right="113"/>
            </w:pPr>
            <w:r w:rsidRPr="003334C1">
              <w:t>Accreditation lapsed due to non-submission of documentation (March 2012)</w:t>
            </w:r>
          </w:p>
        </w:tc>
        <w:tc>
          <w:tcPr>
            <w:tcW w:w="2457" w:type="dxa"/>
            <w:tcBorders>
              <w:bottom w:val="single" w:sz="4" w:space="0" w:color="auto"/>
            </w:tcBorders>
            <w:shd w:val="clear" w:color="auto" w:fill="auto"/>
          </w:tcPr>
          <w:p w:rsidR="00A02BFB" w:rsidRPr="00A02BFB" w:rsidRDefault="003334C1" w:rsidP="0028001D">
            <w:pPr>
              <w:spacing w:before="40" w:after="120"/>
              <w:ind w:right="113"/>
            </w:pPr>
            <w:r>
              <w:t>--</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1E" w:rsidRDefault="0017261E"/>
  </w:endnote>
  <w:endnote w:type="continuationSeparator" w:id="0">
    <w:p w:rsidR="0017261E" w:rsidRDefault="0017261E"/>
  </w:endnote>
  <w:endnote w:type="continuationNotice" w:id="1">
    <w:p w:rsidR="0017261E" w:rsidRDefault="0017261E"/>
  </w:endnote>
  <w:endnote w:id="2">
    <w:p w:rsidR="00EA79A1" w:rsidRDefault="00EA79A1" w:rsidP="00EA79A1">
      <w:pPr>
        <w:pStyle w:val="H4G"/>
      </w:pPr>
      <w:r>
        <w:t>Notes</w:t>
      </w:r>
    </w:p>
    <w:p w:rsidR="00EA79A1" w:rsidRPr="00174744" w:rsidRDefault="00EA79A1" w:rsidP="00EA79A1">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w:t>
      </w:r>
      <w:r>
        <w:t xml:space="preserve"> Burkina Faso</w:t>
      </w:r>
      <w:r w:rsidRPr="00EA79A1">
        <w:rPr>
          <w:color w:val="4F81BD"/>
        </w:rPr>
        <w:t xml:space="preserve"> </w:t>
      </w:r>
      <w:r w:rsidRPr="00806A55">
        <w:t>from the previous cycle (</w:t>
      </w:r>
      <w:r w:rsidRPr="00E11220">
        <w:t>A/HRC/WG.6/16/BFA/2</w:t>
      </w:r>
      <w:r w:rsidRPr="00806A55">
        <w:t>).</w:t>
      </w:r>
    </w:p>
  </w:endnote>
  <w:endnote w:id="3">
    <w:p w:rsidR="007A2F24" w:rsidRDefault="007A2F24" w:rsidP="007A2F24">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7A2F24" w:rsidRPr="00174744" w:rsidRDefault="007A2F24" w:rsidP="007A2F24">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360A24">
        <w:rPr>
          <w:szCs w:val="18"/>
        </w:rPr>
        <w:t>;</w:t>
      </w:r>
    </w:p>
    <w:p w:rsidR="007A2F24" w:rsidRPr="00174744" w:rsidRDefault="00360A24" w:rsidP="007A2F24">
      <w:pPr>
        <w:pStyle w:val="EndnoteText"/>
        <w:widowControl w:val="0"/>
        <w:ind w:left="3969" w:hanging="2268"/>
        <w:rPr>
          <w:szCs w:val="18"/>
        </w:rPr>
      </w:pPr>
      <w:r>
        <w:rPr>
          <w:szCs w:val="18"/>
        </w:rPr>
        <w:t>ICESCR</w:t>
      </w:r>
      <w:r w:rsidR="007A2F24" w:rsidRPr="00174744">
        <w:rPr>
          <w:szCs w:val="18"/>
        </w:rPr>
        <w:tab/>
        <w:t>International Covenant on Economic, Social and Cultural Rights</w:t>
      </w:r>
      <w:r w:rsidRPr="00360A24">
        <w:rPr>
          <w:szCs w:val="18"/>
        </w:rPr>
        <w:t>;</w:t>
      </w:r>
    </w:p>
    <w:p w:rsidR="007A2F24" w:rsidRPr="00174744" w:rsidRDefault="007A2F24" w:rsidP="007A2F24">
      <w:pPr>
        <w:pStyle w:val="EndnoteText"/>
        <w:widowControl w:val="0"/>
        <w:ind w:left="3969" w:hanging="2269"/>
        <w:rPr>
          <w:szCs w:val="18"/>
        </w:rPr>
      </w:pPr>
      <w:r w:rsidRPr="00174744">
        <w:rPr>
          <w:szCs w:val="18"/>
        </w:rPr>
        <w:t>OP-ICESCR</w:t>
      </w:r>
      <w:r w:rsidRPr="00174744">
        <w:rPr>
          <w:szCs w:val="18"/>
        </w:rPr>
        <w:tab/>
        <w:t>Optional Protocol to ICESCR</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360A24" w:rsidRPr="00360A24">
        <w:rPr>
          <w:szCs w:val="18"/>
        </w:rPr>
        <w:t>;</w:t>
      </w:r>
    </w:p>
    <w:p w:rsidR="007A2F24" w:rsidRPr="00174744" w:rsidRDefault="007A2F24" w:rsidP="007A2F24">
      <w:pPr>
        <w:pStyle w:val="EndnoteText"/>
        <w:widowControl w:val="0"/>
        <w:ind w:left="3969" w:hanging="2268"/>
        <w:rPr>
          <w:szCs w:val="18"/>
        </w:rPr>
      </w:pPr>
      <w:r w:rsidRPr="00174744">
        <w:rPr>
          <w:szCs w:val="18"/>
        </w:rPr>
        <w:t>ICCPR-OP 1</w:t>
      </w:r>
      <w:r w:rsidRPr="00174744">
        <w:rPr>
          <w:szCs w:val="18"/>
        </w:rPr>
        <w:tab/>
        <w:t>Optional Protocol to ICCPR</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OP-CEDAW</w:t>
      </w:r>
      <w:r w:rsidRPr="00174744">
        <w:rPr>
          <w:szCs w:val="18"/>
        </w:rPr>
        <w:tab/>
        <w:t>Optional Protocol to CEDAW</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OP-CAT</w:t>
      </w:r>
      <w:r w:rsidRPr="00174744">
        <w:rPr>
          <w:szCs w:val="18"/>
        </w:rPr>
        <w:tab/>
        <w:t>Optional Protocol to CAT</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CRC</w:t>
      </w:r>
      <w:r w:rsidRPr="00174744">
        <w:rPr>
          <w:szCs w:val="18"/>
        </w:rPr>
        <w:tab/>
        <w:t>Convention on the Rights of the Child</w:t>
      </w:r>
      <w:r w:rsidR="00360A24" w:rsidRPr="00360A24">
        <w:rPr>
          <w:szCs w:val="18"/>
        </w:rPr>
        <w:t>;</w:t>
      </w:r>
    </w:p>
    <w:p w:rsidR="007A2F24" w:rsidRPr="00174744" w:rsidRDefault="007A2F24" w:rsidP="007A2F24">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360A24" w:rsidRPr="00360A24">
        <w:rPr>
          <w:szCs w:val="18"/>
        </w:rPr>
        <w:t>;</w:t>
      </w:r>
    </w:p>
    <w:p w:rsidR="007A2F24" w:rsidRPr="00174744" w:rsidRDefault="007A2F24" w:rsidP="007A2F24">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360A24" w:rsidRPr="00360A24">
        <w:rPr>
          <w:szCs w:val="18"/>
        </w:rPr>
        <w:t>;</w:t>
      </w:r>
    </w:p>
    <w:p w:rsidR="007A2F24" w:rsidRPr="00174744" w:rsidRDefault="007A2F24" w:rsidP="007A2F24">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360A24" w:rsidRPr="00360A24">
        <w:rPr>
          <w:szCs w:val="18"/>
        </w:rPr>
        <w:t>;</w:t>
      </w:r>
    </w:p>
    <w:p w:rsidR="007A2F24" w:rsidRPr="00174744" w:rsidRDefault="007A2F24" w:rsidP="007A2F24">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360A24" w:rsidRPr="00360A24">
        <w:rPr>
          <w:szCs w:val="18"/>
        </w:rPr>
        <w:t>;</w:t>
      </w:r>
    </w:p>
    <w:p w:rsidR="007A2F24" w:rsidRPr="00174744" w:rsidRDefault="007A2F24" w:rsidP="007A2F24">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360A24" w:rsidRPr="00360A24">
        <w:rPr>
          <w:szCs w:val="18"/>
        </w:rPr>
        <w:t>;</w:t>
      </w:r>
    </w:p>
    <w:p w:rsidR="007A2F24" w:rsidRPr="00AC3610" w:rsidRDefault="007A2F24" w:rsidP="007A2F24">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9F1760" w:rsidRDefault="009F1760" w:rsidP="009F1760">
      <w:pPr>
        <w:pStyle w:val="EndnoteText"/>
        <w:widowControl w:val="0"/>
        <w:tabs>
          <w:tab w:val="clear" w:pos="1021"/>
          <w:tab w:val="right" w:pos="1020"/>
        </w:tabs>
      </w:pPr>
      <w:r>
        <w:tab/>
      </w:r>
      <w:r>
        <w:rPr>
          <w:rStyle w:val="EndnoteReference"/>
        </w:rPr>
        <w:endnoteRef/>
      </w:r>
      <w:r>
        <w:tab/>
      </w:r>
      <w:r w:rsidRPr="00CF5888">
        <w:rPr>
          <w:u w:val="single"/>
        </w:rPr>
        <w:t>Individual complaints</w:t>
      </w:r>
      <w:r w:rsidRPr="00CF5888">
        <w:t>: ICCPR-OP 1, art. 1; OP-CEDAW, art. 1; OP-CRPD, art. 1; OP-ICESCR, art. 1; OP-CRC-IC, art. 5; ICERD, art. 14; CAT, art. 22; ICRMW, art. 77; and ICPPED, art. 31</w:t>
      </w:r>
      <w:r w:rsidRPr="00CF5888">
        <w:rPr>
          <w:u w:val="single"/>
        </w:rPr>
        <w:t>. Inquiry procedure</w:t>
      </w:r>
      <w:r w:rsidRPr="00CF5888">
        <w:t xml:space="preserve">: OP-CEDAW, art. 8; CAT, art. 20; ICPPED, art. 33; OP-CRPD, art. 6; OP-ICESCR, art. 11; and OP-CRC-IC, art. 13. </w:t>
      </w:r>
      <w:r w:rsidRPr="00CF5888">
        <w:rPr>
          <w:u w:val="single"/>
        </w:rPr>
        <w:t>Inter-State complaints</w:t>
      </w:r>
      <w:r w:rsidRPr="00CF5888">
        <w:t xml:space="preserve">: ICCPR, art. 41; ICRMW, art. 76; ICPPED, art. 32; CAT, art. 21; OP-ICESCR, art. 10; and OP-CRC-IC, art. 12. </w:t>
      </w:r>
      <w:r w:rsidRPr="00CF5888">
        <w:rPr>
          <w:u w:val="single"/>
        </w:rPr>
        <w:t>Urgent action</w:t>
      </w:r>
      <w:r w:rsidRPr="00CF5888">
        <w:t>: ICPPED, art. 30.</w:t>
      </w:r>
    </w:p>
  </w:endnote>
  <w:endnote w:id="5">
    <w:p w:rsidR="00360A24" w:rsidRDefault="00360A24" w:rsidP="00360A24">
      <w:pPr>
        <w:pStyle w:val="EndnoteText"/>
        <w:widowControl w:val="0"/>
        <w:tabs>
          <w:tab w:val="clear" w:pos="1021"/>
          <w:tab w:val="right" w:pos="1020"/>
        </w:tabs>
      </w:pPr>
      <w:r>
        <w:tab/>
      </w:r>
      <w:r>
        <w:rPr>
          <w:rStyle w:val="EndnoteReference"/>
        </w:rPr>
        <w:endnoteRef/>
      </w:r>
      <w:r>
        <w:tab/>
      </w:r>
      <w:r w:rsidRPr="00360A24">
        <w:t>International Labour Organization Convention No.169, concerning Indigenous and Tribal Peoples in Independent Countries, and International Labour Organization Convention No.189 concerning Decent Work for Domestic Workers.</w:t>
      </w:r>
    </w:p>
  </w:endnote>
  <w:endnote w:id="6">
    <w:p w:rsidR="00360A24" w:rsidRDefault="00360A24" w:rsidP="00360A24">
      <w:pPr>
        <w:pStyle w:val="EndnoteText"/>
        <w:widowControl w:val="0"/>
        <w:tabs>
          <w:tab w:val="clear" w:pos="1021"/>
          <w:tab w:val="right" w:pos="1020"/>
        </w:tabs>
      </w:pPr>
      <w:r>
        <w:tab/>
      </w:r>
      <w:r>
        <w:rPr>
          <w:rStyle w:val="EndnoteReference"/>
        </w:rPr>
        <w:endnoteRef/>
      </w:r>
      <w:r>
        <w:tab/>
      </w:r>
      <w:r w:rsidRPr="00360A24">
        <w:t>1951 Convention relating to the Status of Refugees and its 1967 Protocol, 1954 Convention relating to the Status of Stateless Persons and 1961 Convention on the Reduction of Statelessness.</w:t>
      </w:r>
    </w:p>
  </w:endnote>
  <w:endnote w:id="7">
    <w:p w:rsidR="002F3371" w:rsidRPr="00A82F81" w:rsidRDefault="002F3371" w:rsidP="002F3371">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rsidR="002F3371" w:rsidRPr="00360A24" w:rsidRDefault="002F3371" w:rsidP="002F3371">
      <w:pPr>
        <w:pStyle w:val="EndnoteText"/>
        <w:widowControl w:val="0"/>
        <w:rPr>
          <w:color w:val="000000" w:themeColor="text1"/>
          <w:szCs w:val="18"/>
        </w:rPr>
      </w:pPr>
      <w:r w:rsidRPr="00A82F81">
        <w:rPr>
          <w:szCs w:val="18"/>
        </w:rPr>
        <w:tab/>
      </w:r>
      <w:r w:rsidRPr="00A82F81">
        <w:rPr>
          <w:rStyle w:val="EndnoteReference"/>
          <w:szCs w:val="18"/>
        </w:rPr>
        <w:endnoteRef/>
      </w:r>
      <w:r w:rsidRPr="00A82F81">
        <w:rPr>
          <w:szCs w:val="18"/>
        </w:rPr>
        <w:tab/>
      </w:r>
      <w:r w:rsidRPr="0026232E">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w:t>
      </w:r>
      <w:r>
        <w:rPr>
          <w:szCs w:val="18"/>
        </w:rPr>
        <w:t xml:space="preserve"> Protocol Additional to the Geneva Conventions of 12 August 1949, and relating to the Adoption of an Additional Distinctive Emblem (Protocol III);</w:t>
      </w:r>
      <w:r w:rsidRPr="0026232E">
        <w:rPr>
          <w:szCs w:val="18"/>
        </w:rPr>
        <w:t xml:space="preserve"> </w:t>
      </w:r>
      <w:r w:rsidRPr="0026232E">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9">
    <w:p w:rsidR="002F3371" w:rsidRPr="00D57134" w:rsidRDefault="002F3371" w:rsidP="002F3371">
      <w:pPr>
        <w:pStyle w:val="EndnoteText"/>
      </w:pPr>
      <w:r>
        <w:tab/>
      </w:r>
      <w:r>
        <w:rPr>
          <w:rStyle w:val="EndnoteReference"/>
        </w:rPr>
        <w:endnoteRef/>
      </w:r>
      <w: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rsidR="007411F6" w:rsidRPr="00A82F81" w:rsidRDefault="007411F6" w:rsidP="007411F6">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7411F6" w:rsidRPr="00A82F81" w:rsidRDefault="007411F6" w:rsidP="007411F6">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6C77CD" w:rsidRPr="006C77CD">
        <w:rPr>
          <w:szCs w:val="18"/>
        </w:rPr>
        <w:t>;</w:t>
      </w:r>
    </w:p>
    <w:p w:rsidR="007411F6" w:rsidRPr="00A82F81" w:rsidRDefault="007411F6" w:rsidP="007411F6">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6C77CD">
        <w:rPr>
          <w:szCs w:val="18"/>
        </w:rPr>
        <w:t>.</w:t>
      </w:r>
    </w:p>
  </w:endnote>
  <w:endnote w:id="11">
    <w:p w:rsidR="00456D88" w:rsidRPr="009120FE" w:rsidRDefault="00456D88" w:rsidP="00456D88">
      <w:pPr>
        <w:pStyle w:val="EndnoteText"/>
        <w:rPr>
          <w:lang w:val="es-MX"/>
        </w:rPr>
      </w:pPr>
      <w:r w:rsidRPr="009120FE">
        <w:rPr>
          <w:lang w:val="es-MX"/>
        </w:rPr>
        <w:tab/>
      </w:r>
      <w:r>
        <w:rPr>
          <w:rStyle w:val="EndnoteReference"/>
        </w:rPr>
        <w:endnoteRef/>
      </w:r>
      <w:r w:rsidRPr="009120FE">
        <w:rPr>
          <w:lang w:val="es-MX"/>
        </w:rPr>
        <w:tab/>
        <w:t>CERD/C/BFA/CO/12-19, para. 21</w:t>
      </w:r>
    </w:p>
  </w:endnote>
  <w:endnote w:id="12">
    <w:p w:rsidR="00456D88" w:rsidRPr="009120FE" w:rsidRDefault="00456D88" w:rsidP="00456D88">
      <w:pPr>
        <w:pStyle w:val="EndnoteText"/>
      </w:pPr>
      <w:r w:rsidRPr="009120FE">
        <w:rPr>
          <w:lang w:val="es-MX"/>
        </w:rPr>
        <w:tab/>
      </w:r>
      <w:r>
        <w:rPr>
          <w:rStyle w:val="EndnoteReference"/>
        </w:rPr>
        <w:endnoteRef/>
      </w:r>
      <w:r w:rsidRPr="009120FE">
        <w:rPr>
          <w:lang w:val="es-MX"/>
        </w:rPr>
        <w:tab/>
        <w:t xml:space="preserve">CCPR/C/BFA/CO/1, para. </w:t>
      </w:r>
      <w:r w:rsidRPr="009120FE">
        <w:t>44</w:t>
      </w:r>
    </w:p>
  </w:endnote>
  <w:endnote w:id="13">
    <w:p w:rsidR="00952510" w:rsidRDefault="00952510" w:rsidP="00952510">
      <w:pPr>
        <w:pStyle w:val="EndnoteText"/>
        <w:widowControl w:val="0"/>
        <w:tabs>
          <w:tab w:val="clear" w:pos="1021"/>
          <w:tab w:val="right" w:pos="1020"/>
        </w:tabs>
      </w:pPr>
      <w:r>
        <w:tab/>
      </w:r>
      <w:r>
        <w:rPr>
          <w:rStyle w:val="EndnoteReference"/>
        </w:rPr>
        <w:endnoteRef/>
      </w:r>
      <w:r>
        <w:tab/>
      </w:r>
      <w:hyperlink r:id="rId1" w:history="1">
        <w:r w:rsidRPr="00952510">
          <w:rPr>
            <w:rStyle w:val="Hyperlink"/>
          </w:rPr>
          <w:t>CCPR/C/BFA/CO/1/Add.1</w:t>
        </w:r>
      </w:hyperlink>
      <w:r w:rsidRPr="00952510">
        <w:t>.</w:t>
      </w:r>
    </w:p>
  </w:endnote>
  <w:endnote w:id="14">
    <w:p w:rsidR="00456D88" w:rsidRPr="009120FE" w:rsidRDefault="00456D88" w:rsidP="00456D88">
      <w:pPr>
        <w:pStyle w:val="EndnoteText"/>
        <w:rPr>
          <w:lang w:val="es-MX"/>
        </w:rPr>
      </w:pPr>
      <w:r>
        <w:tab/>
      </w:r>
      <w:r>
        <w:rPr>
          <w:rStyle w:val="EndnoteReference"/>
        </w:rPr>
        <w:endnoteRef/>
      </w:r>
      <w:r w:rsidRPr="009120FE">
        <w:rPr>
          <w:lang w:val="es-MX"/>
        </w:rPr>
        <w:tab/>
        <w:t>CEDAW/C/BFA/CO/6, para. 57.</w:t>
      </w:r>
    </w:p>
  </w:endnote>
  <w:endnote w:id="15">
    <w:p w:rsidR="00952510" w:rsidRDefault="00952510" w:rsidP="00952510">
      <w:pPr>
        <w:pStyle w:val="EndnoteText"/>
        <w:widowControl w:val="0"/>
        <w:tabs>
          <w:tab w:val="clear" w:pos="1021"/>
          <w:tab w:val="right" w:pos="1020"/>
        </w:tabs>
      </w:pPr>
      <w:r>
        <w:tab/>
      </w:r>
      <w:r>
        <w:rPr>
          <w:rStyle w:val="EndnoteReference"/>
        </w:rPr>
        <w:endnoteRef/>
      </w:r>
      <w:r>
        <w:tab/>
      </w:r>
      <w:r w:rsidRPr="00952510">
        <w:rPr>
          <w:lang w:val="en-US"/>
        </w:rPr>
        <w:t>CEDAW/C/BFA/CO/6/Add.1</w:t>
      </w:r>
      <w:r>
        <w:rPr>
          <w:lang w:val="en-US"/>
        </w:rPr>
        <w:t>.</w:t>
      </w:r>
    </w:p>
  </w:endnote>
  <w:endnote w:id="16">
    <w:p w:rsidR="00952510" w:rsidRDefault="00952510" w:rsidP="00952510">
      <w:pPr>
        <w:pStyle w:val="EndnoteText"/>
        <w:widowControl w:val="0"/>
        <w:tabs>
          <w:tab w:val="clear" w:pos="1021"/>
          <w:tab w:val="right" w:pos="1020"/>
        </w:tabs>
      </w:pPr>
      <w:r>
        <w:tab/>
      </w:r>
      <w:r>
        <w:rPr>
          <w:rStyle w:val="EndnoteReference"/>
        </w:rPr>
        <w:endnoteRef/>
      </w:r>
      <w:r>
        <w:tab/>
      </w:r>
      <w:r w:rsidRPr="00952510">
        <w:t>Letter from CEDAW to the Permanent Mission of Burkina Faso to the United Nations Office and other international organizations in Geneva, dated 6 December 2016, available from http://tbinternet.ohchr.org/Treaties/CEDAW/Shared%20Documents/BFA/INT_CEDAW_FUL_BFA_25959_E.pdf (accessed on 1 March 2018).</w:t>
      </w:r>
    </w:p>
  </w:endnote>
  <w:endnote w:id="17">
    <w:p w:rsidR="00952510" w:rsidRDefault="00952510" w:rsidP="00952510">
      <w:pPr>
        <w:pStyle w:val="EndnoteText"/>
        <w:widowControl w:val="0"/>
        <w:tabs>
          <w:tab w:val="clear" w:pos="1021"/>
          <w:tab w:val="right" w:pos="1020"/>
        </w:tabs>
      </w:pPr>
      <w:r>
        <w:tab/>
      </w:r>
      <w:r>
        <w:rPr>
          <w:rStyle w:val="EndnoteReference"/>
        </w:rPr>
        <w:endnoteRef/>
      </w:r>
      <w:r>
        <w:tab/>
      </w:r>
      <w:r w:rsidRPr="00952510">
        <w:rPr>
          <w:bCs/>
          <w:lang w:val="es-ES"/>
        </w:rPr>
        <w:t>CEDAW/C/BFA/CO/7, para. 59.</w:t>
      </w:r>
    </w:p>
  </w:endnote>
  <w:endnote w:id="18">
    <w:p w:rsidR="00456D88" w:rsidRPr="009120FE" w:rsidRDefault="00456D88" w:rsidP="00456D88">
      <w:pPr>
        <w:pStyle w:val="EndnoteText"/>
        <w:ind w:left="0" w:firstLine="0"/>
        <w:rPr>
          <w:lang w:val="es-MX"/>
        </w:rPr>
      </w:pPr>
      <w:r w:rsidRPr="009120FE">
        <w:rPr>
          <w:lang w:val="es-MX"/>
        </w:rPr>
        <w:tab/>
      </w:r>
      <w:r>
        <w:rPr>
          <w:rStyle w:val="EndnoteReference"/>
        </w:rPr>
        <w:endnoteRef/>
      </w:r>
      <w:r w:rsidRPr="009120FE">
        <w:rPr>
          <w:lang w:val="es-MX"/>
        </w:rPr>
        <w:tab/>
        <w:t>CAT/C/BFA/CO/1, para.31</w:t>
      </w:r>
      <w:r w:rsidR="00952510">
        <w:rPr>
          <w:lang w:val="es-MX"/>
        </w:rPr>
        <w:t>.</w:t>
      </w:r>
    </w:p>
  </w:endnote>
  <w:endnote w:id="19">
    <w:p w:rsidR="00952510" w:rsidRDefault="00952510" w:rsidP="00952510">
      <w:pPr>
        <w:pStyle w:val="EndnoteText"/>
        <w:widowControl w:val="0"/>
        <w:tabs>
          <w:tab w:val="clear" w:pos="1021"/>
          <w:tab w:val="right" w:pos="1020"/>
        </w:tabs>
      </w:pPr>
      <w:r>
        <w:tab/>
      </w:r>
      <w:r>
        <w:rPr>
          <w:rStyle w:val="EndnoteReference"/>
        </w:rPr>
        <w:endnoteRef/>
      </w:r>
      <w:r>
        <w:tab/>
      </w:r>
      <w:r w:rsidRPr="00952510">
        <w:t>Letter from CAT to the Permanent Mission of Burkina Faso to the United Nations Office and other international organizations in Geneva, dated 8 December 2014, available from http://tbinternet.ohchr.org/Treaties/CAT/Shared%20Documents/BFA/INT_CAT_FUL_BFA_19037_E.pdf (accessed on 1 March 2018).</w:t>
      </w:r>
    </w:p>
  </w:endnote>
  <w:endnote w:id="20">
    <w:p w:rsidR="00952510" w:rsidRDefault="00952510" w:rsidP="00952510">
      <w:pPr>
        <w:pStyle w:val="EndnoteText"/>
        <w:widowControl w:val="0"/>
        <w:tabs>
          <w:tab w:val="clear" w:pos="1021"/>
          <w:tab w:val="right" w:pos="1020"/>
        </w:tabs>
      </w:pPr>
      <w:r>
        <w:tab/>
      </w:r>
      <w:r>
        <w:rPr>
          <w:rStyle w:val="EndnoteReference"/>
        </w:rPr>
        <w:endnoteRef/>
      </w:r>
      <w:r>
        <w:tab/>
      </w:r>
      <w:r w:rsidRPr="00952510">
        <w:rPr>
          <w:bCs/>
        </w:rPr>
        <w:t>CED/C/BFA/CO/1, para. 46.</w:t>
      </w:r>
    </w:p>
  </w:endnote>
  <w:endnote w:id="21">
    <w:p w:rsidR="00952510" w:rsidRDefault="00952510" w:rsidP="00952510">
      <w:pPr>
        <w:pStyle w:val="EndnoteText"/>
        <w:widowControl w:val="0"/>
        <w:tabs>
          <w:tab w:val="clear" w:pos="1021"/>
          <w:tab w:val="right" w:pos="1020"/>
        </w:tabs>
      </w:pPr>
      <w:r>
        <w:tab/>
      </w:r>
      <w:r>
        <w:rPr>
          <w:rStyle w:val="EndnoteReference"/>
        </w:rPr>
        <w:endnoteRef/>
      </w:r>
      <w:r>
        <w:tab/>
      </w:r>
      <w:r w:rsidRPr="00952510">
        <w:rPr>
          <w:lang w:val="en-US"/>
        </w:rPr>
        <w:t>CED/C/BFA/CO/1/Add.1.</w:t>
      </w:r>
    </w:p>
  </w:endnote>
  <w:endnote w:id="22">
    <w:p w:rsidR="00952510" w:rsidRDefault="00952510" w:rsidP="00952510">
      <w:pPr>
        <w:pStyle w:val="EndnoteText"/>
        <w:widowControl w:val="0"/>
        <w:tabs>
          <w:tab w:val="clear" w:pos="1021"/>
          <w:tab w:val="right" w:pos="1020"/>
        </w:tabs>
      </w:pPr>
      <w:r>
        <w:tab/>
      </w:r>
      <w:r>
        <w:rPr>
          <w:rStyle w:val="EndnoteReference"/>
        </w:rPr>
        <w:endnoteRef/>
      </w:r>
      <w:r>
        <w:tab/>
      </w:r>
      <w:r w:rsidRPr="00952510">
        <w:rPr>
          <w:lang w:val="en-US"/>
        </w:rPr>
        <w:t xml:space="preserve">CED/C/13/4, pp. </w:t>
      </w:r>
      <w:r w:rsidRPr="00952510">
        <w:rPr>
          <w:lang w:val="en-US"/>
        </w:rPr>
        <w:t>8-9.</w:t>
      </w:r>
      <w:bookmarkStart w:id="4" w:name="_GoBack"/>
      <w:bookmarkEnd w:id="4"/>
    </w:p>
  </w:endnote>
  <w:endnote w:id="23">
    <w:p w:rsidR="00B92647" w:rsidRPr="00A82F81" w:rsidRDefault="00B92647" w:rsidP="00B92647">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4">
    <w:p w:rsidR="003334C1" w:rsidRPr="00A82F81" w:rsidRDefault="003334C1" w:rsidP="003334C1">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5">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952510">
      <w:rPr>
        <w:noProof/>
      </w:rPr>
      <w:t>6</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952510"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1E" w:rsidRPr="000B175B" w:rsidRDefault="0017261E" w:rsidP="000B175B">
      <w:pPr>
        <w:tabs>
          <w:tab w:val="right" w:pos="2155"/>
        </w:tabs>
        <w:spacing w:after="80"/>
        <w:ind w:left="680"/>
        <w:rPr>
          <w:u w:val="single"/>
        </w:rPr>
      </w:pPr>
      <w:r>
        <w:rPr>
          <w:u w:val="single"/>
        </w:rPr>
        <w:tab/>
      </w:r>
    </w:p>
  </w:footnote>
  <w:footnote w:type="continuationSeparator" w:id="0">
    <w:p w:rsidR="0017261E" w:rsidRPr="00FC68B7" w:rsidRDefault="0017261E" w:rsidP="00FC68B7">
      <w:pPr>
        <w:tabs>
          <w:tab w:val="left" w:pos="2155"/>
        </w:tabs>
        <w:spacing w:after="80"/>
        <w:ind w:left="680"/>
        <w:rPr>
          <w:u w:val="single"/>
        </w:rPr>
      </w:pPr>
      <w:r>
        <w:rPr>
          <w:u w:val="single"/>
        </w:rPr>
        <w:tab/>
      </w:r>
    </w:p>
  </w:footnote>
  <w:footnote w:type="continuationNotice" w:id="1">
    <w:p w:rsidR="0017261E" w:rsidRDefault="001726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0BCA"/>
    <w:rsid w:val="000344CE"/>
    <w:rsid w:val="000403D1"/>
    <w:rsid w:val="000449AA"/>
    <w:rsid w:val="00050F6B"/>
    <w:rsid w:val="00052E8E"/>
    <w:rsid w:val="0007021E"/>
    <w:rsid w:val="00072C8C"/>
    <w:rsid w:val="00073E70"/>
    <w:rsid w:val="00075368"/>
    <w:rsid w:val="00085BDE"/>
    <w:rsid w:val="000876EB"/>
    <w:rsid w:val="00091419"/>
    <w:rsid w:val="000931C0"/>
    <w:rsid w:val="000B1509"/>
    <w:rsid w:val="000B175B"/>
    <w:rsid w:val="000B3A0F"/>
    <w:rsid w:val="000B4A3B"/>
    <w:rsid w:val="000D0709"/>
    <w:rsid w:val="000D1851"/>
    <w:rsid w:val="000E0415"/>
    <w:rsid w:val="000F0A2E"/>
    <w:rsid w:val="000F63EB"/>
    <w:rsid w:val="0013065A"/>
    <w:rsid w:val="0013136E"/>
    <w:rsid w:val="00132BC7"/>
    <w:rsid w:val="00144AF4"/>
    <w:rsid w:val="00146D32"/>
    <w:rsid w:val="001509BA"/>
    <w:rsid w:val="00157983"/>
    <w:rsid w:val="001614E7"/>
    <w:rsid w:val="0017261E"/>
    <w:rsid w:val="001B4B04"/>
    <w:rsid w:val="001C215C"/>
    <w:rsid w:val="001C6663"/>
    <w:rsid w:val="001C7895"/>
    <w:rsid w:val="001D26DF"/>
    <w:rsid w:val="001E2790"/>
    <w:rsid w:val="001E5256"/>
    <w:rsid w:val="001E7B5F"/>
    <w:rsid w:val="0021130C"/>
    <w:rsid w:val="00211E0B"/>
    <w:rsid w:val="00211E72"/>
    <w:rsid w:val="00214047"/>
    <w:rsid w:val="0022130F"/>
    <w:rsid w:val="0022777B"/>
    <w:rsid w:val="00237785"/>
    <w:rsid w:val="002410DD"/>
    <w:rsid w:val="00241466"/>
    <w:rsid w:val="00246442"/>
    <w:rsid w:val="00253D58"/>
    <w:rsid w:val="00254654"/>
    <w:rsid w:val="00264FA3"/>
    <w:rsid w:val="0027725F"/>
    <w:rsid w:val="0028001D"/>
    <w:rsid w:val="00283347"/>
    <w:rsid w:val="00296EB7"/>
    <w:rsid w:val="002B4713"/>
    <w:rsid w:val="002C21F0"/>
    <w:rsid w:val="002E2FEF"/>
    <w:rsid w:val="002E646B"/>
    <w:rsid w:val="002F2142"/>
    <w:rsid w:val="002F3371"/>
    <w:rsid w:val="003015A8"/>
    <w:rsid w:val="003107FA"/>
    <w:rsid w:val="00317977"/>
    <w:rsid w:val="003229D8"/>
    <w:rsid w:val="00324383"/>
    <w:rsid w:val="003314D1"/>
    <w:rsid w:val="0033345D"/>
    <w:rsid w:val="003334C1"/>
    <w:rsid w:val="00335A2F"/>
    <w:rsid w:val="00341937"/>
    <w:rsid w:val="00360A24"/>
    <w:rsid w:val="0037215F"/>
    <w:rsid w:val="00380822"/>
    <w:rsid w:val="0038595C"/>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47AC7"/>
    <w:rsid w:val="00451EC3"/>
    <w:rsid w:val="00456D88"/>
    <w:rsid w:val="004721B1"/>
    <w:rsid w:val="004766F2"/>
    <w:rsid w:val="004859EC"/>
    <w:rsid w:val="00495639"/>
    <w:rsid w:val="00496A15"/>
    <w:rsid w:val="004A76BD"/>
    <w:rsid w:val="004B07D6"/>
    <w:rsid w:val="004B75D2"/>
    <w:rsid w:val="004D1140"/>
    <w:rsid w:val="004D3D46"/>
    <w:rsid w:val="004E01CE"/>
    <w:rsid w:val="004E25CB"/>
    <w:rsid w:val="004E4E92"/>
    <w:rsid w:val="004F406C"/>
    <w:rsid w:val="004F55ED"/>
    <w:rsid w:val="00517888"/>
    <w:rsid w:val="0052176C"/>
    <w:rsid w:val="005261E5"/>
    <w:rsid w:val="0053569C"/>
    <w:rsid w:val="005420F2"/>
    <w:rsid w:val="00542574"/>
    <w:rsid w:val="005436AB"/>
    <w:rsid w:val="005457B9"/>
    <w:rsid w:val="00546DBF"/>
    <w:rsid w:val="005512BA"/>
    <w:rsid w:val="00553D76"/>
    <w:rsid w:val="005552B5"/>
    <w:rsid w:val="0056117B"/>
    <w:rsid w:val="005615E8"/>
    <w:rsid w:val="005620C3"/>
    <w:rsid w:val="00571365"/>
    <w:rsid w:val="00592E55"/>
    <w:rsid w:val="005A22DB"/>
    <w:rsid w:val="005B3DB3"/>
    <w:rsid w:val="005B6E48"/>
    <w:rsid w:val="005E01AA"/>
    <w:rsid w:val="005E1712"/>
    <w:rsid w:val="005F6E73"/>
    <w:rsid w:val="006116A3"/>
    <w:rsid w:val="00611FC4"/>
    <w:rsid w:val="006176FB"/>
    <w:rsid w:val="00626E6C"/>
    <w:rsid w:val="00640B26"/>
    <w:rsid w:val="006549F8"/>
    <w:rsid w:val="00670741"/>
    <w:rsid w:val="00674A7D"/>
    <w:rsid w:val="00676C10"/>
    <w:rsid w:val="006808A9"/>
    <w:rsid w:val="00693755"/>
    <w:rsid w:val="00696BD6"/>
    <w:rsid w:val="006A6B9D"/>
    <w:rsid w:val="006A7392"/>
    <w:rsid w:val="006B3189"/>
    <w:rsid w:val="006B7D65"/>
    <w:rsid w:val="006C1CA0"/>
    <w:rsid w:val="006C77CD"/>
    <w:rsid w:val="006D6DA6"/>
    <w:rsid w:val="006E564B"/>
    <w:rsid w:val="006F13F0"/>
    <w:rsid w:val="006F5035"/>
    <w:rsid w:val="007065EB"/>
    <w:rsid w:val="00720183"/>
    <w:rsid w:val="0072632A"/>
    <w:rsid w:val="007278EA"/>
    <w:rsid w:val="007411F6"/>
    <w:rsid w:val="00741A0B"/>
    <w:rsid w:val="0074200B"/>
    <w:rsid w:val="00757201"/>
    <w:rsid w:val="0077440D"/>
    <w:rsid w:val="00792884"/>
    <w:rsid w:val="007953F7"/>
    <w:rsid w:val="007A2F24"/>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0335F"/>
    <w:rsid w:val="008155C3"/>
    <w:rsid w:val="00815D4A"/>
    <w:rsid w:val="008175E9"/>
    <w:rsid w:val="0082243E"/>
    <w:rsid w:val="008242D7"/>
    <w:rsid w:val="00856CD2"/>
    <w:rsid w:val="00861BC6"/>
    <w:rsid w:val="00871FD5"/>
    <w:rsid w:val="008741DC"/>
    <w:rsid w:val="00875FCF"/>
    <w:rsid w:val="008979B1"/>
    <w:rsid w:val="008A6B25"/>
    <w:rsid w:val="008A6C4F"/>
    <w:rsid w:val="008A7E96"/>
    <w:rsid w:val="008C1E4D"/>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2510"/>
    <w:rsid w:val="00955917"/>
    <w:rsid w:val="00956D9B"/>
    <w:rsid w:val="0096139A"/>
    <w:rsid w:val="00963CBA"/>
    <w:rsid w:val="009654B7"/>
    <w:rsid w:val="00967FA4"/>
    <w:rsid w:val="00975459"/>
    <w:rsid w:val="009822C1"/>
    <w:rsid w:val="00982CC9"/>
    <w:rsid w:val="00985ADD"/>
    <w:rsid w:val="00991261"/>
    <w:rsid w:val="009A0B83"/>
    <w:rsid w:val="009A474E"/>
    <w:rsid w:val="009B3800"/>
    <w:rsid w:val="009D22AC"/>
    <w:rsid w:val="009D3FA1"/>
    <w:rsid w:val="009D50DB"/>
    <w:rsid w:val="009E1A95"/>
    <w:rsid w:val="009E1C4E"/>
    <w:rsid w:val="009E78E3"/>
    <w:rsid w:val="009F1760"/>
    <w:rsid w:val="009F4F7D"/>
    <w:rsid w:val="00A02BFB"/>
    <w:rsid w:val="00A02F74"/>
    <w:rsid w:val="00A0431E"/>
    <w:rsid w:val="00A05E0B"/>
    <w:rsid w:val="00A074DD"/>
    <w:rsid w:val="00A1427D"/>
    <w:rsid w:val="00A3619D"/>
    <w:rsid w:val="00A4634F"/>
    <w:rsid w:val="00A47F11"/>
    <w:rsid w:val="00A51CF3"/>
    <w:rsid w:val="00A63DA6"/>
    <w:rsid w:val="00A63F87"/>
    <w:rsid w:val="00A67EFD"/>
    <w:rsid w:val="00A72F22"/>
    <w:rsid w:val="00A748A6"/>
    <w:rsid w:val="00A84806"/>
    <w:rsid w:val="00A879A4"/>
    <w:rsid w:val="00A87E95"/>
    <w:rsid w:val="00A90A6C"/>
    <w:rsid w:val="00A92E29"/>
    <w:rsid w:val="00AC2000"/>
    <w:rsid w:val="00AD09E9"/>
    <w:rsid w:val="00AD7B29"/>
    <w:rsid w:val="00AF0576"/>
    <w:rsid w:val="00AF3829"/>
    <w:rsid w:val="00B037F0"/>
    <w:rsid w:val="00B14190"/>
    <w:rsid w:val="00B2327D"/>
    <w:rsid w:val="00B236D9"/>
    <w:rsid w:val="00B2718F"/>
    <w:rsid w:val="00B2730A"/>
    <w:rsid w:val="00B30179"/>
    <w:rsid w:val="00B3317B"/>
    <w:rsid w:val="00B334DC"/>
    <w:rsid w:val="00B3631A"/>
    <w:rsid w:val="00B53013"/>
    <w:rsid w:val="00B67F5E"/>
    <w:rsid w:val="00B73E65"/>
    <w:rsid w:val="00B75057"/>
    <w:rsid w:val="00B81E12"/>
    <w:rsid w:val="00B849AB"/>
    <w:rsid w:val="00B84EF0"/>
    <w:rsid w:val="00B87110"/>
    <w:rsid w:val="00B90627"/>
    <w:rsid w:val="00B92647"/>
    <w:rsid w:val="00B97FA8"/>
    <w:rsid w:val="00BB2720"/>
    <w:rsid w:val="00BC1385"/>
    <w:rsid w:val="00BC74E9"/>
    <w:rsid w:val="00BE06F9"/>
    <w:rsid w:val="00BE58F1"/>
    <w:rsid w:val="00BE618E"/>
    <w:rsid w:val="00C24693"/>
    <w:rsid w:val="00C3427B"/>
    <w:rsid w:val="00C35F0B"/>
    <w:rsid w:val="00C36DCD"/>
    <w:rsid w:val="00C463DD"/>
    <w:rsid w:val="00C624B5"/>
    <w:rsid w:val="00C64458"/>
    <w:rsid w:val="00C65D4B"/>
    <w:rsid w:val="00C669C5"/>
    <w:rsid w:val="00C745C3"/>
    <w:rsid w:val="00C81253"/>
    <w:rsid w:val="00C9264F"/>
    <w:rsid w:val="00CA28D0"/>
    <w:rsid w:val="00CA2A58"/>
    <w:rsid w:val="00CA2E07"/>
    <w:rsid w:val="00CA6DE7"/>
    <w:rsid w:val="00CB4EE9"/>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6BE5"/>
    <w:rsid w:val="00D8128F"/>
    <w:rsid w:val="00D82670"/>
    <w:rsid w:val="00D83941"/>
    <w:rsid w:val="00D94648"/>
    <w:rsid w:val="00D978C6"/>
    <w:rsid w:val="00DA67AD"/>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54536"/>
    <w:rsid w:val="00E5644E"/>
    <w:rsid w:val="00E7260F"/>
    <w:rsid w:val="00E806EE"/>
    <w:rsid w:val="00E86049"/>
    <w:rsid w:val="00E96630"/>
    <w:rsid w:val="00E96891"/>
    <w:rsid w:val="00EA15CD"/>
    <w:rsid w:val="00EA79A1"/>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105A"/>
    <w:rsid w:val="00F52936"/>
    <w:rsid w:val="00F677CB"/>
    <w:rsid w:val="00F72113"/>
    <w:rsid w:val="00F723A2"/>
    <w:rsid w:val="00F75F2D"/>
    <w:rsid w:val="00F76CA4"/>
    <w:rsid w:val="00FA4B49"/>
    <w:rsid w:val="00FA7DF3"/>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6AD63"/>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_layouts/treatybodyexternal/Download.aspx?symbolno=INT%2fCCPR%2fFCO%2fBFA%2f28772&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FFB6BA-5E41-4ECE-8013-1774691D2177}">
  <ds:schemaRefs>
    <ds:schemaRef ds:uri="http://schemas.openxmlformats.org/officeDocument/2006/bibliography"/>
  </ds:schemaRefs>
</ds:datastoreItem>
</file>

<file path=customXml/itemProps2.xml><?xml version="1.0" encoding="utf-8"?>
<ds:datastoreItem xmlns:ds="http://schemas.openxmlformats.org/officeDocument/2006/customXml" ds:itemID="{C3B3531E-6BB3-4D4D-AD43-D43F012BCDFF}"/>
</file>

<file path=customXml/itemProps3.xml><?xml version="1.0" encoding="utf-8"?>
<ds:datastoreItem xmlns:ds="http://schemas.openxmlformats.org/officeDocument/2006/customXml" ds:itemID="{1644611E-BE11-48C9-BC55-BC02133F6266}"/>
</file>

<file path=customXml/itemProps4.xml><?xml version="1.0" encoding="utf-8"?>
<ds:datastoreItem xmlns:ds="http://schemas.openxmlformats.org/officeDocument/2006/customXml" ds:itemID="{F611A6E4-8590-4C42-A855-52E2F43EA5E1}"/>
</file>

<file path=docProps/app.xml><?xml version="1.0" encoding="utf-8"?>
<Properties xmlns="http://schemas.openxmlformats.org/officeDocument/2006/extended-properties" xmlns:vt="http://schemas.openxmlformats.org/officeDocument/2006/docPropsVTypes">
  <Template>A_E.dotm</Template>
  <TotalTime>22</TotalTime>
  <Pages>6</Pages>
  <Words>681</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BurkinaFaso_30_Table</dc:title>
  <dc:creator>Sumiko IHARA</dc:creator>
  <cp:lastModifiedBy>Feyikemi Oyewole</cp:lastModifiedBy>
  <cp:revision>21</cp:revision>
  <cp:lastPrinted>2008-01-29T07:30:00Z</cp:lastPrinted>
  <dcterms:created xsi:type="dcterms:W3CDTF">2018-03-22T10:50:00Z</dcterms:created>
  <dcterms:modified xsi:type="dcterms:W3CDTF">2018-03-22T11:17:00Z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